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shd w:val="clear" w:color="auto" w:fill="FFFFFF"/>
          <w:lang w:val="en-US" w:eastAsia="zh-CN" w:bidi="ar-SA"/>
        </w:rPr>
        <w:t xml:space="preserve">Screening inflammatory protein biomarkers on premature infants with necrotizing enterocolitis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b/>
          <w:sz w:val="20"/>
          <w:szCs w:val="20"/>
          <w:shd w:val="clear" w:color="auto" w:fill="FFFFFF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shd w:val="clear" w:color="auto" w:fill="FFFFFF"/>
          <w:lang w:val="en-US" w:eastAsia="zh-CN" w:bidi="ar-SA"/>
        </w:rPr>
        <w:t>Running title:</w:t>
      </w:r>
      <w:r>
        <w:rPr>
          <w:rFonts w:hint="default" w:ascii="Times New Roman" w:hAnsi="Times New Roman" w:eastAsia="宋体" w:cs="Times New Roman"/>
          <w:b/>
          <w:sz w:val="20"/>
          <w:szCs w:val="20"/>
          <w:shd w:val="clear" w:color="auto" w:fill="FFFFFF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 xml:space="preserve">Inflammatory biomarkers on preterm NEC infants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H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lang w:val="en-US" w:eastAsia="zh-CN"/>
        </w:rPr>
        <w:t>ui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fang Dong MD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>1, 2*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, Lingling Zhang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MSc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>1*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, Bingbing Li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MD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>1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, Jing Li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MD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>2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, Yanshan Chen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MD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>2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, Seidu R. Richard MD, PhD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>1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，Yiran Xu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MD, PhD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>1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, Changlian Zhu, MD, PhD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  <w:vertAlign w:val="superscript"/>
        </w:rPr>
        <w:t>1,3,4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shd w:val="clear" w:color="auto" w:fill="FFFFFF"/>
          <w:lang w:val="en-US" w:eastAsia="zh-CN" w:bidi="ar-SA"/>
        </w:rPr>
        <w:t>Journal：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shd w:val="clear" w:color="auto" w:fill="FFFFFF"/>
          <w:lang w:val="en-US" w:eastAsia="zh-CN" w:bidi="ar-SA"/>
        </w:rPr>
        <w:t>Inflammation Research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jc w:val="both"/>
        <w:textAlignment w:val="auto"/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shd w:val="clear" w:color="auto" w:fill="FFFFFF"/>
        </w:rPr>
        <w:t xml:space="preserve">Corresponding authors: </w:t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 xml:space="preserve">Yiran Xu, Henan Key Laboratory of Child Brain Injury, Third Affiliated Hospital, Zhengzhou 450052, China. Tel: +86 371 6690 3550, Email: </w:t>
      </w: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"mailto:yiran.xu@zzuneuro.cn"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Style w:val="8"/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yiran.xu@zzuneuro.cn</w:t>
      </w:r>
      <w:r>
        <w:rPr>
          <w:rStyle w:val="8"/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fldChar w:fldCharType="end"/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 xml:space="preserve">  or Changlian Zhu, Center for Brain Repair and Rehabilitation, Institute of Neuroscience and Physiology, University of Gothenburg, Gothenburg 40530, Sweden. Tel: +46 31 786 3339, Email: </w:t>
      </w: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"mailto:changlian.zhu@neuro.gu.se"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Style w:val="8"/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changlian.zhu@neuro.gu.se</w:t>
      </w:r>
      <w:r>
        <w:rPr>
          <w:rStyle w:val="8"/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fldChar w:fldCharType="end"/>
      </w:r>
      <w:r>
        <w:rPr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 xml:space="preserve"> or Third Affiliated Hospital of Zhengzhou University, Zhengzhou 450052, China. Tel: +86 371 6690 3974 Email: </w:t>
      </w: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"mailto:zhuc@zzu.edu.cn"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Style w:val="8"/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t>zhuc@zzu.edu.cn</w:t>
      </w:r>
      <w:r>
        <w:rPr>
          <w:rStyle w:val="8"/>
          <w:rFonts w:hint="default" w:ascii="Times New Roman" w:hAnsi="Times New Roman" w:eastAsia="宋体" w:cs="Times New Roman"/>
          <w:sz w:val="20"/>
          <w:szCs w:val="20"/>
          <w:shd w:val="clear" w:color="auto" w:fill="FFFFFF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ind w:firstLine="2008" w:firstLineChars="100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bidi="ar"/>
        </w:rPr>
        <w:t>Supplementary Materials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line="480" w:lineRule="auto"/>
        <w:jc w:val="both"/>
        <w:textAlignment w:val="auto"/>
        <w:rPr>
          <w:rFonts w:hint="default" w:ascii="Times New Roman" w:hAnsi="Times New Roman" w:eastAsia="宋体" w:cs="Times New Roman"/>
          <w:b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line="480" w:lineRule="auto"/>
        <w:jc w:val="both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sz w:val="20"/>
          <w:szCs w:val="20"/>
          <w:lang w:eastAsia="zh-CN"/>
        </w:rPr>
        <w:t xml:space="preserve">Supplementary Table1. </w:t>
      </w:r>
      <w:r>
        <w:rPr>
          <w:rFonts w:hint="default" w:ascii="Times New Roman" w:hAnsi="Times New Roman" w:cs="Times New Roman"/>
          <w:b/>
          <w:sz w:val="20"/>
          <w:szCs w:val="20"/>
        </w:rPr>
        <w:t>Proinflammatory biomarkers between NEC and HC group</w:t>
      </w:r>
    </w:p>
    <w:tbl>
      <w:tblPr>
        <w:tblStyle w:val="5"/>
        <w:tblpPr w:leftFromText="180" w:rightFromText="180" w:vertAnchor="text" w:horzAnchor="page" w:tblpX="1547" w:tblpY="269"/>
        <w:tblOverlap w:val="never"/>
        <w:tblW w:w="9221" w:type="dxa"/>
        <w:tblCellSpacing w:w="0" w:type="dxa"/>
        <w:tblInd w:w="-15" w:type="dxa"/>
        <w:tblBorders>
          <w:top w:val="single" w:color="080000" w:sz="6" w:space="0"/>
          <w:left w:val="none" w:color="auto" w:sz="0" w:space="0"/>
          <w:bottom w:val="single" w:color="080000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10"/>
        <w:gridCol w:w="2048"/>
        <w:gridCol w:w="1125"/>
        <w:gridCol w:w="2115"/>
        <w:gridCol w:w="1128"/>
      </w:tblGrid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vMerge w:val="restart"/>
            <w:tcBorders>
              <w:top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0"/>
                <w:szCs w:val="20"/>
              </w:rPr>
              <w:t>iomarker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（NPX）</w:t>
            </w:r>
          </w:p>
        </w:tc>
        <w:tc>
          <w:tcPr>
            <w:tcW w:w="1410" w:type="dxa"/>
            <w:vMerge w:val="restart"/>
            <w:tcBorders>
              <w:top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EC vs.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HC group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(n)</w:t>
            </w:r>
          </w:p>
        </w:tc>
        <w:tc>
          <w:tcPr>
            <w:tcW w:w="3173" w:type="dxa"/>
            <w:gridSpan w:val="2"/>
            <w:tcBorders>
              <w:top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U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nivariate analysis</w:t>
            </w:r>
          </w:p>
        </w:tc>
        <w:tc>
          <w:tcPr>
            <w:tcW w:w="3243" w:type="dxa"/>
            <w:gridSpan w:val="2"/>
            <w:tcBorders>
              <w:top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Multivariate Analysis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  <w:vertAlign w:val="superscript"/>
              </w:rPr>
              <w:t>#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vMerge w:val="continue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0" w:type="dxa"/>
            <w:vMerge w:val="continue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color="080000" w:sz="6" w:space="0"/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R 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5%CI)</w:t>
            </w:r>
          </w:p>
        </w:tc>
        <w:tc>
          <w:tcPr>
            <w:tcW w:w="1125" w:type="dxa"/>
            <w:tcBorders>
              <w:top w:val="single" w:color="080000" w:sz="6" w:space="0"/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231F20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value</w:t>
            </w:r>
          </w:p>
        </w:tc>
        <w:tc>
          <w:tcPr>
            <w:tcW w:w="2115" w:type="dxa"/>
            <w:tcBorders>
              <w:top w:val="single" w:color="080000" w:sz="6" w:space="0"/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R 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5%CI)</w:t>
            </w:r>
          </w:p>
        </w:tc>
        <w:tc>
          <w:tcPr>
            <w:tcW w:w="1128" w:type="dxa"/>
            <w:tcBorders>
              <w:top w:val="single" w:color="080000" w:sz="6" w:space="0"/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231F20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value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IL-8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29</w:t>
            </w:r>
          </w:p>
        </w:tc>
        <w:tc>
          <w:tcPr>
            <w:tcW w:w="204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.897(2.264-15.361)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0.001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***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7.50(2.235-25.171)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0.001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OPG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29</w:t>
            </w:r>
          </w:p>
        </w:tc>
        <w:tc>
          <w:tcPr>
            <w:tcW w:w="204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8.978(3.651-98.660)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0.001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***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2.410(4.270-246.003)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TRAIL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29</w:t>
            </w:r>
          </w:p>
        </w:tc>
        <w:tc>
          <w:tcPr>
            <w:tcW w:w="204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.115(0.033-0.406)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.117 (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.033-0.413)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0.001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CXCL1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29</w:t>
            </w:r>
          </w:p>
        </w:tc>
        <w:tc>
          <w:tcPr>
            <w:tcW w:w="204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2.977(1.598-5.547)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3.295(1.610-6.745)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0.001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TSLP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29</w:t>
            </w:r>
          </w:p>
        </w:tc>
        <w:tc>
          <w:tcPr>
            <w:tcW w:w="204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6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.443(2.132-19.469)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15.728(3.369-73.413)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0.001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MCP-4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29</w:t>
            </w:r>
          </w:p>
        </w:tc>
        <w:tc>
          <w:tcPr>
            <w:tcW w:w="204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.340(0.166-0.698)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0.262(0.111-0.617)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&lt;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0.001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TNFSF14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29</w:t>
            </w:r>
          </w:p>
        </w:tc>
        <w:tc>
          <w:tcPr>
            <w:tcW w:w="204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.893(1.110-3.231)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.019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1.193(1.078-3.395)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0.027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IL-24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29</w:t>
            </w:r>
          </w:p>
        </w:tc>
        <w:tc>
          <w:tcPr>
            <w:tcW w:w="204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.60(1.568-4.309)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***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.320(1.734-6.358)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MMP-10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29</w:t>
            </w:r>
          </w:p>
        </w:tc>
        <w:tc>
          <w:tcPr>
            <w:tcW w:w="204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1.773(2.805-49.408)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7.433(2.999-101.330)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LIF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29</w:t>
            </w:r>
          </w:p>
        </w:tc>
        <w:tc>
          <w:tcPr>
            <w:tcW w:w="204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.353(2.50-34.992)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8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.499(2.091-34.553)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CCL20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29</w:t>
            </w:r>
          </w:p>
        </w:tc>
        <w:tc>
          <w:tcPr>
            <w:tcW w:w="204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.524(1.858-6685)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***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.020</w:t>
            </w: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(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2.180-11.560)</w:t>
            </w:r>
          </w:p>
        </w:tc>
        <w:tc>
          <w:tcPr>
            <w:tcW w:w="11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***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#:</w:t>
      </w:r>
      <w:r>
        <w:rPr>
          <w:rFonts w:hint="default" w:ascii="Times New Roman" w:hAnsi="Times New Roman" w:cs="Times New Roman"/>
          <w:sz w:val="20"/>
          <w:szCs w:val="20"/>
        </w:rPr>
        <w:t xml:space="preserve"> Adjusted by gestational age, birth weight, sex, and fetal distress. </w:t>
      </w:r>
      <w:r>
        <w:rPr>
          <w:rFonts w:hint="default" w:ascii="Times New Roman" w:hAnsi="Times New Roman" w:eastAsia="宋体" w:cs="Times New Roman"/>
          <w:color w:val="000000"/>
          <w:kern w:val="24"/>
          <w:sz w:val="20"/>
          <w:szCs w:val="20"/>
          <w:lang w:eastAsia="zh-CN"/>
        </w:rPr>
        <w:t>*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231F20"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color w:val="000000"/>
          <w:kern w:val="24"/>
          <w:sz w:val="20"/>
          <w:szCs w:val="20"/>
          <w:lang w:eastAsia="zh-CN"/>
        </w:rPr>
        <w:t>&lt;0.05, **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231F20"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color w:val="000000"/>
          <w:kern w:val="24"/>
          <w:sz w:val="20"/>
          <w:szCs w:val="20"/>
          <w:lang w:eastAsia="zh-CN"/>
        </w:rPr>
        <w:t>&lt;0.01, ***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231F20"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color w:val="000000"/>
          <w:kern w:val="24"/>
          <w:sz w:val="20"/>
          <w:szCs w:val="20"/>
          <w:lang w:eastAsia="zh-CN"/>
        </w:rPr>
        <w:t xml:space="preserve">&lt;0.001.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  <w:lang w:eastAsia="zh-CN"/>
        </w:rPr>
        <w:t>Supplementary Table2.</w:t>
      </w:r>
      <w:r>
        <w:rPr>
          <w:rFonts w:hint="eastAsia" w:ascii="Times New Roman" w:hAnsi="Times New Roman" w:cs="Times New Roman"/>
          <w:b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  <w:lang w:eastAsia="zh-CN"/>
        </w:rPr>
        <w:t>Proinflammatory biomarkers between NEC and seps</w:t>
      </w:r>
      <w:r>
        <w:rPr>
          <w:rFonts w:hint="default" w:ascii="Times New Roman" w:hAnsi="Times New Roman" w:eastAsia="宋体" w:cs="Times New Roman"/>
          <w:b/>
          <w:sz w:val="20"/>
          <w:szCs w:val="20"/>
          <w:lang w:eastAsia="zh-CN"/>
        </w:rPr>
        <w:t>is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 group</w:t>
      </w:r>
    </w:p>
    <w:tbl>
      <w:tblPr>
        <w:tblStyle w:val="5"/>
        <w:tblW w:w="9220" w:type="dxa"/>
        <w:tblCellSpacing w:w="0" w:type="dxa"/>
        <w:tblInd w:w="0" w:type="dxa"/>
        <w:tblBorders>
          <w:top w:val="single" w:color="080000" w:sz="6" w:space="0"/>
          <w:left w:val="none" w:color="auto" w:sz="0" w:space="0"/>
          <w:bottom w:val="single" w:color="080000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1460"/>
        <w:gridCol w:w="2025"/>
        <w:gridCol w:w="1140"/>
        <w:gridCol w:w="2160"/>
        <w:gridCol w:w="1193"/>
      </w:tblGrid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4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Biomarkers（NPX）</w:t>
            </w:r>
          </w:p>
        </w:tc>
        <w:tc>
          <w:tcPr>
            <w:tcW w:w="146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NEC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 vs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Sepsis group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)</w:t>
            </w:r>
          </w:p>
        </w:tc>
        <w:tc>
          <w:tcPr>
            <w:tcW w:w="3165" w:type="dxa"/>
            <w:gridSpan w:val="2"/>
            <w:tcBorders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U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nivariate analysis</w:t>
            </w:r>
          </w:p>
        </w:tc>
        <w:tc>
          <w:tcPr>
            <w:tcW w:w="3353" w:type="dxa"/>
            <w:gridSpan w:val="2"/>
            <w:tcBorders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Multivariate analysis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  <w:vertAlign w:val="superscript"/>
              </w:rPr>
              <w:t>#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1242" w:type="dxa"/>
            <w:vMerge w:val="continue"/>
            <w:tcBorders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0" w:type="dxa"/>
            <w:vMerge w:val="continue"/>
            <w:tcBorders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color="080000" w:sz="6" w:space="0"/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R 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5%CI)</w:t>
            </w:r>
          </w:p>
        </w:tc>
        <w:tc>
          <w:tcPr>
            <w:tcW w:w="1140" w:type="dxa"/>
            <w:tcBorders>
              <w:top w:val="single" w:color="080000" w:sz="6" w:space="0"/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231F20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value</w:t>
            </w:r>
          </w:p>
        </w:tc>
        <w:tc>
          <w:tcPr>
            <w:tcW w:w="2160" w:type="dxa"/>
            <w:tcBorders>
              <w:top w:val="single" w:color="080000" w:sz="6" w:space="0"/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R 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5%CI)</w:t>
            </w:r>
          </w:p>
        </w:tc>
        <w:tc>
          <w:tcPr>
            <w:tcW w:w="1193" w:type="dxa"/>
            <w:tcBorders>
              <w:top w:val="single" w:color="080000" w:sz="6" w:space="0"/>
              <w:bottom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231F20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value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IL-8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0/29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.736(1.195-2.521)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.004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.802(1.221-2.659)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OPG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0/29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.660(1.306-5.416)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.007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.838(1.333-6.042)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.007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TRAIL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0/29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.318(0.150-0.673)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.298(0.137-0.649)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CXCL1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0/29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.841(1.504-5.368)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.754(1.437-5.278)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TSLP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0/29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.730(1.484-9.373)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.90(1.495-10.178)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MCP-4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0/29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.041(0.202-0.798)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.009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.388(0.188-0.799)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.010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TNFSF14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0/29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.381(1.214-4.670)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.012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.277(1.128-4.597)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.022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IL-24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0/29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.148(1.353-3.412)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.333(1.413-3.853)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MMP-10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0/29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.694(1.461-9.341)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.006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.743(1.585-14.195)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LIF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0/29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.499(1.286-4.857)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.007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.670(1.224-5.823)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.014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CCL20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231F2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231F20"/>
                <w:sz w:val="20"/>
                <w:szCs w:val="20"/>
              </w:rPr>
              <w:t>0/29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0"/>
                <w:szCs w:val="20"/>
              </w:rPr>
              <w:t>.631(1.113-2.389)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.012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  <w:t>.813(1.182-2.782)</w:t>
            </w:r>
          </w:p>
        </w:tc>
        <w:tc>
          <w:tcPr>
            <w:tcW w:w="11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48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.006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sz w:val="20"/>
                <w:szCs w:val="20"/>
              </w:rPr>
              <w:t>**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#</w:t>
      </w:r>
      <w:r>
        <w:rPr>
          <w:rFonts w:hint="default" w:ascii="Times New Roman" w:hAnsi="Times New Roman" w:cs="Times New Roman"/>
          <w:sz w:val="20"/>
          <w:szCs w:val="20"/>
        </w:rPr>
        <w:t xml:space="preserve"> Adjusted by gestational age, birth weight, sex, and fetal distress. </w:t>
      </w:r>
      <w:r>
        <w:rPr>
          <w:rFonts w:hint="default" w:ascii="Times New Roman" w:hAnsi="Times New Roman" w:eastAsia="宋体" w:cs="Times New Roman"/>
          <w:color w:val="000000"/>
          <w:kern w:val="24"/>
          <w:sz w:val="20"/>
          <w:szCs w:val="20"/>
          <w:lang w:eastAsia="zh-CN"/>
        </w:rPr>
        <w:t>*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231F20"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color w:val="000000"/>
          <w:kern w:val="24"/>
          <w:sz w:val="20"/>
          <w:szCs w:val="20"/>
          <w:lang w:eastAsia="zh-CN"/>
        </w:rPr>
        <w:t>&lt;0.05, **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231F20"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color w:val="000000"/>
          <w:kern w:val="24"/>
          <w:sz w:val="20"/>
          <w:szCs w:val="20"/>
          <w:lang w:eastAsia="zh-CN"/>
        </w:rPr>
        <w:t>&lt;0.01.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b/>
          <w:sz w:val="20"/>
          <w:szCs w:val="20"/>
          <w:lang w:eastAsia="zh-CN"/>
        </w:rPr>
      </w:pPr>
      <w:r>
        <w:rPr>
          <w:rFonts w:hint="default" w:ascii="Times New Roman" w:hAnsi="Times New Roman" w:eastAsia="宋体" w:cs="Times New Roman"/>
          <w:b/>
          <w:sz w:val="20"/>
          <w:szCs w:val="20"/>
          <w:lang w:eastAsia="zh-CN"/>
        </w:rPr>
        <w:t>Supplementary Fig.1. Diagnostic value of the biomarkers between NEC and HC group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sv-SE" w:eastAsia="zh-CN"/>
        </w:rPr>
        <w:drawing>
          <wp:inline distT="0" distB="0" distL="114300" distR="114300">
            <wp:extent cx="5270500" cy="5753735"/>
            <wp:effectExtent l="0" t="0" r="0" b="12065"/>
            <wp:docPr id="67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Diagnostic value of the biomarkers between NEC and HC group: AUC for different biomarkers. AUC 0.5-0.7: acceptable; AUC 0.7-0.85: good; AUC 0.85-0.95: excellent. Model 1: the11 markers are combined.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b/>
          <w:sz w:val="20"/>
          <w:szCs w:val="20"/>
          <w:lang w:eastAsia="zh-CN"/>
        </w:rPr>
      </w:pPr>
      <w:r>
        <w:rPr>
          <w:rFonts w:hint="default" w:ascii="Times New Roman" w:hAnsi="Times New Roman" w:eastAsia="宋体" w:cs="Times New Roman"/>
          <w:b/>
          <w:sz w:val="20"/>
          <w:szCs w:val="20"/>
          <w:lang w:eastAsia="zh-CN"/>
        </w:rPr>
        <w:t>Supplementary Fig.2. Diagnostic value of the biomarkers between NEC and sepsis group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sv-SE" w:eastAsia="zh-CN"/>
        </w:rPr>
        <w:drawing>
          <wp:inline distT="0" distB="0" distL="114300" distR="114300">
            <wp:extent cx="4636135" cy="3834130"/>
            <wp:effectExtent l="0" t="0" r="12065" b="1270"/>
            <wp:docPr id="6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6135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Diagnostic value of the biomarkers between NEC and Sepsis group: AUC for different biomarkers. AUC 0.5-0.7: acceptable; AUC 0.7-0.85: good; AUC 0.85-0.95: excellent.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default" w:ascii="Times New Roman" w:hAnsi="Times New Roman" w:eastAsia="宋体" w:cs="Times New Roman"/>
          <w:b/>
          <w:sz w:val="20"/>
          <w:szCs w:val="20"/>
          <w:lang w:eastAsia="zh-CN"/>
        </w:rPr>
        <w:t xml:space="preserve">Supplementary Fig.3. Diagnostic value of the biomarkers between NEC stage II and III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sv-SE" w:eastAsia="zh-CN"/>
        </w:rPr>
        <w:drawing>
          <wp:inline distT="0" distB="0" distL="114300" distR="114300">
            <wp:extent cx="5274310" cy="5074285"/>
            <wp:effectExtent l="0" t="0" r="8890" b="5715"/>
            <wp:docPr id="67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7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Diagnostic value of the biomarkers between NE C stage II and III groups: AUC for different biomarkers. AUC 0.5-0.7: acceptable; AUC 0.7-0.85: good; AUC 0.85-0.95: excellent. Model 1：the 6 markers are combined.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480" w:lineRule="auto"/>
        <w:textAlignment w:val="auto"/>
        <w:rPr>
          <w:rFonts w:hint="default" w:ascii="Times New Roman" w:hAnsi="Times New Roman" w:cs="Times New Roman"/>
          <w:sz w:val="20"/>
          <w:szCs w:val="20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hyphenationZone w:val="42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kMWEyNTlmMWE3MjVjYWY5Njc0NjE2MzJiZmViM2EifQ=="/>
    <w:docVar w:name="KY_MEDREF_DOCUID" w:val="{9675669A-8CEE-4B5D-A217-39904F8C2396}"/>
    <w:docVar w:name="KY_MEDREF_VERSION" w:val="3"/>
  </w:docVars>
  <w:rsids>
    <w:rsidRoot w:val="006E3A18"/>
    <w:rsid w:val="001C4367"/>
    <w:rsid w:val="003F4D37"/>
    <w:rsid w:val="00681085"/>
    <w:rsid w:val="006E3A18"/>
    <w:rsid w:val="00AD37F2"/>
    <w:rsid w:val="00AD68B6"/>
    <w:rsid w:val="00CB47C1"/>
    <w:rsid w:val="00FA7271"/>
    <w:rsid w:val="0DED6FC6"/>
    <w:rsid w:val="12305380"/>
    <w:rsid w:val="16625DF5"/>
    <w:rsid w:val="16EA2464"/>
    <w:rsid w:val="22202D07"/>
    <w:rsid w:val="24155071"/>
    <w:rsid w:val="291443A3"/>
    <w:rsid w:val="2A3A138D"/>
    <w:rsid w:val="3AD9266B"/>
    <w:rsid w:val="3D1819FE"/>
    <w:rsid w:val="42E02824"/>
    <w:rsid w:val="45E85CE9"/>
    <w:rsid w:val="4A58168F"/>
    <w:rsid w:val="4D6C0FAE"/>
    <w:rsid w:val="56CB24FB"/>
    <w:rsid w:val="5B5E5FBC"/>
    <w:rsid w:val="5E234D4C"/>
    <w:rsid w:val="66AE0706"/>
    <w:rsid w:val="66BB45EB"/>
    <w:rsid w:val="6F602234"/>
    <w:rsid w:val="731414E1"/>
    <w:rsid w:val="74B05CB5"/>
    <w:rsid w:val="781E0F73"/>
    <w:rsid w:val="79500A6B"/>
    <w:rsid w:val="7C78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qFormat/>
    <w:uiPriority w:val="99"/>
    <w:pPr>
      <w:spacing w:after="0" w:line="240" w:lineRule="auto"/>
    </w:pPr>
    <w:rPr>
      <w:rFonts w:ascii="Calibri" w:hAnsi="Calibri" w:cs="Calibri"/>
    </w:rPr>
  </w:style>
  <w:style w:type="paragraph" w:styleId="3">
    <w:name w:val="Balloon Text"/>
    <w:basedOn w:val="1"/>
    <w:link w:val="9"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4">
    <w:name w:val="Normal (Web)"/>
    <w:basedOn w:val="1"/>
    <w:qFormat/>
    <w:uiPriority w:val="0"/>
    <w:pPr>
      <w:spacing w:beforeAutospacing="1" w:after="0" w:afterAutospacing="1"/>
    </w:pPr>
    <w:rPr>
      <w:rFonts w:cs="Times New Roman"/>
      <w:sz w:val="24"/>
      <w:lang w:eastAsia="zh-CN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semiHidden/>
    <w:unhideWhenUsed/>
    <w:qFormat/>
    <w:uiPriority w:val="99"/>
    <w:rPr>
      <w:color w:val="0563C1"/>
      <w:u w:val="single"/>
    </w:rPr>
  </w:style>
  <w:style w:type="character" w:customStyle="1" w:styleId="9">
    <w:name w:val="Balloon Text Char"/>
    <w:basedOn w:val="6"/>
    <w:link w:val="3"/>
    <w:qFormat/>
    <w:uiPriority w:val="0"/>
    <w:rPr>
      <w:rFonts w:ascii="Tahoma" w:hAnsi="Tahoma" w:cs="Tahoma" w:eastAsiaTheme="minorHAnsi"/>
      <w:sz w:val="16"/>
      <w:szCs w:val="16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University of Gothenburg</Company>
  <Pages>6</Pages>
  <Words>463</Words>
  <Characters>3318</Characters>
  <Lines>22</Lines>
  <Paragraphs>5</Paragraphs>
  <TotalTime>12</TotalTime>
  <ScaleCrop>false</ScaleCrop>
  <LinksUpToDate>false</LinksUpToDate>
  <CharactersWithSpaces>3610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2022-11-29T10:47:00Z</dcterms:created>
  <dc:creator>abras</dc:creator>
  <cp:lastModifiedBy>董慧芳</cp:lastModifiedBy>
  <dcterms:modified xsi:type="dcterms:W3CDTF">2022-12-09T08:39:33Z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99822688B516424D8E88C06E7C7C532A</vt:lpwstr>
  </property>
</Properties>
</file>