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480"/>
        <w:jc w:val="both"/>
        <w:rPr>
          <w:b/>
          <w:color w:themeColor="accent6" w:themeShade="bf" w:val="538135"/>
          <w:lang w:val="en-GB"/>
        </w:rPr>
      </w:pPr>
      <w:r>
        <w:rPr>
          <w:b/>
          <w:color w:themeColor="accent6" w:themeShade="bf" w:val="538135"/>
          <w:lang w:val="en-GB"/>
        </w:rPr>
        <w:t>Supplementary Material</w:t>
      </w:r>
    </w:p>
    <w:p>
      <w:pPr>
        <w:pStyle w:val="Normal"/>
        <w:bidi w:val="0"/>
        <w:spacing w:lineRule="auto" w:line="480"/>
        <w:jc w:val="both"/>
        <w:rPr>
          <w:b/>
          <w:color w:themeColor="accent6" w:themeShade="bf" w:val="538135"/>
          <w:lang w:val="en-GB"/>
        </w:rPr>
      </w:pPr>
      <w:r>
        <w:rPr>
          <w:b/>
          <w:color w:themeColor="accent6" w:themeShade="bf" w:val="538135"/>
          <w:lang w:val="en-GB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1291590</wp:posOffset>
            </wp:positionH>
            <wp:positionV relativeFrom="paragraph">
              <wp:posOffset>107950</wp:posOffset>
            </wp:positionV>
            <wp:extent cx="2082165" cy="3054350"/>
            <wp:effectExtent l="0" t="0" r="0" b="0"/>
            <wp:wrapSquare wrapText="bothSides"/>
            <wp:docPr id="1" name="Grafik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lineRule="auto" w:line="480"/>
        <w:jc w:val="both"/>
        <w:rPr>
          <w:b/>
          <w:color w:themeColor="accent6" w:themeShade="bf" w:val="538135"/>
          <w:lang w:val="en-GB"/>
        </w:rPr>
      </w:pPr>
      <w:r>
        <w:rPr>
          <w:b/>
          <w:color w:themeColor="accent6" w:themeShade="bf" w:val="538135"/>
          <w:lang w:val="en-GB"/>
        </w:rPr>
      </w:r>
    </w:p>
    <w:p>
      <w:pPr>
        <w:pStyle w:val="Normal"/>
        <w:bidi w:val="0"/>
        <w:spacing w:lineRule="auto" w:line="480"/>
        <w:jc w:val="both"/>
        <w:rPr>
          <w:b/>
          <w:color w:themeColor="accent6" w:themeShade="bf" w:val="538135"/>
          <w:lang w:val="en-GB"/>
        </w:rPr>
      </w:pPr>
      <w:r>
        <w:rPr>
          <w:b/>
          <w:color w:themeColor="accent6" w:themeShade="bf" w:val="538135"/>
          <w:lang w:val="en-GB"/>
        </w:rPr>
      </w:r>
    </w:p>
    <w:p>
      <w:pPr>
        <w:pStyle w:val="Normal"/>
        <w:bidi w:val="0"/>
        <w:spacing w:lineRule="auto" w:line="480"/>
        <w:jc w:val="both"/>
        <w:rPr>
          <w:b/>
          <w:color w:themeColor="accent6" w:themeShade="bf" w:val="538135"/>
          <w:lang w:val="en-GB"/>
        </w:rPr>
      </w:pPr>
      <w:r>
        <w:rPr>
          <w:b/>
          <w:color w:themeColor="accent6" w:themeShade="bf" w:val="538135"/>
          <w:lang w:val="en-GB"/>
        </w:rPr>
      </w:r>
    </w:p>
    <w:p>
      <w:pPr>
        <w:pStyle w:val="Normal"/>
        <w:bidi w:val="0"/>
        <w:spacing w:lineRule="auto" w:line="480"/>
        <w:jc w:val="both"/>
        <w:rPr>
          <w:b/>
          <w:color w:themeColor="accent6" w:themeShade="bf" w:val="538135"/>
          <w:lang w:val="en-GB"/>
        </w:rPr>
      </w:pPr>
      <w:r>
        <w:rPr>
          <w:b/>
          <w:color w:themeColor="accent6" w:themeShade="bf" w:val="538135"/>
          <w:lang w:val="en-GB"/>
        </w:rPr>
      </w:r>
    </w:p>
    <w:p>
      <w:pPr>
        <w:pStyle w:val="Normal"/>
        <w:bidi w:val="0"/>
        <w:spacing w:lineRule="auto" w:line="480"/>
        <w:jc w:val="both"/>
        <w:rPr>
          <w:b/>
          <w:color w:themeColor="accent6" w:themeShade="bf" w:val="538135"/>
          <w:lang w:val="en-GB"/>
        </w:rPr>
      </w:pPr>
      <w:r>
        <w:rPr>
          <w:b/>
          <w:color w:themeColor="accent6" w:themeShade="bf" w:val="538135"/>
          <w:lang w:val="en-GB"/>
        </w:rPr>
      </w:r>
    </w:p>
    <w:p>
      <w:pPr>
        <w:pStyle w:val="Normal"/>
        <w:bidi w:val="0"/>
        <w:spacing w:lineRule="auto" w:line="480"/>
        <w:jc w:val="both"/>
        <w:rPr>
          <w:b/>
          <w:bCs/>
          <w:color w:themeColor="accent6" w:themeShade="bf" w:val="538135"/>
          <w:lang w:val="en-GB"/>
        </w:rPr>
      </w:pPr>
      <w:r>
        <w:rPr>
          <w:b/>
          <w:bCs/>
          <w:color w:themeColor="accent6" w:themeShade="bf" w:val="538135"/>
          <w:lang w:val="en-GB"/>
        </w:rPr>
      </w:r>
    </w:p>
    <w:p>
      <w:pPr>
        <w:pStyle w:val="Normal"/>
        <w:bidi w:val="0"/>
        <w:spacing w:lineRule="auto" w:line="480"/>
        <w:jc w:val="both"/>
        <w:rPr>
          <w:b/>
          <w:bCs/>
          <w:color w:themeColor="accent6" w:themeShade="bf" w:val="538135"/>
          <w:lang w:val="en-GB"/>
        </w:rPr>
      </w:pPr>
      <w:r>
        <w:rPr>
          <w:b/>
          <w:bCs/>
          <w:color w:themeColor="accent6" w:themeShade="bf" w:val="538135"/>
          <w:lang w:val="en-GB"/>
        </w:rPr>
      </w:r>
    </w:p>
    <w:p>
      <w:pPr>
        <w:pStyle w:val="Normal"/>
        <w:bidi w:val="0"/>
        <w:spacing w:lineRule="auto" w:line="480"/>
        <w:jc w:val="both"/>
        <w:rPr>
          <w:b/>
          <w:bCs/>
          <w:color w:themeColor="accent6" w:themeShade="bf" w:val="538135"/>
          <w:lang w:val="en-GB"/>
        </w:rPr>
      </w:pPr>
      <w:r>
        <w:rPr>
          <w:b/>
          <w:bCs/>
          <w:color w:themeColor="accent6" w:themeShade="bf" w:val="538135"/>
          <w:lang w:val="en-GB"/>
        </w:rPr>
      </w:r>
    </w:p>
    <w:p>
      <w:pPr>
        <w:pStyle w:val="Normal"/>
        <w:bidi w:val="0"/>
        <w:spacing w:lineRule="auto" w:line="480"/>
        <w:jc w:val="both"/>
        <w:rPr>
          <w:b/>
          <w:bCs/>
          <w:color w:themeColor="accent6" w:themeShade="bf" w:val="538135"/>
          <w:lang w:val="en-GB"/>
        </w:rPr>
      </w:pPr>
      <w:r>
        <w:rPr>
          <w:b/>
          <w:bCs/>
          <w:color w:themeColor="accent6" w:themeShade="bf" w:val="538135"/>
          <w:lang w:val="en-GB"/>
        </w:rPr>
      </w:r>
    </w:p>
    <w:p>
      <w:pPr>
        <w:pStyle w:val="Normal"/>
        <w:bidi w:val="0"/>
        <w:spacing w:lineRule="auto" w:line="480"/>
        <w:jc w:val="both"/>
        <w:rPr>
          <w:b/>
          <w:bCs/>
          <w:color w:themeColor="accent6" w:themeShade="bf" w:val="538135"/>
          <w:lang w:val="en-GB"/>
        </w:rPr>
      </w:pPr>
      <w:r>
        <w:rPr>
          <w:b/>
          <w:bCs/>
          <w:color w:val="000000"/>
          <w:lang w:val="en-GB"/>
        </w:rPr>
        <w:t>Supplementary Figure 1: Activation of the high affinity IgE receptor (FcεRI) highly increased CysLT release, which was slightly enhanced in mast cells pre-treated with histamine from healthy volunteers (HVs) and atopic dermatitis (AD) patients.</w:t>
      </w:r>
    </w:p>
    <w:p>
      <w:pPr>
        <w:pStyle w:val="Normal"/>
        <w:bidi w:val="0"/>
        <w:spacing w:lineRule="auto" w:line="480"/>
        <w:jc w:val="both"/>
        <w:rPr>
          <w:color w:themeColor="accent6" w:themeShade="bf" w:val="538135"/>
          <w:lang w:val="en-GB"/>
        </w:rPr>
      </w:pPr>
      <w:r>
        <w:rPr>
          <w:color w:val="000000"/>
          <w:lang w:val="en-GB"/>
        </w:rPr>
        <w:t>Human CD34+ progenitor derived mast cells from peripheral blood of HVs or AD patients were pre-incubated with histamine (Hist) (10 µmol/l) for 24 h or left non-stimulated (NS). The high affinity IgE receptor (FcεRI) was activated with antibodies (Anti-IgE) (100 ng/ml) directed against the ε chain of the FcεRI for 30 min. CysLT production was detected by ELISA. Data are shown as individual values with medians. (n = 3, 2 HVs, 1 AD patient marked in red).</w:t>
      </w:r>
    </w:p>
    <w:p>
      <w:pPr>
        <w:pStyle w:val="Normal"/>
        <w:bidi w:val="0"/>
        <w:spacing w:lineRule="auto" w:line="480"/>
        <w:jc w:val="both"/>
        <w:rPr>
          <w:color w:themeColor="accent6" w:themeShade="bf" w:val="538135"/>
          <w:lang w:val="en-GB"/>
        </w:rPr>
      </w:pPr>
      <w:r>
        <w:rPr>
          <w:color w:themeColor="accent6" w:themeShade="bf" w:val="538135"/>
          <w:lang w:val="en-GB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LibreOffice/24.2.1.2$Windows_X86_64 LibreOffice_project/db4def46b0453cc22e2d0305797cf981b68ef5ac</Application>
  <AppVersion>15.0000</AppVersion>
  <Pages>1</Pages>
  <Words>113</Words>
  <Characters>612</Characters>
  <CharactersWithSpaces>722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2024-10-28T20:22:45Z</dcterms:created>
  <dc:creator/>
  <dc:description/>
  <dc:language>de-DE</dc:language>
  <cp:lastModifiedBy/>
  <dcterms:modified xsi:type="dcterms:W3CDTF">2024-10-28T20:24:15Z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