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EA" w:rsidRPr="006B0C0C" w:rsidRDefault="00E245EA" w:rsidP="00E245EA">
      <w:pPr>
        <w:spacing w:line="480" w:lineRule="auto"/>
        <w:jc w:val="both"/>
        <w:outlineLvl w:val="0"/>
        <w:rPr>
          <w:b/>
        </w:rPr>
      </w:pPr>
      <w:r w:rsidRPr="006B0C0C">
        <w:rPr>
          <w:b/>
        </w:rPr>
        <w:t xml:space="preserve">Supplementary </w:t>
      </w:r>
      <w:r>
        <w:rPr>
          <w:b/>
        </w:rPr>
        <w:t>Material</w:t>
      </w:r>
    </w:p>
    <w:p w:rsidR="00E245EA" w:rsidRDefault="00E245EA" w:rsidP="00E245EA">
      <w:pPr>
        <w:spacing w:line="480" w:lineRule="auto"/>
        <w:jc w:val="both"/>
        <w:rPr>
          <w:u w:val="single"/>
        </w:rPr>
      </w:pPr>
    </w:p>
    <w:p w:rsidR="00E245EA" w:rsidRPr="000B6C76" w:rsidRDefault="00E245EA" w:rsidP="00E245EA">
      <w:pPr>
        <w:spacing w:line="480" w:lineRule="auto"/>
        <w:jc w:val="both"/>
        <w:outlineLvl w:val="0"/>
        <w:rPr>
          <w:rFonts w:cs="Arial"/>
          <w:b/>
        </w:rPr>
      </w:pPr>
      <w:r>
        <w:rPr>
          <w:rFonts w:cs="Arial"/>
          <w:b/>
        </w:rPr>
        <w:t xml:space="preserve">Online Resource 1. </w:t>
      </w:r>
      <w:r w:rsidRPr="000B6C76">
        <w:rPr>
          <w:rFonts w:cs="Arial"/>
          <w:b/>
        </w:rPr>
        <w:t xml:space="preserve">Spatial distribution of </w:t>
      </w:r>
      <w:proofErr w:type="spellStart"/>
      <w:r w:rsidRPr="000B6C76">
        <w:rPr>
          <w:rFonts w:cs="Arial"/>
          <w:b/>
        </w:rPr>
        <w:t>microRNAs</w:t>
      </w:r>
      <w:proofErr w:type="spellEnd"/>
      <w:r w:rsidRPr="000B6C76">
        <w:rPr>
          <w:rFonts w:cs="Arial"/>
          <w:b/>
        </w:rPr>
        <w:t xml:space="preserve"> in the human hippocampus</w:t>
      </w:r>
      <w:r>
        <w:rPr>
          <w:rFonts w:cs="Arial"/>
          <w:b/>
        </w:rPr>
        <w:t>.</w:t>
      </w:r>
    </w:p>
    <w:p w:rsidR="00E245EA" w:rsidRPr="008039FF" w:rsidRDefault="00E245EA" w:rsidP="00E245EA">
      <w:pPr>
        <w:spacing w:line="480" w:lineRule="auto"/>
        <w:jc w:val="both"/>
        <w:outlineLvl w:val="0"/>
        <w:rPr>
          <w:rFonts w:cs="Arial"/>
        </w:rPr>
      </w:pPr>
      <w:r>
        <w:rPr>
          <w:rFonts w:cs="Arial"/>
        </w:rPr>
        <w:t>The</w:t>
      </w:r>
      <w:r w:rsidRPr="008039FF">
        <w:rPr>
          <w:rFonts w:cs="Arial"/>
        </w:rPr>
        <w:t xml:space="preserve"> </w:t>
      </w:r>
      <w:r>
        <w:rPr>
          <w:rFonts w:cs="Arial"/>
        </w:rPr>
        <w:t xml:space="preserve">normal </w:t>
      </w:r>
      <w:r w:rsidRPr="008039FF">
        <w:rPr>
          <w:rFonts w:cs="Arial"/>
        </w:rPr>
        <w:t xml:space="preserve">spatial distribution </w:t>
      </w:r>
      <w:r>
        <w:rPr>
          <w:rFonts w:cs="Arial"/>
        </w:rPr>
        <w:t>of many</w:t>
      </w:r>
      <w:r w:rsidRPr="008039FF">
        <w:rPr>
          <w:rFonts w:cs="Arial"/>
        </w:rPr>
        <w:t xml:space="preserve"> of the </w:t>
      </w:r>
      <w:proofErr w:type="spellStart"/>
      <w:r w:rsidRPr="008039FF">
        <w:rPr>
          <w:rFonts w:cs="Arial"/>
        </w:rPr>
        <w:t>miRNAs</w:t>
      </w:r>
      <w:proofErr w:type="spellEnd"/>
      <w:r w:rsidRPr="008039FF">
        <w:rPr>
          <w:rFonts w:cs="Arial"/>
        </w:rPr>
        <w:t xml:space="preserve"> that are regulated in </w:t>
      </w:r>
      <w:proofErr w:type="spellStart"/>
      <w:r w:rsidRPr="008039FF">
        <w:rPr>
          <w:rFonts w:cs="Arial"/>
        </w:rPr>
        <w:t>mTLE</w:t>
      </w:r>
      <w:proofErr w:type="spellEnd"/>
      <w:r w:rsidRPr="008039FF">
        <w:rPr>
          <w:rFonts w:cs="Arial"/>
        </w:rPr>
        <w:t xml:space="preserve"> in our study </w:t>
      </w:r>
      <w:r>
        <w:rPr>
          <w:rFonts w:cs="Arial"/>
        </w:rPr>
        <w:t>is</w:t>
      </w:r>
      <w:r w:rsidRPr="008039FF">
        <w:rPr>
          <w:rFonts w:cs="Arial"/>
        </w:rPr>
        <w:t xml:space="preserve"> unknown</w:t>
      </w:r>
      <w:r>
        <w:rPr>
          <w:rFonts w:cs="Arial"/>
        </w:rPr>
        <w:t>.</w:t>
      </w:r>
      <w:r w:rsidRPr="008039FF">
        <w:rPr>
          <w:rFonts w:cs="Arial"/>
        </w:rPr>
        <w:t xml:space="preserve"> Therefore</w:t>
      </w:r>
      <w:r>
        <w:rPr>
          <w:rFonts w:cs="Arial"/>
        </w:rPr>
        <w:t>,</w:t>
      </w:r>
      <w:r w:rsidRPr="008039FF">
        <w:rPr>
          <w:rFonts w:cs="Arial"/>
        </w:rPr>
        <w:t xml:space="preserve"> </w:t>
      </w:r>
      <w:proofErr w:type="spellStart"/>
      <w:r w:rsidRPr="008039FF">
        <w:rPr>
          <w:rFonts w:cs="Arial"/>
        </w:rPr>
        <w:t>LNA</w:t>
      </w:r>
      <w:proofErr w:type="spellEnd"/>
      <w:r w:rsidRPr="008039FF">
        <w:rPr>
          <w:rFonts w:cs="Arial"/>
        </w:rPr>
        <w:t xml:space="preserve"> probe-based </w:t>
      </w:r>
      <w:proofErr w:type="spellStart"/>
      <w:r w:rsidRPr="008039FF">
        <w:rPr>
          <w:rFonts w:cs="Arial"/>
        </w:rPr>
        <w:t>miRNA</w:t>
      </w:r>
      <w:proofErr w:type="spellEnd"/>
      <w:r w:rsidRPr="008039FF">
        <w:rPr>
          <w:rFonts w:cs="Arial"/>
        </w:rPr>
        <w:t xml:space="preserve"> </w:t>
      </w:r>
      <w:r w:rsidRPr="008039FF">
        <w:rPr>
          <w:rFonts w:cs="Arial"/>
          <w:i/>
        </w:rPr>
        <w:t>in situ</w:t>
      </w:r>
      <w:r w:rsidRPr="008039FF">
        <w:rPr>
          <w:rFonts w:cs="Arial"/>
        </w:rPr>
        <w:t xml:space="preserve"> hybridization</w:t>
      </w:r>
      <w:r>
        <w:rPr>
          <w:rFonts w:cs="Arial"/>
        </w:rPr>
        <w:t>s</w:t>
      </w:r>
      <w:r w:rsidRPr="008039FF">
        <w:rPr>
          <w:rFonts w:cs="Arial"/>
        </w:rPr>
        <w:t xml:space="preserve"> (</w:t>
      </w:r>
      <w:proofErr w:type="spellStart"/>
      <w:r w:rsidRPr="008039FF">
        <w:rPr>
          <w:rFonts w:cs="Arial"/>
        </w:rPr>
        <w:t>miRNA-ISH</w:t>
      </w:r>
      <w:proofErr w:type="spellEnd"/>
      <w:r w:rsidRPr="008039FF">
        <w:rPr>
          <w:rFonts w:cs="Arial"/>
        </w:rPr>
        <w:t>)</w:t>
      </w:r>
      <w:r>
        <w:rPr>
          <w:rFonts w:cs="Arial"/>
        </w:rPr>
        <w:t xml:space="preserve"> were performed for</w:t>
      </w:r>
      <w:r w:rsidRPr="008039FF">
        <w:rPr>
          <w:rFonts w:cs="Arial"/>
        </w:rPr>
        <w:t xml:space="preserve"> several of the most affected </w:t>
      </w:r>
      <w:proofErr w:type="spellStart"/>
      <w:r w:rsidRPr="008039FF">
        <w:rPr>
          <w:rFonts w:cs="Arial"/>
        </w:rPr>
        <w:t>miRNAs</w:t>
      </w:r>
      <w:proofErr w:type="spellEnd"/>
      <w:r>
        <w:rPr>
          <w:rFonts w:cs="Arial"/>
        </w:rPr>
        <w:t xml:space="preserve"> on autopsy control tissue</w:t>
      </w:r>
      <w:r w:rsidRPr="008039FF">
        <w:rPr>
          <w:rFonts w:cs="Arial"/>
        </w:rPr>
        <w:t xml:space="preserve">. </w:t>
      </w:r>
      <w:r>
        <w:rPr>
          <w:rFonts w:cs="Arial"/>
        </w:rPr>
        <w:t>S</w:t>
      </w:r>
      <w:r w:rsidRPr="008039FF">
        <w:rPr>
          <w:rFonts w:cs="Arial"/>
        </w:rPr>
        <w:t xml:space="preserve">patial </w:t>
      </w:r>
      <w:r>
        <w:rPr>
          <w:rFonts w:cs="Arial"/>
        </w:rPr>
        <w:t>expression pattern</w:t>
      </w:r>
      <w:r w:rsidRPr="008039FF">
        <w:rPr>
          <w:rFonts w:cs="Arial"/>
        </w:rPr>
        <w:t xml:space="preserve"> of </w:t>
      </w:r>
      <w:proofErr w:type="spellStart"/>
      <w:r w:rsidRPr="008039FF">
        <w:rPr>
          <w:rFonts w:cs="Arial"/>
        </w:rPr>
        <w:t>miRNAs</w:t>
      </w:r>
      <w:proofErr w:type="spellEnd"/>
      <w:r w:rsidRPr="008039FF">
        <w:rPr>
          <w:rFonts w:cs="Arial"/>
        </w:rPr>
        <w:t xml:space="preserve"> </w:t>
      </w:r>
      <w:r>
        <w:rPr>
          <w:rFonts w:cs="Arial"/>
        </w:rPr>
        <w:t xml:space="preserve">determined by </w:t>
      </w:r>
      <w:proofErr w:type="spellStart"/>
      <w:r>
        <w:rPr>
          <w:rFonts w:cs="Arial"/>
        </w:rPr>
        <w:t>miRNA-ISH</w:t>
      </w:r>
      <w:proofErr w:type="spellEnd"/>
      <w:r>
        <w:rPr>
          <w:rFonts w:cs="Arial"/>
        </w:rPr>
        <w:t xml:space="preserve"> </w:t>
      </w:r>
      <w:r w:rsidRPr="008039FF">
        <w:rPr>
          <w:rFonts w:cs="Arial"/>
        </w:rPr>
        <w:t xml:space="preserve">on consecutive paraffin sections from hippocampal tissue of </w:t>
      </w:r>
      <w:r>
        <w:rPr>
          <w:rFonts w:cs="Arial"/>
        </w:rPr>
        <w:t>a representative control</w:t>
      </w:r>
      <w:r w:rsidRPr="008039FF">
        <w:rPr>
          <w:rFonts w:cs="Arial"/>
        </w:rPr>
        <w:t xml:space="preserve"> patient</w:t>
      </w:r>
      <w:r>
        <w:rPr>
          <w:rFonts w:cs="Arial"/>
        </w:rPr>
        <w:t xml:space="preserve"> is shown</w:t>
      </w:r>
      <w:r w:rsidRPr="008039FF">
        <w:rPr>
          <w:rFonts w:cs="Arial"/>
        </w:rPr>
        <w:t xml:space="preserve">. </w:t>
      </w:r>
      <w:r>
        <w:rPr>
          <w:rFonts w:cs="Arial"/>
        </w:rPr>
        <w:t>The</w:t>
      </w:r>
      <w:r w:rsidRPr="008039FF">
        <w:rPr>
          <w:rFonts w:cs="Arial"/>
        </w:rPr>
        <w:t xml:space="preserve"> </w:t>
      </w:r>
      <w:r>
        <w:rPr>
          <w:rFonts w:cs="Arial"/>
        </w:rPr>
        <w:t>expression</w:t>
      </w:r>
      <w:r w:rsidRPr="008039FF">
        <w:rPr>
          <w:rFonts w:cs="Arial"/>
        </w:rPr>
        <w:t xml:space="preserve"> patterns </w:t>
      </w:r>
      <w:r>
        <w:rPr>
          <w:rFonts w:cs="Arial"/>
        </w:rPr>
        <w:t xml:space="preserve">for each </w:t>
      </w:r>
      <w:proofErr w:type="spellStart"/>
      <w:r>
        <w:rPr>
          <w:rFonts w:cs="Arial"/>
        </w:rPr>
        <w:t>miRNA</w:t>
      </w:r>
      <w:proofErr w:type="spellEnd"/>
      <w:r>
        <w:rPr>
          <w:rFonts w:cs="Arial"/>
        </w:rPr>
        <w:t xml:space="preserve"> were consistent across patients</w:t>
      </w:r>
      <w:r w:rsidRPr="008039FF">
        <w:rPr>
          <w:rFonts w:cs="Arial"/>
        </w:rPr>
        <w:t>.</w:t>
      </w:r>
      <w:r>
        <w:rPr>
          <w:rFonts w:cs="Arial"/>
        </w:rPr>
        <w:t xml:space="preserve"> </w:t>
      </w:r>
      <w:r w:rsidRPr="008039FF">
        <w:rPr>
          <w:rFonts w:cs="Arial"/>
        </w:rPr>
        <w:t xml:space="preserve">The neuronal </w:t>
      </w:r>
      <w:proofErr w:type="spellStart"/>
      <w:r w:rsidRPr="008039FF">
        <w:rPr>
          <w:rFonts w:cs="Arial"/>
        </w:rPr>
        <w:t>miRNA</w:t>
      </w:r>
      <w:proofErr w:type="spellEnd"/>
      <w:r w:rsidRPr="008039FF">
        <w:rPr>
          <w:rFonts w:cs="Arial"/>
        </w:rPr>
        <w:t xml:space="preserve"> </w:t>
      </w:r>
      <w:proofErr w:type="spellStart"/>
      <w:r w:rsidRPr="008039FF">
        <w:rPr>
          <w:rFonts w:cs="Arial"/>
        </w:rPr>
        <w:t>miR</w:t>
      </w:r>
      <w:proofErr w:type="spellEnd"/>
      <w:r w:rsidRPr="008039FF">
        <w:rPr>
          <w:rFonts w:cs="Arial"/>
        </w:rPr>
        <w:t>-124 served as a technic</w:t>
      </w:r>
      <w:r>
        <w:rPr>
          <w:rFonts w:cs="Arial"/>
        </w:rPr>
        <w:t xml:space="preserve">al control and neuronal marker. </w:t>
      </w:r>
      <w:r w:rsidRPr="008039FF">
        <w:rPr>
          <w:rFonts w:cs="Arial"/>
        </w:rPr>
        <w:t xml:space="preserve">All selected </w:t>
      </w:r>
      <w:proofErr w:type="spellStart"/>
      <w:r w:rsidRPr="008039FF">
        <w:rPr>
          <w:rFonts w:cs="Arial"/>
        </w:rPr>
        <w:t>miRNAs</w:t>
      </w:r>
      <w:proofErr w:type="spellEnd"/>
      <w:r w:rsidRPr="008039FF">
        <w:rPr>
          <w:rFonts w:cs="Arial"/>
        </w:rPr>
        <w:t xml:space="preserve"> were detect</w:t>
      </w:r>
      <w:r>
        <w:rPr>
          <w:rFonts w:cs="Arial"/>
        </w:rPr>
        <w:t>ed</w:t>
      </w:r>
      <w:r w:rsidRPr="008039FF">
        <w:rPr>
          <w:rFonts w:cs="Arial"/>
        </w:rPr>
        <w:t xml:space="preserve"> in the hippocampus by </w:t>
      </w:r>
      <w:proofErr w:type="spellStart"/>
      <w:r w:rsidRPr="008039FF">
        <w:rPr>
          <w:rFonts w:cs="Arial"/>
        </w:rPr>
        <w:t>miRNA-ISH</w:t>
      </w:r>
      <w:proofErr w:type="spellEnd"/>
      <w:r w:rsidRPr="008039FF">
        <w:rPr>
          <w:rFonts w:cs="Arial"/>
        </w:rPr>
        <w:t xml:space="preserve"> </w:t>
      </w:r>
      <w:r>
        <w:rPr>
          <w:rFonts w:cs="Arial"/>
        </w:rPr>
        <w:t>albeit at different levels of expression</w:t>
      </w:r>
      <w:r w:rsidRPr="008039FF">
        <w:rPr>
          <w:rFonts w:cs="Arial"/>
        </w:rPr>
        <w:t xml:space="preserve">. </w:t>
      </w:r>
      <w:proofErr w:type="spellStart"/>
      <w:r w:rsidRPr="008039FF">
        <w:rPr>
          <w:rFonts w:cs="Arial"/>
        </w:rPr>
        <w:t>miR</w:t>
      </w:r>
      <w:proofErr w:type="spellEnd"/>
      <w:r w:rsidRPr="008039FF">
        <w:rPr>
          <w:rFonts w:cs="Arial"/>
        </w:rPr>
        <w:t xml:space="preserve">-124, </w:t>
      </w:r>
      <w:proofErr w:type="spellStart"/>
      <w:r>
        <w:rPr>
          <w:rFonts w:cs="Arial"/>
        </w:rPr>
        <w:t>miR-20a</w:t>
      </w:r>
      <w:proofErr w:type="spellEnd"/>
      <w:r>
        <w:rPr>
          <w:rFonts w:cs="Arial"/>
        </w:rPr>
        <w:t xml:space="preserve">, </w:t>
      </w:r>
      <w:proofErr w:type="spellStart"/>
      <w:r w:rsidRPr="008039FF">
        <w:rPr>
          <w:rFonts w:cs="Arial"/>
        </w:rPr>
        <w:t>miR-92b</w:t>
      </w:r>
      <w:proofErr w:type="spellEnd"/>
      <w:r w:rsidRPr="008039FF">
        <w:rPr>
          <w:rFonts w:cs="Arial"/>
        </w:rPr>
        <w:t xml:space="preserve">, </w:t>
      </w:r>
      <w:proofErr w:type="spellStart"/>
      <w:r w:rsidRPr="008039FF">
        <w:rPr>
          <w:rFonts w:cs="Arial"/>
        </w:rPr>
        <w:t>miR</w:t>
      </w:r>
      <w:proofErr w:type="spellEnd"/>
      <w:r w:rsidRPr="008039FF">
        <w:rPr>
          <w:rFonts w:cs="Arial"/>
        </w:rPr>
        <w:t xml:space="preserve">-138, </w:t>
      </w:r>
      <w:proofErr w:type="spellStart"/>
      <w:r>
        <w:rPr>
          <w:rFonts w:cs="Arial"/>
        </w:rPr>
        <w:t>miR</w:t>
      </w:r>
      <w:proofErr w:type="spellEnd"/>
      <w:r>
        <w:rPr>
          <w:rFonts w:cs="Arial"/>
        </w:rPr>
        <w:t xml:space="preserve">-222, </w:t>
      </w:r>
      <w:proofErr w:type="spellStart"/>
      <w:r w:rsidRPr="008039FF">
        <w:rPr>
          <w:rFonts w:cs="Arial"/>
        </w:rPr>
        <w:t>miR</w:t>
      </w:r>
      <w:proofErr w:type="spellEnd"/>
      <w:r w:rsidRPr="008039FF">
        <w:rPr>
          <w:rFonts w:cs="Arial"/>
        </w:rPr>
        <w:t xml:space="preserve">-637 and </w:t>
      </w:r>
      <w:proofErr w:type="spellStart"/>
      <w:r w:rsidRPr="008039FF">
        <w:rPr>
          <w:rFonts w:cs="Arial"/>
        </w:rPr>
        <w:t>miR</w:t>
      </w:r>
      <w:proofErr w:type="spellEnd"/>
      <w:r w:rsidRPr="008039FF">
        <w:rPr>
          <w:rFonts w:cs="Arial"/>
        </w:rPr>
        <w:t xml:space="preserve">-665 were robustly expressed in the dentate gyrus (DG) and cornu </w:t>
      </w:r>
      <w:proofErr w:type="spellStart"/>
      <w:r w:rsidRPr="008039FF">
        <w:rPr>
          <w:rFonts w:cs="Arial"/>
        </w:rPr>
        <w:t>ammonis</w:t>
      </w:r>
      <w:proofErr w:type="spellEnd"/>
      <w:r w:rsidRPr="008039FF">
        <w:rPr>
          <w:rFonts w:cs="Arial"/>
        </w:rPr>
        <w:t xml:space="preserve"> (CA) regions (1-4). </w:t>
      </w:r>
      <w:r>
        <w:rPr>
          <w:rFonts w:cs="Arial"/>
        </w:rPr>
        <w:t xml:space="preserve">Only low signals were detected for </w:t>
      </w:r>
      <w:proofErr w:type="spellStart"/>
      <w:r>
        <w:rPr>
          <w:rFonts w:cs="Arial"/>
        </w:rPr>
        <w:t>miR-193a-3p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miR</w:t>
      </w:r>
      <w:proofErr w:type="spellEnd"/>
      <w:r>
        <w:rPr>
          <w:rFonts w:cs="Arial"/>
        </w:rPr>
        <w:t>-221 was</w:t>
      </w:r>
      <w:r w:rsidRPr="008039FF">
        <w:rPr>
          <w:rFonts w:cs="Arial"/>
        </w:rPr>
        <w:t xml:space="preserve"> predominantly expressed in the granular cell layer of the DG, whereas </w:t>
      </w:r>
      <w:r>
        <w:rPr>
          <w:rFonts w:cs="Arial"/>
        </w:rPr>
        <w:t>weaker</w:t>
      </w:r>
      <w:r w:rsidRPr="008039FF">
        <w:rPr>
          <w:rFonts w:cs="Arial"/>
        </w:rPr>
        <w:t xml:space="preserve"> </w:t>
      </w:r>
      <w:r>
        <w:rPr>
          <w:rFonts w:cs="Arial"/>
        </w:rPr>
        <w:t>signals were detected in the CA</w:t>
      </w:r>
      <w:r w:rsidRPr="008039FF">
        <w:rPr>
          <w:rFonts w:cs="Arial"/>
        </w:rPr>
        <w:t xml:space="preserve"> region</w:t>
      </w:r>
      <w:r>
        <w:rPr>
          <w:rFonts w:cs="Arial"/>
        </w:rPr>
        <w:t xml:space="preserve">s. </w:t>
      </w:r>
      <w:r w:rsidRPr="00206D70">
        <w:rPr>
          <w:rFonts w:cs="Arial"/>
        </w:rPr>
        <w:t xml:space="preserve">Overall, these experiments validate the array data and reveal expression of </w:t>
      </w:r>
      <w:proofErr w:type="spellStart"/>
      <w:r w:rsidRPr="00206D70">
        <w:rPr>
          <w:rFonts w:cs="Arial"/>
        </w:rPr>
        <w:t>miRNAs</w:t>
      </w:r>
      <w:proofErr w:type="spellEnd"/>
      <w:r w:rsidRPr="00206D70">
        <w:rPr>
          <w:rFonts w:cs="Arial"/>
        </w:rPr>
        <w:t xml:space="preserve"> in</w:t>
      </w:r>
      <w:r>
        <w:rPr>
          <w:rFonts w:cs="Arial"/>
        </w:rPr>
        <w:t xml:space="preserve"> different sub</w:t>
      </w:r>
      <w:r w:rsidRPr="00206D70">
        <w:rPr>
          <w:rFonts w:cs="Arial"/>
        </w:rPr>
        <w:t>regions of the human hippocampus</w:t>
      </w:r>
      <w:r>
        <w:rPr>
          <w:rFonts w:cs="Arial"/>
        </w:rPr>
        <w:t xml:space="preserve">. </w:t>
      </w:r>
      <w:r w:rsidRPr="008039FF">
        <w:rPr>
          <w:rFonts w:cs="Arial"/>
        </w:rPr>
        <w:t>Scale bar</w:t>
      </w:r>
      <w:r>
        <w:rPr>
          <w:rFonts w:cs="Arial"/>
        </w:rPr>
        <w:t>,</w:t>
      </w:r>
      <w:r w:rsidRPr="008039FF">
        <w:rPr>
          <w:rFonts w:cs="Arial"/>
        </w:rPr>
        <w:t xml:space="preserve"> </w:t>
      </w:r>
      <w:proofErr w:type="spellStart"/>
      <w:r>
        <w:rPr>
          <w:rFonts w:cs="Arial"/>
        </w:rPr>
        <w:t>1000</w:t>
      </w:r>
      <w:r w:rsidRPr="008039FF">
        <w:rPr>
          <w:rFonts w:cs="Arial"/>
        </w:rPr>
        <w:t>µm</w:t>
      </w:r>
      <w:proofErr w:type="spellEnd"/>
      <w:r w:rsidRPr="008039FF">
        <w:rPr>
          <w:rFonts w:cs="Arial"/>
        </w:rPr>
        <w:t>.</w:t>
      </w:r>
    </w:p>
    <w:p w:rsidR="00E245EA" w:rsidRDefault="00E245EA" w:rsidP="00E245EA">
      <w:pPr>
        <w:spacing w:line="480" w:lineRule="auto"/>
        <w:jc w:val="both"/>
        <w:rPr>
          <w:u w:val="single"/>
        </w:rPr>
      </w:pPr>
    </w:p>
    <w:p w:rsidR="00E245EA" w:rsidRPr="006B0C0C" w:rsidRDefault="00E245EA" w:rsidP="00E245EA">
      <w:pPr>
        <w:spacing w:line="480" w:lineRule="auto"/>
        <w:jc w:val="both"/>
        <w:outlineLvl w:val="0"/>
        <w:rPr>
          <w:b/>
        </w:rPr>
      </w:pPr>
      <w:r>
        <w:rPr>
          <w:b/>
        </w:rPr>
        <w:t>Online Resource 2</w:t>
      </w:r>
    </w:p>
    <w:p w:rsidR="00E245EA" w:rsidRDefault="00E245EA" w:rsidP="00E245EA">
      <w:pPr>
        <w:spacing w:line="480" w:lineRule="auto"/>
        <w:jc w:val="both"/>
      </w:pPr>
      <w:r>
        <w:t xml:space="preserve">a) Spreadsheet containing the expression matrices of all </w:t>
      </w:r>
      <w:proofErr w:type="spellStart"/>
      <w:r w:rsidRPr="00ED5542">
        <w:t>Hy3</w:t>
      </w:r>
      <w:proofErr w:type="spellEnd"/>
      <w:r w:rsidRPr="00ED5542">
        <w:t>/</w:t>
      </w:r>
      <w:proofErr w:type="spellStart"/>
      <w:r w:rsidRPr="00ED5542">
        <w:t>Hy5</w:t>
      </w:r>
      <w:proofErr w:type="spellEnd"/>
      <w:r w:rsidRPr="00ED5542">
        <w:t xml:space="preserve"> ratios</w:t>
      </w:r>
      <w:r>
        <w:t xml:space="preserve"> across patients. b) </w:t>
      </w:r>
      <w:proofErr w:type="spellStart"/>
      <w:r>
        <w:t>PCA</w:t>
      </w:r>
      <w:proofErr w:type="spellEnd"/>
      <w:r>
        <w:t xml:space="preserve"> plot data labeled in green. c) </w:t>
      </w:r>
      <w:proofErr w:type="spellStart"/>
      <w:r>
        <w:t>Heatmap</w:t>
      </w:r>
      <w:proofErr w:type="spellEnd"/>
      <w:r>
        <w:t xml:space="preserve"> data depicted in green (Supplementary data for Fig. 1)</w:t>
      </w:r>
    </w:p>
    <w:p w:rsidR="00E245EA" w:rsidRPr="006B0C0C" w:rsidRDefault="00E245EA" w:rsidP="00E245EA">
      <w:pPr>
        <w:spacing w:line="480" w:lineRule="auto"/>
        <w:jc w:val="both"/>
        <w:outlineLvl w:val="0"/>
        <w:rPr>
          <w:b/>
        </w:rPr>
      </w:pPr>
      <w:r>
        <w:rPr>
          <w:b/>
        </w:rPr>
        <w:t>Online Resource 3</w:t>
      </w:r>
    </w:p>
    <w:p w:rsidR="00E245EA" w:rsidRDefault="00E245EA" w:rsidP="00E245EA">
      <w:pPr>
        <w:spacing w:line="480" w:lineRule="auto"/>
        <w:jc w:val="both"/>
      </w:pPr>
      <w:r>
        <w:lastRenderedPageBreak/>
        <w:t xml:space="preserve">Spreadsheet containing detailed information on the reverse analysis approach (Table 4). For each gene details on process, protein name and gene ID are listed. In a separate worksheet, all predicted </w:t>
      </w:r>
      <w:proofErr w:type="spellStart"/>
      <w:r>
        <w:t>miRNA</w:t>
      </w:r>
      <w:proofErr w:type="spellEnd"/>
      <w:r>
        <w:t>-gene interactions and those present in the regulated set are indicated.</w:t>
      </w:r>
    </w:p>
    <w:p w:rsidR="00E245EA" w:rsidRDefault="00E245EA" w:rsidP="00E245EA">
      <w:pPr>
        <w:spacing w:line="480" w:lineRule="auto"/>
        <w:jc w:val="both"/>
        <w:outlineLvl w:val="0"/>
        <w:rPr>
          <w:rFonts w:cs="Arial"/>
        </w:rPr>
      </w:pPr>
    </w:p>
    <w:p w:rsidR="001F4BE5" w:rsidRDefault="00E245EA"/>
    <w:sectPr w:rsidR="001F4BE5" w:rsidSect="00787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E245EA"/>
    <w:rsid w:val="000144A2"/>
    <w:rsid w:val="00015413"/>
    <w:rsid w:val="000266CA"/>
    <w:rsid w:val="00050DC3"/>
    <w:rsid w:val="000700DD"/>
    <w:rsid w:val="00071BC4"/>
    <w:rsid w:val="000A4A2C"/>
    <w:rsid w:val="000B314A"/>
    <w:rsid w:val="000C00BA"/>
    <w:rsid w:val="001019FF"/>
    <w:rsid w:val="001076BD"/>
    <w:rsid w:val="0011045C"/>
    <w:rsid w:val="00115E29"/>
    <w:rsid w:val="00117FE4"/>
    <w:rsid w:val="00153A51"/>
    <w:rsid w:val="001A3087"/>
    <w:rsid w:val="001A4E3B"/>
    <w:rsid w:val="001B21AA"/>
    <w:rsid w:val="00207307"/>
    <w:rsid w:val="00213007"/>
    <w:rsid w:val="00224D44"/>
    <w:rsid w:val="0023665F"/>
    <w:rsid w:val="00243FB5"/>
    <w:rsid w:val="00266045"/>
    <w:rsid w:val="002A0A08"/>
    <w:rsid w:val="002B2366"/>
    <w:rsid w:val="002B6F58"/>
    <w:rsid w:val="002D13E0"/>
    <w:rsid w:val="002E37E9"/>
    <w:rsid w:val="002E3AA4"/>
    <w:rsid w:val="002E58CE"/>
    <w:rsid w:val="00304B12"/>
    <w:rsid w:val="0031151B"/>
    <w:rsid w:val="003161A3"/>
    <w:rsid w:val="00316FE9"/>
    <w:rsid w:val="00330048"/>
    <w:rsid w:val="00336AFF"/>
    <w:rsid w:val="00341A77"/>
    <w:rsid w:val="0034267E"/>
    <w:rsid w:val="00366CFE"/>
    <w:rsid w:val="003674D1"/>
    <w:rsid w:val="003A69B4"/>
    <w:rsid w:val="003B2BD6"/>
    <w:rsid w:val="003C1B82"/>
    <w:rsid w:val="003D04C3"/>
    <w:rsid w:val="003D7A1A"/>
    <w:rsid w:val="003E3944"/>
    <w:rsid w:val="003E39E7"/>
    <w:rsid w:val="003E5371"/>
    <w:rsid w:val="003F70D8"/>
    <w:rsid w:val="00417F20"/>
    <w:rsid w:val="0045777A"/>
    <w:rsid w:val="004A4244"/>
    <w:rsid w:val="004A57CC"/>
    <w:rsid w:val="004C04D5"/>
    <w:rsid w:val="004D4154"/>
    <w:rsid w:val="004D4A54"/>
    <w:rsid w:val="004D5034"/>
    <w:rsid w:val="004D67D2"/>
    <w:rsid w:val="00500C82"/>
    <w:rsid w:val="00502A03"/>
    <w:rsid w:val="005030EF"/>
    <w:rsid w:val="00503D6D"/>
    <w:rsid w:val="00505B6F"/>
    <w:rsid w:val="00511E9E"/>
    <w:rsid w:val="00522DE1"/>
    <w:rsid w:val="005526E3"/>
    <w:rsid w:val="005608C8"/>
    <w:rsid w:val="00580AF7"/>
    <w:rsid w:val="00581D28"/>
    <w:rsid w:val="00581E4F"/>
    <w:rsid w:val="005878A6"/>
    <w:rsid w:val="00594E70"/>
    <w:rsid w:val="005A7C95"/>
    <w:rsid w:val="005B179E"/>
    <w:rsid w:val="005B656B"/>
    <w:rsid w:val="005C2CFA"/>
    <w:rsid w:val="005D14DD"/>
    <w:rsid w:val="005E1C66"/>
    <w:rsid w:val="005F1A6E"/>
    <w:rsid w:val="005F6E75"/>
    <w:rsid w:val="00655FDF"/>
    <w:rsid w:val="0067527F"/>
    <w:rsid w:val="006753F8"/>
    <w:rsid w:val="00676DA4"/>
    <w:rsid w:val="00677FF4"/>
    <w:rsid w:val="006830E2"/>
    <w:rsid w:val="006905D5"/>
    <w:rsid w:val="0069610B"/>
    <w:rsid w:val="006A3A75"/>
    <w:rsid w:val="006A7D9A"/>
    <w:rsid w:val="006C667D"/>
    <w:rsid w:val="006E77AC"/>
    <w:rsid w:val="007013CA"/>
    <w:rsid w:val="00725258"/>
    <w:rsid w:val="007406F0"/>
    <w:rsid w:val="007436AD"/>
    <w:rsid w:val="00744CEC"/>
    <w:rsid w:val="00772224"/>
    <w:rsid w:val="00775ACD"/>
    <w:rsid w:val="00782838"/>
    <w:rsid w:val="007872D7"/>
    <w:rsid w:val="00790F7C"/>
    <w:rsid w:val="007A106D"/>
    <w:rsid w:val="007A6B78"/>
    <w:rsid w:val="007C6535"/>
    <w:rsid w:val="007D31BA"/>
    <w:rsid w:val="007E65A5"/>
    <w:rsid w:val="00806B2E"/>
    <w:rsid w:val="0080734B"/>
    <w:rsid w:val="0084480B"/>
    <w:rsid w:val="008518F6"/>
    <w:rsid w:val="00866DEE"/>
    <w:rsid w:val="00866E9A"/>
    <w:rsid w:val="0088223F"/>
    <w:rsid w:val="00890DDB"/>
    <w:rsid w:val="0089479A"/>
    <w:rsid w:val="00897900"/>
    <w:rsid w:val="008A0CED"/>
    <w:rsid w:val="008A7364"/>
    <w:rsid w:val="008B6E4B"/>
    <w:rsid w:val="008C2899"/>
    <w:rsid w:val="008F026B"/>
    <w:rsid w:val="008F5BDF"/>
    <w:rsid w:val="0090543C"/>
    <w:rsid w:val="009139A6"/>
    <w:rsid w:val="00922D9F"/>
    <w:rsid w:val="00922FA0"/>
    <w:rsid w:val="0092658E"/>
    <w:rsid w:val="0094793C"/>
    <w:rsid w:val="0097499A"/>
    <w:rsid w:val="009766B0"/>
    <w:rsid w:val="0097757D"/>
    <w:rsid w:val="00991C14"/>
    <w:rsid w:val="009C393B"/>
    <w:rsid w:val="009C47E7"/>
    <w:rsid w:val="009C6441"/>
    <w:rsid w:val="009D79EA"/>
    <w:rsid w:val="009E6AB4"/>
    <w:rsid w:val="00A23025"/>
    <w:rsid w:val="00A27360"/>
    <w:rsid w:val="00A35DCA"/>
    <w:rsid w:val="00A57DAB"/>
    <w:rsid w:val="00A826AB"/>
    <w:rsid w:val="00A85CC9"/>
    <w:rsid w:val="00AA17AA"/>
    <w:rsid w:val="00AB05E8"/>
    <w:rsid w:val="00AC2CE7"/>
    <w:rsid w:val="00AC533E"/>
    <w:rsid w:val="00AD550A"/>
    <w:rsid w:val="00AE03F7"/>
    <w:rsid w:val="00AE4D68"/>
    <w:rsid w:val="00AF67D7"/>
    <w:rsid w:val="00B2791B"/>
    <w:rsid w:val="00B40684"/>
    <w:rsid w:val="00B43419"/>
    <w:rsid w:val="00B45963"/>
    <w:rsid w:val="00B46662"/>
    <w:rsid w:val="00B732AD"/>
    <w:rsid w:val="00B872BA"/>
    <w:rsid w:val="00B929FB"/>
    <w:rsid w:val="00BA0AC4"/>
    <w:rsid w:val="00BC046A"/>
    <w:rsid w:val="00C01E30"/>
    <w:rsid w:val="00C34046"/>
    <w:rsid w:val="00C36542"/>
    <w:rsid w:val="00C40448"/>
    <w:rsid w:val="00C86397"/>
    <w:rsid w:val="00CC10F5"/>
    <w:rsid w:val="00CE5132"/>
    <w:rsid w:val="00CF48EB"/>
    <w:rsid w:val="00D24974"/>
    <w:rsid w:val="00D30144"/>
    <w:rsid w:val="00DB7104"/>
    <w:rsid w:val="00DD5465"/>
    <w:rsid w:val="00DE0FA4"/>
    <w:rsid w:val="00E0655A"/>
    <w:rsid w:val="00E069C2"/>
    <w:rsid w:val="00E10CCD"/>
    <w:rsid w:val="00E147FE"/>
    <w:rsid w:val="00E245C3"/>
    <w:rsid w:val="00E245EA"/>
    <w:rsid w:val="00E417AD"/>
    <w:rsid w:val="00E64220"/>
    <w:rsid w:val="00E745FD"/>
    <w:rsid w:val="00EA417E"/>
    <w:rsid w:val="00EE0260"/>
    <w:rsid w:val="00EE10BA"/>
    <w:rsid w:val="00EE3340"/>
    <w:rsid w:val="00EF3AE6"/>
    <w:rsid w:val="00F32EB8"/>
    <w:rsid w:val="00F37C53"/>
    <w:rsid w:val="00F52E2C"/>
    <w:rsid w:val="00F61165"/>
    <w:rsid w:val="00FA0D6D"/>
    <w:rsid w:val="00FA289D"/>
    <w:rsid w:val="00FA774B"/>
    <w:rsid w:val="00FB2581"/>
    <w:rsid w:val="00FB48A9"/>
    <w:rsid w:val="00FC1CE2"/>
    <w:rsid w:val="00FE0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0006032</dc:creator>
  <cp:keywords/>
  <dc:description/>
  <cp:lastModifiedBy>0006032</cp:lastModifiedBy>
  <cp:revision>1</cp:revision>
  <dcterms:created xsi:type="dcterms:W3CDTF">2012-04-04T13:36:00Z</dcterms:created>
  <dcterms:modified xsi:type="dcterms:W3CDTF">2012-04-04T13:37:00Z</dcterms:modified>
</cp:coreProperties>
</file>