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DCB22" w14:textId="533AED87" w:rsidR="000C0AAF" w:rsidRDefault="008B42E8" w:rsidP="000B1CDA">
      <w:pPr>
        <w:spacing w:line="480" w:lineRule="auto"/>
        <w:jc w:val="both"/>
        <w:rPr>
          <w:rFonts w:cs="Arial"/>
          <w:b/>
          <w:bCs/>
        </w:rPr>
      </w:pPr>
      <w:r>
        <w:rPr>
          <w:rFonts w:cs="Arial"/>
          <w:b/>
          <w:bCs/>
        </w:rPr>
        <w:t>ADDITIONAL</w:t>
      </w:r>
      <w:r w:rsidR="00F6675A">
        <w:rPr>
          <w:rFonts w:cs="Arial"/>
          <w:b/>
          <w:bCs/>
        </w:rPr>
        <w:t xml:space="preserve"> INFORMATION</w:t>
      </w:r>
    </w:p>
    <w:p w14:paraId="0B7A21F8" w14:textId="77777777" w:rsidR="000C0AAF" w:rsidRDefault="000C0AAF" w:rsidP="000B1CDA">
      <w:pPr>
        <w:spacing w:line="480" w:lineRule="auto"/>
        <w:jc w:val="both"/>
        <w:rPr>
          <w:rFonts w:cs="Arial"/>
          <w:b/>
          <w:bCs/>
        </w:rPr>
      </w:pPr>
    </w:p>
    <w:p w14:paraId="68328AFE" w14:textId="77777777" w:rsidR="00F6675A" w:rsidRDefault="00F6675A" w:rsidP="000B1CDA">
      <w:pPr>
        <w:spacing w:line="480" w:lineRule="auto"/>
        <w:jc w:val="both"/>
        <w:rPr>
          <w:rFonts w:cs="Arial"/>
          <w:b/>
          <w:bCs/>
        </w:rPr>
      </w:pPr>
    </w:p>
    <w:p w14:paraId="39428718" w14:textId="489D766E" w:rsidR="000C0AAF" w:rsidRPr="00F6675A" w:rsidRDefault="000C0AAF" w:rsidP="00F6675A">
      <w:pPr>
        <w:spacing w:line="480" w:lineRule="auto"/>
        <w:jc w:val="both"/>
        <w:rPr>
          <w:rFonts w:cs="Arial"/>
          <w:b/>
          <w:bCs/>
        </w:rPr>
      </w:pPr>
      <w:r>
        <w:rPr>
          <w:rFonts w:cs="Arial"/>
          <w:b/>
          <w:bCs/>
        </w:rPr>
        <w:t>SUPPLEMENTARY FIGURE LEGENDS:</w:t>
      </w:r>
    </w:p>
    <w:p w14:paraId="6D2CBB4B" w14:textId="77777777" w:rsidR="00F6675A" w:rsidRDefault="00F6675A" w:rsidP="000C0AAF">
      <w:pPr>
        <w:pStyle w:val="NormalWeb"/>
        <w:spacing w:before="0" w:beforeAutospacing="0" w:after="0" w:afterAutospacing="0" w:line="480" w:lineRule="auto"/>
        <w:jc w:val="both"/>
        <w:rPr>
          <w:rFonts w:ascii="Arial" w:eastAsiaTheme="minorEastAsia" w:hAnsi="Arial" w:cs="Arial"/>
          <w:b/>
          <w:bCs/>
          <w:color w:val="000000" w:themeColor="text1"/>
          <w:kern w:val="24"/>
          <w:sz w:val="20"/>
          <w:szCs w:val="20"/>
        </w:rPr>
      </w:pPr>
    </w:p>
    <w:p w14:paraId="26549790" w14:textId="707436FD" w:rsidR="000C0AAF" w:rsidRPr="00106692" w:rsidRDefault="00F35A43" w:rsidP="000C0AAF">
      <w:pPr>
        <w:pStyle w:val="NormalWeb"/>
        <w:spacing w:before="0" w:beforeAutospacing="0" w:after="0" w:afterAutospacing="0" w:line="480" w:lineRule="auto"/>
        <w:jc w:val="both"/>
        <w:rPr>
          <w:rFonts w:ascii="Arial" w:eastAsiaTheme="minorEastAsia" w:hAnsi="Arial" w:cs="Arial"/>
          <w:bCs/>
          <w:color w:val="000000" w:themeColor="text1"/>
          <w:kern w:val="24"/>
          <w:sz w:val="20"/>
          <w:szCs w:val="20"/>
        </w:rPr>
      </w:pPr>
      <w:r>
        <w:rPr>
          <w:rFonts w:ascii="Arial" w:eastAsiaTheme="minorEastAsia" w:hAnsi="Arial" w:cs="Arial"/>
          <w:b/>
          <w:bCs/>
          <w:color w:val="000000" w:themeColor="text1"/>
          <w:kern w:val="24"/>
          <w:sz w:val="20"/>
          <w:szCs w:val="20"/>
        </w:rPr>
        <w:t>Supplementary Fig.</w:t>
      </w:r>
      <w:r w:rsidR="000C0AAF" w:rsidRPr="00106692">
        <w:rPr>
          <w:rFonts w:ascii="Arial" w:eastAsiaTheme="minorEastAsia" w:hAnsi="Arial" w:cs="Arial"/>
          <w:b/>
          <w:bCs/>
          <w:color w:val="000000" w:themeColor="text1"/>
          <w:kern w:val="24"/>
          <w:sz w:val="20"/>
          <w:szCs w:val="20"/>
        </w:rPr>
        <w:t xml:space="preserve">1: </w:t>
      </w:r>
      <w:r w:rsidR="000C0AAF">
        <w:rPr>
          <w:rFonts w:ascii="Arial" w:eastAsiaTheme="minorEastAsia" w:hAnsi="Arial" w:cs="Arial"/>
          <w:b/>
          <w:bCs/>
          <w:color w:val="000000" w:themeColor="text1"/>
          <w:kern w:val="24"/>
          <w:sz w:val="20"/>
          <w:szCs w:val="20"/>
        </w:rPr>
        <w:t>Alignment</w:t>
      </w:r>
      <w:r w:rsidR="000C0AAF" w:rsidRPr="00106692">
        <w:rPr>
          <w:rFonts w:ascii="Arial" w:eastAsiaTheme="minorEastAsia" w:hAnsi="Arial" w:cs="Arial"/>
          <w:b/>
          <w:bCs/>
          <w:color w:val="000000" w:themeColor="text1"/>
          <w:kern w:val="24"/>
          <w:sz w:val="20"/>
          <w:szCs w:val="20"/>
        </w:rPr>
        <w:t xml:space="preserve"> highlights conserved sequence annotated as exon on mouse </w:t>
      </w:r>
      <w:r w:rsidR="000C0AAF">
        <w:rPr>
          <w:rFonts w:ascii="Arial" w:eastAsiaTheme="minorEastAsia" w:hAnsi="Arial" w:cs="Arial"/>
          <w:b/>
          <w:bCs/>
          <w:i/>
          <w:color w:val="000000" w:themeColor="text1"/>
          <w:kern w:val="24"/>
          <w:sz w:val="20"/>
          <w:szCs w:val="20"/>
        </w:rPr>
        <w:t>Sox1-ot</w:t>
      </w:r>
      <w:r w:rsidR="000C0AAF" w:rsidRPr="00106692">
        <w:rPr>
          <w:rFonts w:ascii="Arial" w:eastAsiaTheme="minorEastAsia" w:hAnsi="Arial" w:cs="Arial"/>
          <w:b/>
          <w:bCs/>
          <w:color w:val="000000" w:themeColor="text1"/>
          <w:kern w:val="24"/>
          <w:sz w:val="20"/>
          <w:szCs w:val="20"/>
        </w:rPr>
        <w:t xml:space="preserve"> also detected in human cells. </w:t>
      </w:r>
      <w:r w:rsidR="000C0AAF" w:rsidRPr="00106692">
        <w:rPr>
          <w:rFonts w:ascii="Arial" w:eastAsiaTheme="minorEastAsia" w:hAnsi="Arial" w:cs="Arial"/>
          <w:color w:val="000000" w:themeColor="text1"/>
          <w:kern w:val="24"/>
          <w:sz w:val="20"/>
          <w:szCs w:val="20"/>
        </w:rPr>
        <w:t>(</w:t>
      </w:r>
      <w:r w:rsidR="000C0AAF" w:rsidRPr="00106692">
        <w:rPr>
          <w:rFonts w:ascii="Arial" w:eastAsiaTheme="minorEastAsia" w:hAnsi="Arial" w:cs="Arial"/>
          <w:b/>
          <w:bCs/>
          <w:color w:val="000000" w:themeColor="text1"/>
          <w:kern w:val="24"/>
          <w:sz w:val="20"/>
          <w:szCs w:val="20"/>
        </w:rPr>
        <w:t>A</w:t>
      </w:r>
      <w:r w:rsidR="000C0AAF" w:rsidRPr="00106692">
        <w:rPr>
          <w:rFonts w:ascii="Arial" w:eastAsiaTheme="minorEastAsia" w:hAnsi="Arial" w:cs="Arial"/>
          <w:color w:val="000000" w:themeColor="text1"/>
          <w:kern w:val="24"/>
          <w:sz w:val="20"/>
          <w:szCs w:val="20"/>
        </w:rPr>
        <w:t>)</w:t>
      </w:r>
      <w:r w:rsidR="000C0AAF" w:rsidRPr="00106692">
        <w:rPr>
          <w:rFonts w:ascii="Arial" w:eastAsiaTheme="minorEastAsia" w:hAnsi="Arial" w:cs="Arial"/>
          <w:b/>
          <w:bCs/>
          <w:color w:val="000000" w:themeColor="text1"/>
          <w:kern w:val="24"/>
          <w:sz w:val="20"/>
          <w:szCs w:val="20"/>
        </w:rPr>
        <w:t xml:space="preserve"> </w:t>
      </w:r>
      <w:r w:rsidR="000C0AAF" w:rsidRPr="00106692">
        <w:rPr>
          <w:rFonts w:ascii="Arial" w:eastAsiaTheme="minorEastAsia" w:hAnsi="Arial" w:cs="Arial"/>
          <w:color w:val="000000" w:themeColor="text1"/>
          <w:kern w:val="24"/>
          <w:sz w:val="20"/>
          <w:szCs w:val="20"/>
        </w:rPr>
        <w:t xml:space="preserve">Blast alignment of a 218bp fragment of the conserved region </w:t>
      </w:r>
      <w:r w:rsidR="000C0AAF" w:rsidRPr="000553CC">
        <w:rPr>
          <w:rFonts w:ascii="Arial" w:eastAsiaTheme="minorEastAsia" w:hAnsi="Arial" w:cs="Arial"/>
          <w:kern w:val="24"/>
          <w:sz w:val="20"/>
          <w:szCs w:val="20"/>
        </w:rPr>
        <w:t>(</w:t>
      </w:r>
      <w:r w:rsidR="000C0AAF" w:rsidRPr="000553CC">
        <w:rPr>
          <w:rFonts w:ascii="Arial" w:eastAsiaTheme="minorEastAsia" w:hAnsi="Arial" w:cs="Arial"/>
          <w:bCs/>
          <w:kern w:val="24"/>
          <w:sz w:val="20"/>
          <w:szCs w:val="20"/>
        </w:rPr>
        <w:t>highlighted in grey in Fig.2)</w:t>
      </w:r>
      <w:r w:rsidR="000C0AAF" w:rsidRPr="000553CC">
        <w:rPr>
          <w:rFonts w:ascii="Arial" w:eastAsiaTheme="minorEastAsia" w:hAnsi="Arial" w:cs="Arial"/>
          <w:b/>
          <w:bCs/>
          <w:kern w:val="24"/>
          <w:sz w:val="20"/>
          <w:szCs w:val="20"/>
        </w:rPr>
        <w:t xml:space="preserve"> </w:t>
      </w:r>
      <w:r w:rsidR="000C0AAF">
        <w:rPr>
          <w:rFonts w:ascii="Arial" w:eastAsiaTheme="minorEastAsia" w:hAnsi="Arial" w:cs="Arial"/>
          <w:color w:val="000000" w:themeColor="text1"/>
          <w:kern w:val="24"/>
          <w:sz w:val="20"/>
          <w:szCs w:val="20"/>
        </w:rPr>
        <w:t>for mouse (mm9</w:t>
      </w:r>
      <w:r w:rsidR="000C0AAF" w:rsidRPr="00106692">
        <w:rPr>
          <w:rFonts w:ascii="Arial" w:eastAsiaTheme="minorEastAsia" w:hAnsi="Arial" w:cs="Arial"/>
          <w:color w:val="000000" w:themeColor="text1"/>
          <w:kern w:val="24"/>
          <w:sz w:val="20"/>
          <w:szCs w:val="20"/>
        </w:rPr>
        <w:t xml:space="preserve"> chr8:12,430,257-12,430,474) and human (hg19 c</w:t>
      </w:r>
      <w:r w:rsidR="009C66D0">
        <w:rPr>
          <w:rFonts w:ascii="Arial" w:eastAsiaTheme="minorEastAsia" w:hAnsi="Arial" w:cs="Arial"/>
          <w:color w:val="000000" w:themeColor="text1"/>
          <w:kern w:val="24"/>
          <w:sz w:val="20"/>
          <w:szCs w:val="20"/>
        </w:rPr>
        <w:t>hr13: 112,758,395-112,758,612).</w:t>
      </w:r>
      <w:r w:rsidR="000C0AAF" w:rsidRPr="00106692">
        <w:rPr>
          <w:rFonts w:ascii="Arial" w:eastAsiaTheme="minorEastAsia" w:hAnsi="Arial" w:cs="Arial"/>
          <w:color w:val="000000" w:themeColor="text1"/>
          <w:kern w:val="24"/>
          <w:sz w:val="20"/>
          <w:szCs w:val="20"/>
        </w:rPr>
        <w:t xml:space="preserve"> F1 (yellow) and R1 (green) indicate the location of the primers designed to amplify this fragment in human and mouse. (</w:t>
      </w:r>
      <w:r w:rsidR="000C0AAF" w:rsidRPr="00106692">
        <w:rPr>
          <w:rFonts w:ascii="Arial" w:eastAsiaTheme="minorEastAsia" w:hAnsi="Arial" w:cs="Arial"/>
          <w:b/>
          <w:bCs/>
          <w:color w:val="000000" w:themeColor="text1"/>
          <w:kern w:val="24"/>
          <w:sz w:val="20"/>
          <w:szCs w:val="20"/>
        </w:rPr>
        <w:t>B</w:t>
      </w:r>
      <w:r w:rsidR="000C0AAF" w:rsidRPr="00106692">
        <w:rPr>
          <w:rFonts w:ascii="Arial" w:eastAsiaTheme="minorEastAsia" w:hAnsi="Arial" w:cs="Arial"/>
          <w:color w:val="000000" w:themeColor="text1"/>
          <w:kern w:val="24"/>
          <w:sz w:val="20"/>
          <w:szCs w:val="20"/>
        </w:rPr>
        <w:t>) Resulting RT-PCR on mouse ES cells (mESC) either undifferentiated (day 0) or after 4 days neural differentiation (day 4), and in mouse neural stem cells (mNSC), showing expression of this exon (top panel). (</w:t>
      </w:r>
      <w:r w:rsidR="000C0AAF" w:rsidRPr="00106692">
        <w:rPr>
          <w:rFonts w:ascii="Arial" w:eastAsiaTheme="minorEastAsia" w:hAnsi="Arial" w:cs="Arial"/>
          <w:b/>
          <w:bCs/>
          <w:color w:val="000000" w:themeColor="text1"/>
          <w:kern w:val="24"/>
          <w:sz w:val="20"/>
          <w:szCs w:val="20"/>
        </w:rPr>
        <w:t>C</w:t>
      </w:r>
      <w:r w:rsidR="000C0AAF" w:rsidRPr="00106692">
        <w:rPr>
          <w:rFonts w:ascii="Arial" w:eastAsiaTheme="minorEastAsia" w:hAnsi="Arial" w:cs="Arial"/>
          <w:color w:val="000000" w:themeColor="text1"/>
          <w:kern w:val="24"/>
          <w:sz w:val="20"/>
          <w:szCs w:val="20"/>
        </w:rPr>
        <w:t>) Resuting RT-PCR on a panel of human cancer cell lines and differentiated neuroprogenitors (ReN+D6) showing that this exon is expressed preferentially in human cells with neural potential (NTera, ReN+D6, SH-SY5Y). PCRs performed on total RNA after reverse transcription with (+) or without (-) reverse transcriptase; M=DNA size standard; H</w:t>
      </w:r>
      <w:r w:rsidR="000C0AAF" w:rsidRPr="00106692">
        <w:rPr>
          <w:rFonts w:ascii="Arial" w:eastAsiaTheme="minorEastAsia" w:hAnsi="Arial" w:cs="Arial"/>
          <w:color w:val="000000" w:themeColor="text1"/>
          <w:kern w:val="24"/>
          <w:sz w:val="20"/>
          <w:szCs w:val="20"/>
          <w:vertAlign w:val="subscript"/>
        </w:rPr>
        <w:t>2</w:t>
      </w:r>
      <w:r w:rsidR="000C0AAF" w:rsidRPr="00106692">
        <w:rPr>
          <w:rFonts w:ascii="Arial" w:eastAsiaTheme="minorEastAsia" w:hAnsi="Arial" w:cs="Arial"/>
          <w:color w:val="000000" w:themeColor="text1"/>
          <w:kern w:val="24"/>
          <w:sz w:val="20"/>
          <w:szCs w:val="20"/>
        </w:rPr>
        <w:t>O=no template PCR negative control; gDNA=genomic DNA PCR positive control.</w:t>
      </w:r>
    </w:p>
    <w:p w14:paraId="37EA7620" w14:textId="77777777" w:rsidR="000C0AAF" w:rsidRDefault="000C0AAF" w:rsidP="000C0AAF">
      <w:pPr>
        <w:pStyle w:val="NormalWeb"/>
        <w:spacing w:before="0" w:beforeAutospacing="0" w:after="0" w:afterAutospacing="0" w:line="480" w:lineRule="auto"/>
        <w:jc w:val="both"/>
        <w:rPr>
          <w:rFonts w:ascii="Arial" w:eastAsiaTheme="minorEastAsia" w:hAnsi="Arial" w:cs="Arial"/>
          <w:b/>
          <w:bCs/>
          <w:color w:val="000000" w:themeColor="text1"/>
          <w:kern w:val="24"/>
          <w:sz w:val="20"/>
          <w:szCs w:val="20"/>
        </w:rPr>
      </w:pPr>
    </w:p>
    <w:p w14:paraId="164739B8" w14:textId="75DFF2DE" w:rsidR="000C0AAF" w:rsidRPr="00782CC8" w:rsidRDefault="00F35A43" w:rsidP="000C0AAF">
      <w:pPr>
        <w:pStyle w:val="NormalWeb"/>
        <w:spacing w:before="0" w:beforeAutospacing="0" w:after="0" w:afterAutospacing="0" w:line="480" w:lineRule="auto"/>
        <w:jc w:val="both"/>
        <w:rPr>
          <w:sz w:val="20"/>
          <w:szCs w:val="20"/>
        </w:rPr>
      </w:pPr>
      <w:r>
        <w:rPr>
          <w:rFonts w:ascii="Arial" w:eastAsiaTheme="minorEastAsia" w:hAnsi="Arial" w:cs="Arial"/>
          <w:b/>
          <w:bCs/>
          <w:color w:val="000000" w:themeColor="text1"/>
          <w:kern w:val="24"/>
          <w:sz w:val="20"/>
          <w:szCs w:val="20"/>
        </w:rPr>
        <w:t>Supplementary Fig.</w:t>
      </w:r>
      <w:r w:rsidR="000C0AAF">
        <w:rPr>
          <w:rFonts w:ascii="Arial" w:eastAsiaTheme="minorEastAsia" w:hAnsi="Arial" w:cs="Arial"/>
          <w:b/>
          <w:bCs/>
          <w:color w:val="000000" w:themeColor="text1"/>
          <w:kern w:val="24"/>
          <w:sz w:val="20"/>
          <w:szCs w:val="20"/>
        </w:rPr>
        <w:t>2</w:t>
      </w:r>
      <w:r w:rsidR="000C0AAF" w:rsidRPr="00782CC8">
        <w:rPr>
          <w:rFonts w:ascii="Arial" w:eastAsiaTheme="minorEastAsia" w:hAnsi="Arial" w:cs="Arial"/>
          <w:b/>
          <w:bCs/>
          <w:color w:val="000000" w:themeColor="text1"/>
          <w:kern w:val="24"/>
          <w:sz w:val="20"/>
          <w:szCs w:val="20"/>
        </w:rPr>
        <w:t xml:space="preserve">: </w:t>
      </w:r>
      <w:r w:rsidR="000C0AAF" w:rsidRPr="003B7FB7">
        <w:rPr>
          <w:rFonts w:ascii="Arial" w:eastAsiaTheme="minorEastAsia" w:hAnsi="Arial" w:cs="Arial"/>
          <w:b/>
          <w:color w:val="000000" w:themeColor="text1"/>
          <w:kern w:val="24"/>
          <w:sz w:val="20"/>
          <w:szCs w:val="20"/>
        </w:rPr>
        <w:t>Transcriptome assembly for poly(A)-enriched from a human cerebral cortex developmental time course.</w:t>
      </w:r>
      <w:r w:rsidR="000C0AAF" w:rsidRPr="00782CC8">
        <w:rPr>
          <w:rFonts w:ascii="Arial" w:eastAsiaTheme="minorEastAsia" w:hAnsi="Arial" w:cs="Arial"/>
          <w:color w:val="000000" w:themeColor="text1"/>
          <w:kern w:val="24"/>
          <w:sz w:val="20"/>
          <w:szCs w:val="20"/>
        </w:rPr>
        <w:t xml:space="preserve"> (</w:t>
      </w:r>
      <w:r w:rsidR="000C0AAF" w:rsidRPr="00782CC8">
        <w:rPr>
          <w:rFonts w:ascii="Arial" w:eastAsiaTheme="minorEastAsia" w:hAnsi="Arial" w:cs="Arial"/>
          <w:b/>
          <w:bCs/>
          <w:color w:val="000000" w:themeColor="text1"/>
          <w:kern w:val="24"/>
          <w:sz w:val="20"/>
          <w:szCs w:val="20"/>
        </w:rPr>
        <w:t>A</w:t>
      </w:r>
      <w:r w:rsidR="000C0AAF" w:rsidRPr="00782CC8">
        <w:rPr>
          <w:rFonts w:ascii="Arial" w:eastAsiaTheme="minorEastAsia" w:hAnsi="Arial" w:cs="Arial"/>
          <w:color w:val="000000" w:themeColor="text1"/>
          <w:kern w:val="24"/>
          <w:sz w:val="20"/>
          <w:szCs w:val="20"/>
        </w:rPr>
        <w:t xml:space="preserve">) Schematic diagram of the </w:t>
      </w:r>
      <w:r w:rsidR="000C0AAF" w:rsidRPr="00183320">
        <w:rPr>
          <w:rFonts w:ascii="Arial" w:eastAsiaTheme="minorEastAsia" w:hAnsi="Arial" w:cs="Arial"/>
          <w:i/>
          <w:color w:val="000000" w:themeColor="text1"/>
          <w:kern w:val="24"/>
          <w:sz w:val="20"/>
          <w:szCs w:val="20"/>
        </w:rPr>
        <w:t>SOX1-OT</w:t>
      </w:r>
      <w:r w:rsidR="000C0AAF" w:rsidRPr="00782CC8">
        <w:rPr>
          <w:rFonts w:ascii="Arial" w:eastAsiaTheme="minorEastAsia" w:hAnsi="Arial" w:cs="Arial"/>
          <w:color w:val="000000" w:themeColor="text1"/>
          <w:kern w:val="24"/>
          <w:sz w:val="20"/>
          <w:szCs w:val="20"/>
        </w:rPr>
        <w:t xml:space="preserve"> locus in ReN cells with indicated exons (numbered boxes) and TSS (bent arrows). (</w:t>
      </w:r>
      <w:r w:rsidR="000C0AAF" w:rsidRPr="00782CC8">
        <w:rPr>
          <w:rFonts w:ascii="Arial" w:eastAsiaTheme="minorEastAsia" w:hAnsi="Arial" w:cs="Arial"/>
          <w:b/>
          <w:bCs/>
          <w:color w:val="000000" w:themeColor="text1"/>
          <w:kern w:val="24"/>
          <w:sz w:val="20"/>
          <w:szCs w:val="20"/>
        </w:rPr>
        <w:t>B</w:t>
      </w:r>
      <w:r w:rsidR="000C0AAF" w:rsidRPr="00782CC8">
        <w:rPr>
          <w:rFonts w:ascii="Arial" w:eastAsiaTheme="minorEastAsia" w:hAnsi="Arial" w:cs="Arial"/>
          <w:color w:val="000000" w:themeColor="text1"/>
          <w:kern w:val="24"/>
          <w:sz w:val="20"/>
          <w:szCs w:val="20"/>
        </w:rPr>
        <w:t xml:space="preserve">) IGV visualization of the transcriptome assembly for human developing cortex samples at gestation week 13 (T1), 16 (T2), 21 (T3) and 23 (T4), compared to the </w:t>
      </w:r>
      <w:r w:rsidR="000C0AAF" w:rsidRPr="00183320">
        <w:rPr>
          <w:rFonts w:ascii="Arial" w:eastAsiaTheme="minorEastAsia" w:hAnsi="Arial" w:cs="Arial"/>
          <w:i/>
          <w:color w:val="000000" w:themeColor="text1"/>
          <w:kern w:val="24"/>
          <w:sz w:val="20"/>
          <w:szCs w:val="20"/>
        </w:rPr>
        <w:t>SOX1-OT</w:t>
      </w:r>
      <w:r w:rsidR="000C0AAF" w:rsidRPr="00782CC8">
        <w:rPr>
          <w:rFonts w:ascii="Arial" w:eastAsiaTheme="minorEastAsia" w:hAnsi="Arial" w:cs="Arial"/>
          <w:color w:val="000000" w:themeColor="text1"/>
          <w:kern w:val="24"/>
          <w:sz w:val="20"/>
          <w:szCs w:val="20"/>
        </w:rPr>
        <w:t xml:space="preserve"> variants detected in ReN cells.</w:t>
      </w:r>
    </w:p>
    <w:p w14:paraId="457E097B" w14:textId="77777777" w:rsidR="000C0AAF" w:rsidRDefault="000C0AAF" w:rsidP="000C0AAF">
      <w:pPr>
        <w:pStyle w:val="NormalWeb"/>
        <w:spacing w:before="0" w:beforeAutospacing="0" w:after="0" w:afterAutospacing="0" w:line="480" w:lineRule="auto"/>
        <w:jc w:val="both"/>
        <w:rPr>
          <w:rFonts w:ascii="Arial" w:eastAsiaTheme="minorEastAsia" w:hAnsi="Arial" w:cs="Arial"/>
          <w:color w:val="000000" w:themeColor="text1"/>
          <w:kern w:val="24"/>
          <w:sz w:val="20"/>
          <w:szCs w:val="20"/>
        </w:rPr>
      </w:pPr>
      <w:r w:rsidRPr="00782CC8">
        <w:rPr>
          <w:rFonts w:ascii="Arial" w:eastAsiaTheme="minorEastAsia" w:hAnsi="Arial" w:cs="Arial"/>
          <w:color w:val="000000" w:themeColor="text1"/>
          <w:kern w:val="24"/>
          <w:sz w:val="20"/>
          <w:szCs w:val="20"/>
        </w:rPr>
        <w:t xml:space="preserve">The Sox1 region is indicated by green vertical lines; red exclamation marks indicate transcript isoforms that are antisense relative to the annotated </w:t>
      </w:r>
      <w:r w:rsidRPr="00CA5074">
        <w:rPr>
          <w:rFonts w:ascii="Arial" w:eastAsiaTheme="minorEastAsia" w:hAnsi="Arial" w:cs="Arial"/>
          <w:i/>
          <w:color w:val="000000" w:themeColor="text1"/>
          <w:kern w:val="24"/>
          <w:sz w:val="20"/>
          <w:szCs w:val="20"/>
        </w:rPr>
        <w:t>SOX1</w:t>
      </w:r>
      <w:r w:rsidRPr="00782CC8">
        <w:rPr>
          <w:rFonts w:ascii="Arial" w:eastAsiaTheme="minorEastAsia" w:hAnsi="Arial" w:cs="Arial"/>
          <w:color w:val="000000" w:themeColor="text1"/>
          <w:kern w:val="24"/>
          <w:sz w:val="20"/>
          <w:szCs w:val="20"/>
        </w:rPr>
        <w:t xml:space="preserve">; red arrows indicate the </w:t>
      </w:r>
      <w:r w:rsidRPr="00CA5074">
        <w:rPr>
          <w:rFonts w:ascii="Arial" w:eastAsiaTheme="minorEastAsia" w:hAnsi="Arial" w:cs="Arial"/>
          <w:i/>
          <w:color w:val="000000" w:themeColor="text1"/>
          <w:kern w:val="24"/>
          <w:sz w:val="20"/>
          <w:szCs w:val="20"/>
        </w:rPr>
        <w:t>SOX1-OT</w:t>
      </w:r>
      <w:r w:rsidRPr="00782CC8">
        <w:rPr>
          <w:rFonts w:ascii="Arial" w:eastAsiaTheme="minorEastAsia" w:hAnsi="Arial" w:cs="Arial"/>
          <w:color w:val="000000" w:themeColor="text1"/>
          <w:kern w:val="24"/>
          <w:sz w:val="20"/>
          <w:szCs w:val="20"/>
        </w:rPr>
        <w:t xml:space="preserve"> isoforms detected in the RNA-seq dataset which contain a similar exon structure as the ones detected by our RT-PCR and 3’RACE; red boxes highlight regions within </w:t>
      </w:r>
      <w:r w:rsidRPr="00183320">
        <w:rPr>
          <w:rFonts w:ascii="Arial" w:eastAsiaTheme="minorEastAsia" w:hAnsi="Arial" w:cs="Arial"/>
          <w:i/>
          <w:color w:val="000000" w:themeColor="text1"/>
          <w:kern w:val="24"/>
          <w:sz w:val="20"/>
          <w:szCs w:val="20"/>
        </w:rPr>
        <w:t>SOX1-OT</w:t>
      </w:r>
      <w:r w:rsidRPr="00782CC8">
        <w:rPr>
          <w:rFonts w:ascii="Arial" w:eastAsiaTheme="minorEastAsia" w:hAnsi="Arial" w:cs="Arial"/>
          <w:color w:val="000000" w:themeColor="text1"/>
          <w:kern w:val="24"/>
          <w:sz w:val="20"/>
          <w:szCs w:val="20"/>
        </w:rPr>
        <w:t xml:space="preserve"> variants which differ markedly between the isoforms detected by RNA-seq and RT-PCR; green arrows depict </w:t>
      </w:r>
      <w:r w:rsidRPr="00183320">
        <w:rPr>
          <w:rFonts w:ascii="Arial" w:eastAsiaTheme="minorEastAsia" w:hAnsi="Arial" w:cs="Arial"/>
          <w:i/>
          <w:color w:val="000000" w:themeColor="text1"/>
          <w:kern w:val="24"/>
          <w:sz w:val="20"/>
          <w:szCs w:val="20"/>
        </w:rPr>
        <w:t>SOX1-OT</w:t>
      </w:r>
      <w:r w:rsidRPr="00782CC8">
        <w:rPr>
          <w:rFonts w:ascii="Arial" w:eastAsiaTheme="minorEastAsia" w:hAnsi="Arial" w:cs="Arial"/>
          <w:color w:val="000000" w:themeColor="text1"/>
          <w:kern w:val="24"/>
          <w:sz w:val="20"/>
          <w:szCs w:val="20"/>
        </w:rPr>
        <w:t xml:space="preserve"> isoforms detected by 5’RACE and by RNA-seq in the developing cortex.</w:t>
      </w:r>
    </w:p>
    <w:p w14:paraId="0F3E9206" w14:textId="77777777" w:rsidR="000C0AAF" w:rsidRDefault="000C0AAF" w:rsidP="000C0AAF">
      <w:pPr>
        <w:pStyle w:val="NormalWeb"/>
        <w:spacing w:before="0" w:beforeAutospacing="0" w:after="0" w:afterAutospacing="0" w:line="480" w:lineRule="auto"/>
        <w:jc w:val="both"/>
        <w:rPr>
          <w:rFonts w:ascii="Arial" w:eastAsiaTheme="minorEastAsia" w:hAnsi="Arial" w:cs="Arial"/>
          <w:color w:val="000000" w:themeColor="text1"/>
          <w:kern w:val="24"/>
          <w:sz w:val="20"/>
          <w:szCs w:val="20"/>
        </w:rPr>
      </w:pPr>
    </w:p>
    <w:p w14:paraId="6EE9B210" w14:textId="5E682748" w:rsidR="000C0AAF" w:rsidRDefault="00F35A43" w:rsidP="000C0AAF">
      <w:pPr>
        <w:spacing w:line="480" w:lineRule="auto"/>
        <w:jc w:val="both"/>
        <w:rPr>
          <w:rFonts w:cs="Arial"/>
          <w:b/>
          <w:bCs/>
        </w:rPr>
      </w:pPr>
      <w:r>
        <w:rPr>
          <w:rFonts w:eastAsiaTheme="minorEastAsia" w:cs="Arial"/>
          <w:b/>
          <w:bCs/>
          <w:color w:val="000000" w:themeColor="text1"/>
          <w:kern w:val="24"/>
          <w:szCs w:val="20"/>
        </w:rPr>
        <w:lastRenderedPageBreak/>
        <w:t>Supplementary Fig.</w:t>
      </w:r>
      <w:r w:rsidR="000C0AAF">
        <w:rPr>
          <w:rFonts w:eastAsiaTheme="minorEastAsia" w:cs="Arial"/>
          <w:b/>
          <w:bCs/>
          <w:color w:val="000000" w:themeColor="text1"/>
          <w:kern w:val="24"/>
          <w:szCs w:val="20"/>
        </w:rPr>
        <w:t>3</w:t>
      </w:r>
      <w:r w:rsidR="000C0AAF" w:rsidRPr="00782CC8">
        <w:rPr>
          <w:rFonts w:eastAsiaTheme="minorEastAsia" w:cs="Arial"/>
          <w:b/>
          <w:bCs/>
          <w:color w:val="000000" w:themeColor="text1"/>
          <w:kern w:val="24"/>
          <w:szCs w:val="20"/>
        </w:rPr>
        <w:t xml:space="preserve">: Expression profile of </w:t>
      </w:r>
      <w:r w:rsidR="000C0AAF" w:rsidRPr="00183320">
        <w:rPr>
          <w:rFonts w:eastAsiaTheme="minorEastAsia" w:cs="Arial"/>
          <w:b/>
          <w:bCs/>
          <w:i/>
          <w:color w:val="000000" w:themeColor="text1"/>
          <w:kern w:val="24"/>
          <w:szCs w:val="20"/>
        </w:rPr>
        <w:t>SOX1-OT</w:t>
      </w:r>
      <w:r w:rsidR="000C0AAF" w:rsidRPr="00782CC8">
        <w:rPr>
          <w:rFonts w:eastAsiaTheme="minorEastAsia" w:cs="Arial"/>
          <w:b/>
          <w:bCs/>
          <w:color w:val="000000" w:themeColor="text1"/>
          <w:kern w:val="24"/>
          <w:szCs w:val="20"/>
        </w:rPr>
        <w:t xml:space="preserve"> in cancer cell lines. </w:t>
      </w:r>
      <w:r w:rsidR="000C0AAF" w:rsidRPr="00782CC8">
        <w:rPr>
          <w:rFonts w:eastAsiaTheme="minorEastAsia" w:cs="Arial"/>
          <w:color w:val="000000" w:themeColor="text1"/>
          <w:kern w:val="24"/>
          <w:szCs w:val="20"/>
        </w:rPr>
        <w:t>(</w:t>
      </w:r>
      <w:r w:rsidR="000C0AAF" w:rsidRPr="00782CC8">
        <w:rPr>
          <w:rFonts w:eastAsiaTheme="minorEastAsia" w:cs="Arial"/>
          <w:b/>
          <w:bCs/>
          <w:color w:val="000000" w:themeColor="text1"/>
          <w:kern w:val="24"/>
          <w:szCs w:val="20"/>
        </w:rPr>
        <w:t>A</w:t>
      </w:r>
      <w:r w:rsidR="000C0AAF" w:rsidRPr="00782CC8">
        <w:rPr>
          <w:rFonts w:eastAsiaTheme="minorEastAsia" w:cs="Arial"/>
          <w:color w:val="000000" w:themeColor="text1"/>
          <w:kern w:val="24"/>
          <w:szCs w:val="20"/>
        </w:rPr>
        <w:t xml:space="preserve">) Schematic diagram of the </w:t>
      </w:r>
      <w:r w:rsidR="000C0AAF" w:rsidRPr="00CA5074">
        <w:rPr>
          <w:rFonts w:eastAsiaTheme="minorEastAsia" w:cs="Arial"/>
          <w:i/>
          <w:color w:val="000000" w:themeColor="text1"/>
          <w:kern w:val="24"/>
          <w:szCs w:val="20"/>
        </w:rPr>
        <w:t>SOX-1OT</w:t>
      </w:r>
      <w:r w:rsidR="000C0AAF" w:rsidRPr="00782CC8">
        <w:rPr>
          <w:rFonts w:eastAsiaTheme="minorEastAsia" w:cs="Arial"/>
          <w:color w:val="000000" w:themeColor="text1"/>
          <w:kern w:val="24"/>
          <w:szCs w:val="20"/>
        </w:rPr>
        <w:t xml:space="preserve"> locus in ReN cells with indicated exons (numbered boxes) and TSS (bold bent arrows). (</w:t>
      </w:r>
      <w:r w:rsidR="000C0AAF" w:rsidRPr="00782CC8">
        <w:rPr>
          <w:rFonts w:eastAsiaTheme="minorEastAsia" w:cs="Arial"/>
          <w:b/>
          <w:bCs/>
          <w:color w:val="000000" w:themeColor="text1"/>
          <w:kern w:val="24"/>
          <w:szCs w:val="20"/>
        </w:rPr>
        <w:t>B</w:t>
      </w:r>
      <w:r w:rsidR="000C0AAF" w:rsidRPr="00782CC8">
        <w:rPr>
          <w:rFonts w:eastAsiaTheme="minorEastAsia" w:cs="Arial"/>
          <w:color w:val="000000" w:themeColor="text1"/>
          <w:kern w:val="24"/>
          <w:szCs w:val="20"/>
        </w:rPr>
        <w:t xml:space="preserve">) Snapshot images of the </w:t>
      </w:r>
      <w:r w:rsidR="000C0AAF" w:rsidRPr="00782CC8">
        <w:rPr>
          <w:rFonts w:eastAsiaTheme="minorEastAsia" w:cs="Arial"/>
          <w:i/>
          <w:iCs/>
          <w:color w:val="000000" w:themeColor="text1"/>
          <w:kern w:val="24"/>
          <w:szCs w:val="20"/>
        </w:rPr>
        <w:t>SOX1</w:t>
      </w:r>
      <w:r w:rsidR="000C0AAF" w:rsidRPr="00782CC8">
        <w:rPr>
          <w:rFonts w:eastAsiaTheme="minorEastAsia" w:cs="Arial"/>
          <w:color w:val="000000" w:themeColor="text1"/>
          <w:kern w:val="24"/>
          <w:szCs w:val="20"/>
        </w:rPr>
        <w:t xml:space="preserve"> locus on human chromosome 13 taken from the UCSC genome browser (hg19) showing the Refseq and UCSC gene annotations (blue), followed by the tracks of the CpG islands (green), and the RNAseq data from ENCODE available data for Hela (light blue) and MCF7 (black) cells. These annotations suggest that, consistent with our RT-PCR data (Figure 7), Hela cells are negative in this region whilst some transcription is detected in MCF7 cells.</w:t>
      </w:r>
    </w:p>
    <w:p w14:paraId="3C6D227C" w14:textId="77777777" w:rsidR="000C0AAF" w:rsidRDefault="000C0AAF" w:rsidP="000B1CDA">
      <w:pPr>
        <w:spacing w:line="480" w:lineRule="auto"/>
        <w:jc w:val="both"/>
        <w:rPr>
          <w:rFonts w:cs="Arial"/>
          <w:b/>
          <w:bCs/>
        </w:rPr>
      </w:pPr>
    </w:p>
    <w:p w14:paraId="2C75D9AC" w14:textId="163551CE" w:rsidR="00A1247E" w:rsidRPr="00617F58" w:rsidRDefault="004B0C96" w:rsidP="000B1CDA">
      <w:pPr>
        <w:spacing w:line="480" w:lineRule="auto"/>
        <w:jc w:val="both"/>
        <w:rPr>
          <w:rFonts w:cs="Arial"/>
          <w:b/>
          <w:bCs/>
          <w:color w:val="FF0000"/>
        </w:rPr>
      </w:pPr>
      <w:r w:rsidRPr="004B0C96">
        <w:rPr>
          <w:rFonts w:cs="Arial"/>
          <w:b/>
          <w:bCs/>
          <w:color w:val="FF0000"/>
        </w:rPr>
        <w:t xml:space="preserve">Supplementary Fig.4: </w:t>
      </w:r>
      <w:r w:rsidR="00617F58">
        <w:rPr>
          <w:rFonts w:cs="Arial"/>
          <w:b/>
          <w:bCs/>
          <w:color w:val="FF0000"/>
        </w:rPr>
        <w:t>V</w:t>
      </w:r>
      <w:r w:rsidR="00617F58" w:rsidRPr="00617F58">
        <w:rPr>
          <w:rFonts w:cs="Arial"/>
          <w:b/>
          <w:bCs/>
          <w:color w:val="FF0000"/>
        </w:rPr>
        <w:t xml:space="preserve">ariety of Poly(A)-signals </w:t>
      </w:r>
      <w:r w:rsidRPr="004B0C96">
        <w:rPr>
          <w:rFonts w:cs="Arial"/>
          <w:b/>
          <w:bCs/>
          <w:color w:val="FF0000"/>
        </w:rPr>
        <w:t>at the SOX1-OT</w:t>
      </w:r>
      <w:r w:rsidRPr="004B0C96">
        <w:rPr>
          <w:rFonts w:cs="Arial"/>
          <w:bCs/>
          <w:color w:val="FF0000"/>
        </w:rPr>
        <w:t xml:space="preserve"> </w:t>
      </w:r>
      <w:r w:rsidRPr="004B0C96">
        <w:rPr>
          <w:rFonts w:cs="Arial"/>
          <w:b/>
          <w:bCs/>
          <w:color w:val="FF0000"/>
        </w:rPr>
        <w:t>locus</w:t>
      </w:r>
      <w:r w:rsidR="00617F58">
        <w:rPr>
          <w:rFonts w:cs="Arial"/>
          <w:b/>
          <w:bCs/>
          <w:color w:val="FF0000"/>
        </w:rPr>
        <w:t xml:space="preserve"> in the brain</w:t>
      </w:r>
      <w:r w:rsidR="00F3445E">
        <w:rPr>
          <w:rFonts w:cs="Arial"/>
          <w:b/>
          <w:bCs/>
          <w:color w:val="FF0000"/>
        </w:rPr>
        <w:t>.</w:t>
      </w:r>
      <w:bookmarkStart w:id="0" w:name="_GoBack"/>
      <w:bookmarkEnd w:id="0"/>
      <w:r w:rsidRPr="004B0C96">
        <w:rPr>
          <w:rFonts w:cs="Arial"/>
          <w:bCs/>
          <w:color w:val="FF0000"/>
        </w:rPr>
        <w:t xml:space="preserve"> (A) Schematic diagram of the SOX1-OT locus in ReN cells with indicated exons (numbered boxes) and TSS (bold bent arrows). Snapshot images of the SOX1 overlapping transcript loci on human (hg19 chr13:112626600-112766000) (B) and mouse (mm9, chr8: 12,300,135-12,439,035) (C) taken from the UCSC genome browser showing the currently annotated structures of these transcripts in the two species and Poly(A)-seq from [</w:t>
      </w:r>
      <w:r w:rsidR="00647E8B">
        <w:rPr>
          <w:rFonts w:cs="Arial"/>
          <w:bCs/>
          <w:color w:val="FF0000"/>
        </w:rPr>
        <w:t>7].</w:t>
      </w:r>
      <w:r w:rsidRPr="004B0C96">
        <w:rPr>
          <w:rFonts w:cs="Arial"/>
          <w:bCs/>
          <w:color w:val="FF0000"/>
        </w:rPr>
        <w:t xml:space="preserve"> The turquoise region highlights detected Poly(A)-signals in the 3’UTR of SOX1, while the yellow and red regions highlight Poly(A) sites de</w:t>
      </w:r>
      <w:r w:rsidR="004A2440">
        <w:rPr>
          <w:rFonts w:cs="Arial"/>
          <w:bCs/>
          <w:color w:val="FF0000"/>
        </w:rPr>
        <w:t>tected in human brain samples</w:t>
      </w:r>
      <w:r w:rsidRPr="004B0C96">
        <w:rPr>
          <w:rFonts w:cs="Arial"/>
          <w:bCs/>
          <w:color w:val="FF0000"/>
        </w:rPr>
        <w:t>.</w:t>
      </w:r>
    </w:p>
    <w:p w14:paraId="1D6F9E69" w14:textId="77777777" w:rsidR="004B0C96" w:rsidRDefault="004B0C96" w:rsidP="000B1CDA">
      <w:pPr>
        <w:spacing w:line="480" w:lineRule="auto"/>
        <w:jc w:val="both"/>
        <w:rPr>
          <w:rFonts w:cs="Arial"/>
          <w:b/>
          <w:bCs/>
        </w:rPr>
      </w:pPr>
    </w:p>
    <w:p w14:paraId="09508DA9" w14:textId="77777777" w:rsidR="000C0AAF" w:rsidRDefault="000C0AAF" w:rsidP="000B1CDA">
      <w:pPr>
        <w:spacing w:line="480" w:lineRule="auto"/>
        <w:jc w:val="both"/>
        <w:rPr>
          <w:rFonts w:cs="Arial"/>
          <w:b/>
          <w:bCs/>
        </w:rPr>
      </w:pPr>
    </w:p>
    <w:p w14:paraId="3D3B2F61" w14:textId="64AC6681" w:rsidR="00677DEF" w:rsidRDefault="000C0AAF" w:rsidP="000B1CDA">
      <w:pPr>
        <w:spacing w:line="480" w:lineRule="auto"/>
        <w:jc w:val="both"/>
        <w:rPr>
          <w:rFonts w:cs="Arial"/>
          <w:b/>
          <w:bCs/>
        </w:rPr>
      </w:pPr>
      <w:r>
        <w:rPr>
          <w:rFonts w:cs="Arial"/>
          <w:b/>
          <w:bCs/>
        </w:rPr>
        <w:t>SUPPLEMENTARY METHODS:</w:t>
      </w:r>
    </w:p>
    <w:p w14:paraId="1D86CA8B" w14:textId="77777777" w:rsidR="008A584E" w:rsidRDefault="008A584E" w:rsidP="000B1CDA">
      <w:pPr>
        <w:spacing w:line="480" w:lineRule="auto"/>
        <w:jc w:val="both"/>
        <w:rPr>
          <w:rFonts w:cs="Arial"/>
          <w:b/>
        </w:rPr>
      </w:pPr>
    </w:p>
    <w:p w14:paraId="7F570CAC" w14:textId="042F4E8D" w:rsidR="008A584E" w:rsidRPr="00BE1C4C" w:rsidRDefault="008A584E" w:rsidP="000B1CDA">
      <w:pPr>
        <w:spacing w:line="480" w:lineRule="auto"/>
        <w:jc w:val="both"/>
        <w:rPr>
          <w:rFonts w:cs="Arial"/>
          <w:b/>
        </w:rPr>
      </w:pPr>
      <w:r w:rsidRPr="00BE1C4C">
        <w:rPr>
          <w:rFonts w:cs="Arial"/>
          <w:b/>
        </w:rPr>
        <w:t>Mouse stem cell samples</w:t>
      </w:r>
    </w:p>
    <w:p w14:paraId="16906B8F" w14:textId="48C70225" w:rsidR="00677DEF" w:rsidRDefault="00EF1767" w:rsidP="000B1CDA">
      <w:pPr>
        <w:spacing w:line="480" w:lineRule="auto"/>
        <w:jc w:val="both"/>
      </w:pPr>
      <w:r>
        <w:rPr>
          <w:rFonts w:cs="Arial"/>
          <w:szCs w:val="20"/>
        </w:rPr>
        <w:t>M</w:t>
      </w:r>
      <w:r w:rsidR="006C35C2" w:rsidRPr="006C35C2">
        <w:rPr>
          <w:rFonts w:cs="Arial"/>
          <w:szCs w:val="20"/>
        </w:rPr>
        <w:t>ouse embryonic s</w:t>
      </w:r>
      <w:r w:rsidR="006C35C2">
        <w:rPr>
          <w:rFonts w:cs="Arial"/>
          <w:szCs w:val="20"/>
        </w:rPr>
        <w:t>tem cell</w:t>
      </w:r>
      <w:r>
        <w:rPr>
          <w:rFonts w:cs="Arial"/>
          <w:szCs w:val="20"/>
        </w:rPr>
        <w:t>s</w:t>
      </w:r>
      <w:r w:rsidR="006C35C2">
        <w:rPr>
          <w:rFonts w:cs="Arial"/>
          <w:szCs w:val="20"/>
        </w:rPr>
        <w:t xml:space="preserve"> </w:t>
      </w:r>
      <w:r w:rsidR="00190F37">
        <w:rPr>
          <w:rFonts w:cs="Arial"/>
          <w:szCs w:val="20"/>
        </w:rPr>
        <w:t xml:space="preserve">(mESC) </w:t>
      </w:r>
      <w:r>
        <w:rPr>
          <w:rFonts w:cs="Arial"/>
          <w:szCs w:val="20"/>
        </w:rPr>
        <w:t xml:space="preserve">and mouse neural stem cells </w:t>
      </w:r>
      <w:r w:rsidR="00190F37">
        <w:rPr>
          <w:rFonts w:cs="Arial"/>
          <w:szCs w:val="20"/>
        </w:rPr>
        <w:t xml:space="preserve">(mNSC) </w:t>
      </w:r>
      <w:r>
        <w:rPr>
          <w:rFonts w:cs="Arial"/>
          <w:szCs w:val="20"/>
        </w:rPr>
        <w:t>were</w:t>
      </w:r>
      <w:r w:rsidR="006C35C2">
        <w:rPr>
          <w:rFonts w:cs="Arial"/>
          <w:szCs w:val="20"/>
        </w:rPr>
        <w:t xml:space="preserve"> </w:t>
      </w:r>
      <w:r w:rsidR="00405DCD">
        <w:rPr>
          <w:rFonts w:cs="Arial"/>
          <w:szCs w:val="20"/>
        </w:rPr>
        <w:t>cultured</w:t>
      </w:r>
      <w:r w:rsidR="006C35C2">
        <w:rPr>
          <w:rFonts w:cs="Arial"/>
          <w:szCs w:val="20"/>
        </w:rPr>
        <w:t xml:space="preserve"> as described </w:t>
      </w:r>
      <w:r w:rsidR="006C35C2" w:rsidRPr="00CA5074">
        <w:rPr>
          <w:rFonts w:cs="Arial"/>
          <w:szCs w:val="20"/>
        </w:rPr>
        <w:t>elsewhere</w:t>
      </w:r>
      <w:r w:rsidR="00414A2E" w:rsidRPr="00CA5074">
        <w:rPr>
          <w:rFonts w:cs="Arial"/>
          <w:szCs w:val="20"/>
        </w:rPr>
        <w:t xml:space="preserve"> </w:t>
      </w:r>
      <w:r w:rsidR="00CA5074" w:rsidRPr="00CA5074">
        <w:rPr>
          <w:rFonts w:cs="Arial"/>
          <w:szCs w:val="20"/>
        </w:rPr>
        <w:t>[1]</w:t>
      </w:r>
      <w:r w:rsidRPr="00CA5074">
        <w:rPr>
          <w:rFonts w:cs="Arial"/>
          <w:szCs w:val="20"/>
        </w:rPr>
        <w:t xml:space="preserve"> and </w:t>
      </w:r>
      <w:r w:rsidR="00CA5074" w:rsidRPr="00CA5074">
        <w:rPr>
          <w:rFonts w:cs="Arial"/>
          <w:szCs w:val="20"/>
        </w:rPr>
        <w:t>[2]</w:t>
      </w:r>
      <w:r w:rsidRPr="00CA5074">
        <w:rPr>
          <w:rFonts w:cs="Arial"/>
          <w:szCs w:val="20"/>
        </w:rPr>
        <w:t>, respectively)</w:t>
      </w:r>
      <w:r w:rsidR="006C35C2" w:rsidRPr="00CA5074">
        <w:rPr>
          <w:rFonts w:cs="Arial"/>
          <w:szCs w:val="20"/>
        </w:rPr>
        <w:t xml:space="preserve"> and </w:t>
      </w:r>
      <w:r w:rsidRPr="00CA5074">
        <w:rPr>
          <w:rFonts w:cs="Arial"/>
          <w:szCs w:val="20"/>
        </w:rPr>
        <w:t>used to prepare RNA</w:t>
      </w:r>
      <w:r w:rsidR="006C35C2" w:rsidRPr="00CA5074">
        <w:rPr>
          <w:rFonts w:cs="Arial"/>
          <w:szCs w:val="20"/>
        </w:rPr>
        <w:t xml:space="preserve"> as </w:t>
      </w:r>
      <w:r w:rsidR="00405DCD" w:rsidRPr="00CA5074">
        <w:rPr>
          <w:rFonts w:cs="Arial"/>
          <w:szCs w:val="20"/>
        </w:rPr>
        <w:t>previously described</w:t>
      </w:r>
      <w:r w:rsidR="006C35C2" w:rsidRPr="00CA5074">
        <w:rPr>
          <w:rFonts w:cs="Arial"/>
          <w:szCs w:val="20"/>
        </w:rPr>
        <w:t>.</w:t>
      </w:r>
    </w:p>
    <w:p w14:paraId="7A72B496" w14:textId="169D7157" w:rsidR="008A584E" w:rsidRDefault="006C35C2" w:rsidP="000B1CDA">
      <w:pPr>
        <w:spacing w:line="480" w:lineRule="auto"/>
      </w:pPr>
      <w:r>
        <w:t xml:space="preserve"> </w:t>
      </w:r>
    </w:p>
    <w:p w14:paraId="047D829B" w14:textId="462FFB05" w:rsidR="007241F6" w:rsidRPr="007241F6" w:rsidRDefault="007241F6" w:rsidP="000B1CDA">
      <w:pPr>
        <w:spacing w:line="480" w:lineRule="auto"/>
        <w:jc w:val="both"/>
        <w:rPr>
          <w:rFonts w:cs="Arial"/>
          <w:b/>
        </w:rPr>
      </w:pPr>
      <w:r w:rsidRPr="007241F6">
        <w:rPr>
          <w:rFonts w:cs="Arial"/>
          <w:b/>
        </w:rPr>
        <w:t xml:space="preserve">RNA sequencing </w:t>
      </w:r>
      <w:r w:rsidR="006F5DDD" w:rsidRPr="006F5DDD">
        <w:rPr>
          <w:rFonts w:cs="Arial"/>
          <w:b/>
        </w:rPr>
        <w:t xml:space="preserve">data </w:t>
      </w:r>
      <w:r w:rsidRPr="007241F6">
        <w:rPr>
          <w:rFonts w:cs="Arial"/>
          <w:b/>
        </w:rPr>
        <w:t>analysis</w:t>
      </w:r>
    </w:p>
    <w:p w14:paraId="60DB4F21" w14:textId="682CE31C" w:rsidR="007241F6" w:rsidRPr="007241F6" w:rsidRDefault="007241F6" w:rsidP="000B1CDA">
      <w:pPr>
        <w:spacing w:line="480" w:lineRule="auto"/>
        <w:jc w:val="both"/>
        <w:rPr>
          <w:rFonts w:cs="Arial"/>
          <w:szCs w:val="20"/>
        </w:rPr>
      </w:pPr>
      <w:r w:rsidRPr="007241F6">
        <w:rPr>
          <w:rFonts w:cs="Arial"/>
          <w:szCs w:val="20"/>
        </w:rPr>
        <w:t>P</w:t>
      </w:r>
      <w:r w:rsidR="009C66D0">
        <w:rPr>
          <w:rFonts w:cs="Arial"/>
          <w:szCs w:val="20"/>
        </w:rPr>
        <w:t xml:space="preserve">ublicly available datasets were </w:t>
      </w:r>
      <w:r w:rsidRPr="007241F6">
        <w:rPr>
          <w:rFonts w:cs="Arial"/>
          <w:szCs w:val="20"/>
        </w:rPr>
        <w:t xml:space="preserve">downloaded from the European nucleotide archive (ENA, </w:t>
      </w:r>
      <w:hyperlink r:id="rId8" w:history="1">
        <w:r w:rsidRPr="007241F6">
          <w:rPr>
            <w:rStyle w:val="Hyperlink"/>
            <w:rFonts w:cs="Arial"/>
            <w:szCs w:val="20"/>
          </w:rPr>
          <w:t>www.ebi.ac.uk/ena</w:t>
        </w:r>
      </w:hyperlink>
      <w:r w:rsidR="002B5030" w:rsidRPr="007241F6">
        <w:rPr>
          <w:rFonts w:cs="Arial"/>
          <w:szCs w:val="20"/>
        </w:rPr>
        <w:t>). The</w:t>
      </w:r>
      <w:r w:rsidRPr="007241F6">
        <w:rPr>
          <w:rFonts w:cs="Arial"/>
          <w:szCs w:val="20"/>
        </w:rPr>
        <w:t xml:space="preserve"> dataset consists of stranded paired-end RNA-seq dataset from the developing human cortex</w:t>
      </w:r>
      <w:r w:rsidR="006F5DDD">
        <w:rPr>
          <w:rFonts w:cs="Arial"/>
          <w:szCs w:val="20"/>
        </w:rPr>
        <w:t xml:space="preserve"> </w:t>
      </w:r>
      <w:r w:rsidR="00CA5074">
        <w:rPr>
          <w:rFonts w:cs="Arial"/>
          <w:szCs w:val="20"/>
        </w:rPr>
        <w:t>[</w:t>
      </w:r>
      <w:r w:rsidR="00354DCD">
        <w:rPr>
          <w:rFonts w:cs="Arial"/>
          <w:szCs w:val="20"/>
        </w:rPr>
        <w:t>3</w:t>
      </w:r>
      <w:r w:rsidR="00CA5074">
        <w:rPr>
          <w:rFonts w:cs="Arial"/>
          <w:szCs w:val="20"/>
        </w:rPr>
        <w:t>]</w:t>
      </w:r>
      <w:r w:rsidR="00354DCD">
        <w:rPr>
          <w:rFonts w:cs="Arial"/>
          <w:szCs w:val="20"/>
        </w:rPr>
        <w:t xml:space="preserve"> </w:t>
      </w:r>
      <w:r w:rsidR="002B5030">
        <w:rPr>
          <w:rFonts w:cs="Arial"/>
          <w:szCs w:val="20"/>
        </w:rPr>
        <w:t xml:space="preserve">bulk tissue </w:t>
      </w:r>
      <w:r w:rsidR="00354DCD">
        <w:rPr>
          <w:rFonts w:cs="Arial"/>
          <w:szCs w:val="20"/>
        </w:rPr>
        <w:t>[4</w:t>
      </w:r>
      <w:r w:rsidR="006F5DDD">
        <w:rPr>
          <w:rFonts w:cs="Arial"/>
          <w:szCs w:val="20"/>
        </w:rPr>
        <w:t>]</w:t>
      </w:r>
      <w:r w:rsidRPr="007241F6">
        <w:rPr>
          <w:rFonts w:cs="Arial"/>
          <w:szCs w:val="20"/>
        </w:rPr>
        <w:t xml:space="preserve"> (Array Express: E-GEOD-71315) for </w:t>
      </w:r>
      <w:r w:rsidR="006F5DDD">
        <w:rPr>
          <w:rFonts w:cs="Arial"/>
          <w:szCs w:val="20"/>
        </w:rPr>
        <w:t>4</w:t>
      </w:r>
      <w:r w:rsidRPr="007241F6">
        <w:rPr>
          <w:rFonts w:cs="Arial"/>
          <w:szCs w:val="20"/>
        </w:rPr>
        <w:t xml:space="preserve"> developmental timepoints of human cortex development: gestation week (GW) </w:t>
      </w:r>
      <w:r w:rsidR="006F5DDD">
        <w:rPr>
          <w:rFonts w:cs="Arial"/>
          <w:szCs w:val="20"/>
        </w:rPr>
        <w:t xml:space="preserve">13, </w:t>
      </w:r>
      <w:r w:rsidRPr="007241F6">
        <w:rPr>
          <w:rFonts w:cs="Arial"/>
          <w:szCs w:val="20"/>
        </w:rPr>
        <w:t xml:space="preserve">16, 21 and 23, in duplicates. After read mapping and transcriptome assembly using the human reference genome, the transcriptomes for each developmental timepoint were merged with StringTie </w:t>
      </w:r>
      <w:r w:rsidR="00354DCD">
        <w:rPr>
          <w:rFonts w:cs="Arial"/>
          <w:szCs w:val="20"/>
        </w:rPr>
        <w:t>[5</w:t>
      </w:r>
      <w:r w:rsidR="006F5DDD">
        <w:rPr>
          <w:rFonts w:cs="Arial"/>
          <w:szCs w:val="20"/>
        </w:rPr>
        <w:t>]</w:t>
      </w:r>
      <w:r w:rsidRPr="007241F6">
        <w:rPr>
          <w:rFonts w:cs="Arial"/>
          <w:szCs w:val="20"/>
        </w:rPr>
        <w:t xml:space="preserve">. For the earliest timepoint, since no biological </w:t>
      </w:r>
      <w:r w:rsidRPr="007241F6">
        <w:rPr>
          <w:rFonts w:cs="Arial"/>
          <w:szCs w:val="20"/>
        </w:rPr>
        <w:lastRenderedPageBreak/>
        <w:t>replicates were available the transcriptome assemblies for GW13 and GW14.5 were combined. For each developmental timepoint transcriptome assemblies were generated for RNA-seq data obtained from Poly(A)-enriched RNA samples and rRNA-depleted total RNA samples. The obtained transcriptomes were merged for the biological replicates and visualised using the IGV browser</w:t>
      </w:r>
      <w:r w:rsidR="00354DCD">
        <w:rPr>
          <w:rFonts w:cs="Arial"/>
          <w:szCs w:val="20"/>
        </w:rPr>
        <w:t xml:space="preserve"> [6</w:t>
      </w:r>
      <w:r w:rsidR="006F5DDD">
        <w:rPr>
          <w:rFonts w:cs="Arial"/>
          <w:szCs w:val="20"/>
        </w:rPr>
        <w:t>]</w:t>
      </w:r>
      <w:r w:rsidRPr="007241F6">
        <w:rPr>
          <w:rFonts w:cs="Arial"/>
          <w:szCs w:val="20"/>
        </w:rPr>
        <w:t>.</w:t>
      </w:r>
    </w:p>
    <w:p w14:paraId="140D5E18" w14:textId="77777777" w:rsidR="000C0AAF" w:rsidRDefault="000C0AAF" w:rsidP="000C0AAF">
      <w:pPr>
        <w:spacing w:line="480" w:lineRule="auto"/>
        <w:jc w:val="both"/>
        <w:rPr>
          <w:rFonts w:cs="Arial"/>
          <w:b/>
          <w:bCs/>
        </w:rPr>
      </w:pPr>
    </w:p>
    <w:p w14:paraId="42542B7C" w14:textId="02214144" w:rsidR="00617F58" w:rsidRPr="00617F58" w:rsidRDefault="004A2440" w:rsidP="00617F58">
      <w:pPr>
        <w:spacing w:line="480" w:lineRule="auto"/>
        <w:jc w:val="both"/>
        <w:rPr>
          <w:rFonts w:cs="Arial"/>
          <w:b/>
          <w:bCs/>
          <w:color w:val="FF0000"/>
        </w:rPr>
      </w:pPr>
      <w:r>
        <w:rPr>
          <w:rFonts w:cs="Arial"/>
          <w:b/>
          <w:bCs/>
          <w:color w:val="FF0000"/>
        </w:rPr>
        <w:t>Poly(A)-signal analysis</w:t>
      </w:r>
    </w:p>
    <w:p w14:paraId="278198EE" w14:textId="26767C32" w:rsidR="00617F58" w:rsidRPr="00617F58" w:rsidRDefault="00617F58" w:rsidP="00617F58">
      <w:pPr>
        <w:spacing w:line="480" w:lineRule="auto"/>
        <w:jc w:val="both"/>
        <w:rPr>
          <w:rFonts w:cs="Arial"/>
          <w:bCs/>
          <w:color w:val="FF0000"/>
        </w:rPr>
      </w:pPr>
      <w:r>
        <w:rPr>
          <w:rFonts w:cs="Arial"/>
          <w:bCs/>
          <w:color w:val="FF0000"/>
        </w:rPr>
        <w:t>P</w:t>
      </w:r>
      <w:r w:rsidRPr="00617F58">
        <w:rPr>
          <w:rFonts w:cs="Arial"/>
          <w:bCs/>
          <w:color w:val="FF0000"/>
        </w:rPr>
        <w:t>rocessed bed files for PolyA-seq produced by [</w:t>
      </w:r>
      <w:r>
        <w:rPr>
          <w:rFonts w:cs="Arial"/>
          <w:bCs/>
          <w:color w:val="FF0000"/>
        </w:rPr>
        <w:t>7</w:t>
      </w:r>
      <w:r w:rsidR="004A2440">
        <w:rPr>
          <w:rFonts w:cs="Arial"/>
          <w:bCs/>
          <w:color w:val="FF0000"/>
        </w:rPr>
        <w:t>]</w:t>
      </w:r>
      <w:r w:rsidRPr="00617F58">
        <w:rPr>
          <w:rFonts w:cs="Arial"/>
          <w:bCs/>
          <w:color w:val="FF0000"/>
        </w:rPr>
        <w:t xml:space="preserve"> were downloaded from ArrayExpress (E-GEOD-30198) and uploaded as custom tracks to the UCSC genome browser to visualise the detected Poly(A)-signals in human and mouse. The data was processed by the original authors to show high confidence Poly(A)-signals (_align_ tracks) and peaks of Poly(A)-signals within 30bp on the same strand (_cluster_ tracks). The latter was performed as poly(A) sites generally correspond to one major peak surrounded by minor peaks reflecting likely the inexact nature of transcript termination.</w:t>
      </w:r>
      <w:r w:rsidR="004A2440">
        <w:rPr>
          <w:rFonts w:cs="Arial"/>
          <w:bCs/>
          <w:color w:val="FF0000"/>
        </w:rPr>
        <w:t xml:space="preserve"> Kidney samples were used </w:t>
      </w:r>
      <w:r w:rsidR="004A2440" w:rsidRPr="004B0C96">
        <w:rPr>
          <w:rFonts w:cs="Arial"/>
          <w:bCs/>
          <w:color w:val="FF0000"/>
        </w:rPr>
        <w:t>as negative con</w:t>
      </w:r>
      <w:r w:rsidR="004A2440">
        <w:rPr>
          <w:rFonts w:cs="Arial"/>
          <w:bCs/>
          <w:color w:val="FF0000"/>
        </w:rPr>
        <w:t>trols.</w:t>
      </w:r>
    </w:p>
    <w:p w14:paraId="31D4B5B5" w14:textId="77777777" w:rsidR="00617F58" w:rsidRDefault="00617F58" w:rsidP="000C0AAF">
      <w:pPr>
        <w:spacing w:line="480" w:lineRule="auto"/>
        <w:jc w:val="both"/>
        <w:rPr>
          <w:rFonts w:cs="Arial"/>
          <w:b/>
          <w:bCs/>
        </w:rPr>
      </w:pPr>
    </w:p>
    <w:p w14:paraId="54C89ADE" w14:textId="77777777" w:rsidR="004A2440" w:rsidRDefault="004A2440" w:rsidP="000C0AAF">
      <w:pPr>
        <w:spacing w:line="480" w:lineRule="auto"/>
        <w:jc w:val="both"/>
        <w:rPr>
          <w:rFonts w:cs="Arial"/>
          <w:b/>
          <w:bCs/>
        </w:rPr>
      </w:pPr>
    </w:p>
    <w:p w14:paraId="5FDF684D" w14:textId="77777777" w:rsidR="000C0AAF" w:rsidRPr="00696AC3" w:rsidRDefault="000C0AAF" w:rsidP="000C0AAF">
      <w:pPr>
        <w:spacing w:line="480" w:lineRule="auto"/>
        <w:jc w:val="both"/>
        <w:rPr>
          <w:rFonts w:cs="Arial"/>
          <w:bCs/>
        </w:rPr>
      </w:pPr>
      <w:r w:rsidRPr="00F35A43">
        <w:rPr>
          <w:rFonts w:cs="Arial"/>
          <w:b/>
          <w:bCs/>
        </w:rPr>
        <w:t xml:space="preserve">Supplementary table 1: </w:t>
      </w:r>
      <w:r>
        <w:rPr>
          <w:rFonts w:cs="Arial"/>
          <w:bCs/>
        </w:rPr>
        <w:t>Sequences for forward (F) or reverse (R) primers used in this study.</w:t>
      </w:r>
    </w:p>
    <w:tbl>
      <w:tblPr>
        <w:tblW w:w="6522" w:type="dxa"/>
        <w:tblInd w:w="93" w:type="dxa"/>
        <w:tblLook w:val="04A0" w:firstRow="1" w:lastRow="0" w:firstColumn="1" w:lastColumn="0" w:noHBand="0" w:noVBand="1"/>
      </w:tblPr>
      <w:tblGrid>
        <w:gridCol w:w="1183"/>
        <w:gridCol w:w="3890"/>
        <w:gridCol w:w="236"/>
        <w:gridCol w:w="253"/>
        <w:gridCol w:w="960"/>
      </w:tblGrid>
      <w:tr w:rsidR="000C0AAF" w:rsidRPr="00D4200F" w14:paraId="4AB4BAE4" w14:textId="77777777" w:rsidTr="006A705C">
        <w:trPr>
          <w:trHeight w:val="315"/>
        </w:trPr>
        <w:tc>
          <w:tcPr>
            <w:tcW w:w="1183" w:type="dxa"/>
            <w:tcBorders>
              <w:top w:val="nil"/>
              <w:left w:val="nil"/>
              <w:bottom w:val="single" w:sz="8" w:space="0" w:color="000000"/>
              <w:right w:val="nil"/>
            </w:tcBorders>
            <w:shd w:val="clear" w:color="auto" w:fill="auto"/>
            <w:noWrap/>
            <w:vAlign w:val="center"/>
            <w:hideMark/>
          </w:tcPr>
          <w:p w14:paraId="18B14AE9" w14:textId="77777777" w:rsidR="000C0AAF" w:rsidRPr="00D4200F" w:rsidRDefault="000C0AAF" w:rsidP="006A705C">
            <w:pPr>
              <w:spacing w:line="480" w:lineRule="auto"/>
              <w:rPr>
                <w:rFonts w:eastAsia="Times New Roman" w:cs="Arial"/>
                <w:iCs/>
                <w:color w:val="000000"/>
                <w:szCs w:val="20"/>
                <w:lang w:eastAsia="en-GB"/>
              </w:rPr>
            </w:pPr>
            <w:r w:rsidRPr="00D4200F">
              <w:rPr>
                <w:rFonts w:eastAsia="Times New Roman" w:cs="Arial"/>
                <w:iCs/>
                <w:color w:val="000000"/>
                <w:szCs w:val="20"/>
                <w:lang w:eastAsia="en-GB"/>
              </w:rPr>
              <w:t>Primer</w:t>
            </w:r>
          </w:p>
        </w:tc>
        <w:tc>
          <w:tcPr>
            <w:tcW w:w="3890" w:type="dxa"/>
            <w:tcBorders>
              <w:top w:val="nil"/>
              <w:left w:val="nil"/>
              <w:bottom w:val="single" w:sz="8" w:space="0" w:color="000000"/>
              <w:right w:val="nil"/>
            </w:tcBorders>
            <w:shd w:val="clear" w:color="auto" w:fill="auto"/>
            <w:noWrap/>
            <w:vAlign w:val="center"/>
            <w:hideMark/>
          </w:tcPr>
          <w:p w14:paraId="64938690" w14:textId="77777777" w:rsidR="000C0AAF" w:rsidRPr="00D4200F" w:rsidRDefault="000C0AAF" w:rsidP="006A705C">
            <w:pPr>
              <w:spacing w:line="480" w:lineRule="auto"/>
              <w:rPr>
                <w:rFonts w:eastAsia="Times New Roman" w:cs="Arial"/>
                <w:iCs/>
                <w:color w:val="000000"/>
                <w:szCs w:val="20"/>
                <w:lang w:eastAsia="en-GB"/>
              </w:rPr>
            </w:pPr>
            <w:r w:rsidRPr="00D4200F">
              <w:rPr>
                <w:rFonts w:eastAsia="Times New Roman" w:cs="Arial"/>
                <w:iCs/>
                <w:color w:val="000000"/>
                <w:szCs w:val="20"/>
                <w:lang w:eastAsia="en-GB"/>
              </w:rPr>
              <w:t>Sequence (5`-3`)</w:t>
            </w:r>
          </w:p>
        </w:tc>
        <w:tc>
          <w:tcPr>
            <w:tcW w:w="236" w:type="dxa"/>
            <w:tcBorders>
              <w:top w:val="nil"/>
              <w:left w:val="nil"/>
              <w:bottom w:val="nil"/>
              <w:right w:val="nil"/>
            </w:tcBorders>
            <w:shd w:val="clear" w:color="auto" w:fill="auto"/>
            <w:noWrap/>
            <w:vAlign w:val="bottom"/>
            <w:hideMark/>
          </w:tcPr>
          <w:p w14:paraId="0A9E2BD1"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71039ACF"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3256E5A5"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7C91AB63" w14:textId="77777777" w:rsidTr="006A705C">
        <w:trPr>
          <w:trHeight w:val="300"/>
        </w:trPr>
        <w:tc>
          <w:tcPr>
            <w:tcW w:w="1183" w:type="dxa"/>
            <w:tcBorders>
              <w:top w:val="nil"/>
              <w:left w:val="nil"/>
              <w:bottom w:val="nil"/>
              <w:right w:val="nil"/>
            </w:tcBorders>
            <w:shd w:val="clear" w:color="auto" w:fill="auto"/>
            <w:noWrap/>
            <w:vAlign w:val="center"/>
            <w:hideMark/>
          </w:tcPr>
          <w:p w14:paraId="12728F67"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F1</w:t>
            </w:r>
          </w:p>
        </w:tc>
        <w:tc>
          <w:tcPr>
            <w:tcW w:w="3890" w:type="dxa"/>
            <w:tcBorders>
              <w:top w:val="nil"/>
              <w:left w:val="nil"/>
              <w:bottom w:val="nil"/>
              <w:right w:val="nil"/>
            </w:tcBorders>
            <w:shd w:val="clear" w:color="auto" w:fill="auto"/>
            <w:noWrap/>
            <w:vAlign w:val="center"/>
            <w:hideMark/>
          </w:tcPr>
          <w:p w14:paraId="4FF41C5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TGGAAGTTTCACTCAGCCGT</w:t>
            </w:r>
          </w:p>
        </w:tc>
        <w:tc>
          <w:tcPr>
            <w:tcW w:w="236" w:type="dxa"/>
            <w:tcBorders>
              <w:top w:val="nil"/>
              <w:left w:val="nil"/>
              <w:bottom w:val="nil"/>
              <w:right w:val="nil"/>
            </w:tcBorders>
            <w:shd w:val="clear" w:color="auto" w:fill="auto"/>
            <w:noWrap/>
            <w:vAlign w:val="bottom"/>
            <w:hideMark/>
          </w:tcPr>
          <w:p w14:paraId="62EFF8BD"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2B266146"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7A6E8282"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00C5056B" w14:textId="77777777" w:rsidTr="006A705C">
        <w:trPr>
          <w:trHeight w:val="300"/>
        </w:trPr>
        <w:tc>
          <w:tcPr>
            <w:tcW w:w="1183" w:type="dxa"/>
            <w:tcBorders>
              <w:top w:val="nil"/>
              <w:left w:val="nil"/>
              <w:bottom w:val="nil"/>
              <w:right w:val="nil"/>
            </w:tcBorders>
            <w:shd w:val="clear" w:color="auto" w:fill="auto"/>
            <w:noWrap/>
            <w:vAlign w:val="center"/>
            <w:hideMark/>
          </w:tcPr>
          <w:p w14:paraId="7B68E009"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F2</w:t>
            </w:r>
          </w:p>
        </w:tc>
        <w:tc>
          <w:tcPr>
            <w:tcW w:w="5339" w:type="dxa"/>
            <w:gridSpan w:val="4"/>
            <w:tcBorders>
              <w:top w:val="nil"/>
              <w:left w:val="nil"/>
              <w:bottom w:val="nil"/>
              <w:right w:val="nil"/>
            </w:tcBorders>
            <w:shd w:val="clear" w:color="auto" w:fill="auto"/>
            <w:noWrap/>
            <w:vAlign w:val="center"/>
            <w:hideMark/>
          </w:tcPr>
          <w:p w14:paraId="0167A8D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CTTGGCATCTTCTTCCGAGCA</w:t>
            </w:r>
          </w:p>
        </w:tc>
      </w:tr>
      <w:tr w:rsidR="000C0AAF" w:rsidRPr="00D4200F" w14:paraId="030A97C6" w14:textId="77777777" w:rsidTr="006A705C">
        <w:trPr>
          <w:trHeight w:val="300"/>
        </w:trPr>
        <w:tc>
          <w:tcPr>
            <w:tcW w:w="1183" w:type="dxa"/>
            <w:tcBorders>
              <w:top w:val="nil"/>
              <w:left w:val="nil"/>
              <w:bottom w:val="nil"/>
              <w:right w:val="nil"/>
            </w:tcBorders>
            <w:shd w:val="clear" w:color="auto" w:fill="auto"/>
            <w:noWrap/>
            <w:vAlign w:val="center"/>
            <w:hideMark/>
          </w:tcPr>
          <w:p w14:paraId="216D8E0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F2A</w:t>
            </w:r>
          </w:p>
        </w:tc>
        <w:tc>
          <w:tcPr>
            <w:tcW w:w="3890" w:type="dxa"/>
            <w:tcBorders>
              <w:top w:val="nil"/>
              <w:left w:val="nil"/>
              <w:bottom w:val="nil"/>
              <w:right w:val="nil"/>
            </w:tcBorders>
            <w:shd w:val="clear" w:color="auto" w:fill="auto"/>
            <w:noWrap/>
            <w:vAlign w:val="center"/>
            <w:hideMark/>
          </w:tcPr>
          <w:p w14:paraId="02EE4B5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TGGGCAGGCAGGACTTCA</w:t>
            </w:r>
          </w:p>
        </w:tc>
        <w:tc>
          <w:tcPr>
            <w:tcW w:w="236" w:type="dxa"/>
            <w:tcBorders>
              <w:top w:val="nil"/>
              <w:left w:val="nil"/>
              <w:bottom w:val="nil"/>
              <w:right w:val="nil"/>
            </w:tcBorders>
            <w:shd w:val="clear" w:color="auto" w:fill="auto"/>
            <w:noWrap/>
            <w:vAlign w:val="bottom"/>
            <w:hideMark/>
          </w:tcPr>
          <w:p w14:paraId="0ACD1AEB"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798E5E15"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65BC475D"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5B99D31E" w14:textId="77777777" w:rsidTr="006A705C">
        <w:trPr>
          <w:trHeight w:val="300"/>
        </w:trPr>
        <w:tc>
          <w:tcPr>
            <w:tcW w:w="1183" w:type="dxa"/>
            <w:tcBorders>
              <w:top w:val="nil"/>
              <w:left w:val="nil"/>
              <w:bottom w:val="nil"/>
              <w:right w:val="nil"/>
            </w:tcBorders>
            <w:shd w:val="clear" w:color="auto" w:fill="auto"/>
            <w:noWrap/>
            <w:vAlign w:val="center"/>
            <w:hideMark/>
          </w:tcPr>
          <w:p w14:paraId="486D4A5D"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F4</w:t>
            </w:r>
          </w:p>
        </w:tc>
        <w:tc>
          <w:tcPr>
            <w:tcW w:w="4379" w:type="dxa"/>
            <w:gridSpan w:val="3"/>
            <w:tcBorders>
              <w:top w:val="nil"/>
              <w:left w:val="nil"/>
              <w:bottom w:val="nil"/>
              <w:right w:val="nil"/>
            </w:tcBorders>
            <w:shd w:val="clear" w:color="auto" w:fill="auto"/>
            <w:noWrap/>
            <w:vAlign w:val="center"/>
            <w:hideMark/>
          </w:tcPr>
          <w:p w14:paraId="23CABDE9"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ACCAGAGCCGAGGACTAAAC</w:t>
            </w:r>
          </w:p>
        </w:tc>
        <w:tc>
          <w:tcPr>
            <w:tcW w:w="960" w:type="dxa"/>
            <w:tcBorders>
              <w:top w:val="nil"/>
              <w:left w:val="nil"/>
              <w:bottom w:val="nil"/>
              <w:right w:val="nil"/>
            </w:tcBorders>
            <w:shd w:val="clear" w:color="auto" w:fill="auto"/>
            <w:noWrap/>
            <w:vAlign w:val="bottom"/>
            <w:hideMark/>
          </w:tcPr>
          <w:p w14:paraId="33E4623F"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268D8401" w14:textId="77777777" w:rsidTr="006A705C">
        <w:trPr>
          <w:trHeight w:val="300"/>
        </w:trPr>
        <w:tc>
          <w:tcPr>
            <w:tcW w:w="1183" w:type="dxa"/>
            <w:tcBorders>
              <w:top w:val="nil"/>
              <w:left w:val="nil"/>
              <w:bottom w:val="nil"/>
              <w:right w:val="nil"/>
            </w:tcBorders>
            <w:shd w:val="clear" w:color="auto" w:fill="auto"/>
            <w:noWrap/>
            <w:vAlign w:val="center"/>
            <w:hideMark/>
          </w:tcPr>
          <w:p w14:paraId="374503A2"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F4a</w:t>
            </w:r>
          </w:p>
        </w:tc>
        <w:tc>
          <w:tcPr>
            <w:tcW w:w="3890" w:type="dxa"/>
            <w:tcBorders>
              <w:top w:val="nil"/>
              <w:left w:val="nil"/>
              <w:bottom w:val="nil"/>
              <w:right w:val="nil"/>
            </w:tcBorders>
            <w:shd w:val="clear" w:color="auto" w:fill="auto"/>
            <w:noWrap/>
            <w:vAlign w:val="center"/>
            <w:hideMark/>
          </w:tcPr>
          <w:p w14:paraId="6DA9409B"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GACCAGAGCCGAGGACTAAAC</w:t>
            </w:r>
          </w:p>
        </w:tc>
        <w:tc>
          <w:tcPr>
            <w:tcW w:w="236" w:type="dxa"/>
            <w:tcBorders>
              <w:top w:val="nil"/>
              <w:left w:val="nil"/>
              <w:bottom w:val="nil"/>
              <w:right w:val="nil"/>
            </w:tcBorders>
            <w:shd w:val="clear" w:color="auto" w:fill="auto"/>
            <w:noWrap/>
            <w:vAlign w:val="bottom"/>
            <w:hideMark/>
          </w:tcPr>
          <w:p w14:paraId="11206396"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22992CEA"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695CC20E"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6F3102AE" w14:textId="77777777" w:rsidTr="006A705C">
        <w:trPr>
          <w:trHeight w:val="300"/>
        </w:trPr>
        <w:tc>
          <w:tcPr>
            <w:tcW w:w="1183" w:type="dxa"/>
            <w:tcBorders>
              <w:top w:val="nil"/>
              <w:left w:val="nil"/>
              <w:bottom w:val="nil"/>
              <w:right w:val="nil"/>
            </w:tcBorders>
            <w:shd w:val="clear" w:color="auto" w:fill="auto"/>
            <w:noWrap/>
            <w:vAlign w:val="center"/>
            <w:hideMark/>
          </w:tcPr>
          <w:p w14:paraId="1E0DE9F1"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F5a</w:t>
            </w:r>
          </w:p>
        </w:tc>
        <w:tc>
          <w:tcPr>
            <w:tcW w:w="5339" w:type="dxa"/>
            <w:gridSpan w:val="4"/>
            <w:tcBorders>
              <w:top w:val="nil"/>
              <w:left w:val="nil"/>
              <w:bottom w:val="nil"/>
              <w:right w:val="nil"/>
            </w:tcBorders>
            <w:shd w:val="clear" w:color="auto" w:fill="auto"/>
            <w:noWrap/>
            <w:vAlign w:val="center"/>
            <w:hideMark/>
          </w:tcPr>
          <w:p w14:paraId="16D4724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ACCACTCCATTGCAGAAAAGC</w:t>
            </w:r>
          </w:p>
        </w:tc>
      </w:tr>
      <w:tr w:rsidR="000C0AAF" w:rsidRPr="00D4200F" w14:paraId="49DB1632" w14:textId="77777777" w:rsidTr="006A705C">
        <w:trPr>
          <w:trHeight w:val="300"/>
        </w:trPr>
        <w:tc>
          <w:tcPr>
            <w:tcW w:w="1183" w:type="dxa"/>
            <w:tcBorders>
              <w:top w:val="nil"/>
              <w:left w:val="nil"/>
              <w:bottom w:val="nil"/>
              <w:right w:val="nil"/>
            </w:tcBorders>
            <w:shd w:val="clear" w:color="auto" w:fill="auto"/>
            <w:noWrap/>
            <w:vAlign w:val="center"/>
            <w:hideMark/>
          </w:tcPr>
          <w:p w14:paraId="4640B4D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F6</w:t>
            </w:r>
          </w:p>
        </w:tc>
        <w:tc>
          <w:tcPr>
            <w:tcW w:w="3890" w:type="dxa"/>
            <w:tcBorders>
              <w:top w:val="nil"/>
              <w:left w:val="nil"/>
              <w:bottom w:val="nil"/>
              <w:right w:val="nil"/>
            </w:tcBorders>
            <w:shd w:val="clear" w:color="auto" w:fill="auto"/>
            <w:noWrap/>
            <w:vAlign w:val="center"/>
            <w:hideMark/>
          </w:tcPr>
          <w:p w14:paraId="3B6657AD"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CCACCCGGTCCGGAATGA</w:t>
            </w:r>
          </w:p>
        </w:tc>
        <w:tc>
          <w:tcPr>
            <w:tcW w:w="236" w:type="dxa"/>
            <w:tcBorders>
              <w:top w:val="nil"/>
              <w:left w:val="nil"/>
              <w:bottom w:val="nil"/>
              <w:right w:val="nil"/>
            </w:tcBorders>
            <w:shd w:val="clear" w:color="auto" w:fill="auto"/>
            <w:noWrap/>
            <w:vAlign w:val="bottom"/>
            <w:hideMark/>
          </w:tcPr>
          <w:p w14:paraId="603E4AD5"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50C9B60E"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655A0768"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19895B2C" w14:textId="77777777" w:rsidTr="006A705C">
        <w:trPr>
          <w:trHeight w:val="300"/>
        </w:trPr>
        <w:tc>
          <w:tcPr>
            <w:tcW w:w="1183" w:type="dxa"/>
            <w:tcBorders>
              <w:top w:val="nil"/>
              <w:left w:val="nil"/>
              <w:bottom w:val="nil"/>
              <w:right w:val="nil"/>
            </w:tcBorders>
            <w:shd w:val="clear" w:color="auto" w:fill="auto"/>
            <w:noWrap/>
            <w:vAlign w:val="center"/>
            <w:hideMark/>
          </w:tcPr>
          <w:p w14:paraId="74EF47D7"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F6a</w:t>
            </w:r>
          </w:p>
        </w:tc>
        <w:tc>
          <w:tcPr>
            <w:tcW w:w="4379" w:type="dxa"/>
            <w:gridSpan w:val="3"/>
            <w:tcBorders>
              <w:top w:val="nil"/>
              <w:left w:val="nil"/>
              <w:bottom w:val="nil"/>
              <w:right w:val="nil"/>
            </w:tcBorders>
            <w:shd w:val="clear" w:color="auto" w:fill="auto"/>
            <w:noWrap/>
            <w:vAlign w:val="center"/>
            <w:hideMark/>
          </w:tcPr>
          <w:p w14:paraId="1AA3EE7B"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GCAGAGCGTTAGGGGCG</w:t>
            </w:r>
          </w:p>
        </w:tc>
        <w:tc>
          <w:tcPr>
            <w:tcW w:w="960" w:type="dxa"/>
            <w:tcBorders>
              <w:top w:val="nil"/>
              <w:left w:val="nil"/>
              <w:bottom w:val="nil"/>
              <w:right w:val="nil"/>
            </w:tcBorders>
            <w:shd w:val="clear" w:color="auto" w:fill="auto"/>
            <w:noWrap/>
            <w:vAlign w:val="bottom"/>
            <w:hideMark/>
          </w:tcPr>
          <w:p w14:paraId="1E00A367"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1FA0A23D" w14:textId="77777777" w:rsidTr="006A705C">
        <w:trPr>
          <w:trHeight w:val="300"/>
        </w:trPr>
        <w:tc>
          <w:tcPr>
            <w:tcW w:w="1183" w:type="dxa"/>
            <w:tcBorders>
              <w:top w:val="nil"/>
              <w:left w:val="nil"/>
              <w:bottom w:val="nil"/>
              <w:right w:val="nil"/>
            </w:tcBorders>
            <w:shd w:val="clear" w:color="auto" w:fill="auto"/>
            <w:noWrap/>
            <w:vAlign w:val="center"/>
            <w:hideMark/>
          </w:tcPr>
          <w:p w14:paraId="457B55AA"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F7</w:t>
            </w:r>
          </w:p>
        </w:tc>
        <w:tc>
          <w:tcPr>
            <w:tcW w:w="3890" w:type="dxa"/>
            <w:tcBorders>
              <w:top w:val="nil"/>
              <w:left w:val="nil"/>
              <w:bottom w:val="nil"/>
              <w:right w:val="nil"/>
            </w:tcBorders>
            <w:shd w:val="clear" w:color="auto" w:fill="auto"/>
            <w:noWrap/>
            <w:vAlign w:val="center"/>
            <w:hideMark/>
          </w:tcPr>
          <w:p w14:paraId="27923AD1"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TCACTTATCTGGAAACCTGCGG</w:t>
            </w:r>
          </w:p>
        </w:tc>
        <w:tc>
          <w:tcPr>
            <w:tcW w:w="236" w:type="dxa"/>
            <w:tcBorders>
              <w:top w:val="nil"/>
              <w:left w:val="nil"/>
              <w:bottom w:val="nil"/>
              <w:right w:val="nil"/>
            </w:tcBorders>
            <w:shd w:val="clear" w:color="auto" w:fill="auto"/>
            <w:noWrap/>
            <w:vAlign w:val="bottom"/>
            <w:hideMark/>
          </w:tcPr>
          <w:p w14:paraId="2FE73885"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547022ED"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6CF8CB6A"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6A4CD216" w14:textId="77777777" w:rsidTr="006A705C">
        <w:trPr>
          <w:trHeight w:val="300"/>
        </w:trPr>
        <w:tc>
          <w:tcPr>
            <w:tcW w:w="1183" w:type="dxa"/>
            <w:tcBorders>
              <w:top w:val="nil"/>
              <w:left w:val="nil"/>
              <w:bottom w:val="nil"/>
              <w:right w:val="nil"/>
            </w:tcBorders>
            <w:shd w:val="clear" w:color="auto" w:fill="auto"/>
            <w:noWrap/>
            <w:vAlign w:val="center"/>
            <w:hideMark/>
          </w:tcPr>
          <w:p w14:paraId="707CB40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F7a</w:t>
            </w:r>
          </w:p>
        </w:tc>
        <w:tc>
          <w:tcPr>
            <w:tcW w:w="4379" w:type="dxa"/>
            <w:gridSpan w:val="3"/>
            <w:tcBorders>
              <w:top w:val="nil"/>
              <w:left w:val="nil"/>
              <w:bottom w:val="nil"/>
              <w:right w:val="nil"/>
            </w:tcBorders>
            <w:shd w:val="clear" w:color="auto" w:fill="auto"/>
            <w:noWrap/>
            <w:vAlign w:val="center"/>
            <w:hideMark/>
          </w:tcPr>
          <w:p w14:paraId="7B1387BF"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ATCTGGAAACCTGCGGTTGG</w:t>
            </w:r>
          </w:p>
        </w:tc>
        <w:tc>
          <w:tcPr>
            <w:tcW w:w="960" w:type="dxa"/>
            <w:tcBorders>
              <w:top w:val="nil"/>
              <w:left w:val="nil"/>
              <w:bottom w:val="nil"/>
              <w:right w:val="nil"/>
            </w:tcBorders>
            <w:shd w:val="clear" w:color="auto" w:fill="auto"/>
            <w:noWrap/>
            <w:vAlign w:val="bottom"/>
            <w:hideMark/>
          </w:tcPr>
          <w:p w14:paraId="374B9982"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586882A1" w14:textId="77777777" w:rsidTr="006A705C">
        <w:trPr>
          <w:trHeight w:val="300"/>
        </w:trPr>
        <w:tc>
          <w:tcPr>
            <w:tcW w:w="1183" w:type="dxa"/>
            <w:tcBorders>
              <w:top w:val="nil"/>
              <w:left w:val="nil"/>
              <w:bottom w:val="nil"/>
              <w:right w:val="nil"/>
            </w:tcBorders>
            <w:shd w:val="clear" w:color="auto" w:fill="auto"/>
            <w:noWrap/>
            <w:vAlign w:val="center"/>
            <w:hideMark/>
          </w:tcPr>
          <w:p w14:paraId="2024893C"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F11</w:t>
            </w:r>
          </w:p>
        </w:tc>
        <w:tc>
          <w:tcPr>
            <w:tcW w:w="3890" w:type="dxa"/>
            <w:tcBorders>
              <w:top w:val="nil"/>
              <w:left w:val="nil"/>
              <w:bottom w:val="nil"/>
              <w:right w:val="nil"/>
            </w:tcBorders>
            <w:shd w:val="clear" w:color="auto" w:fill="auto"/>
            <w:noWrap/>
            <w:vAlign w:val="center"/>
            <w:hideMark/>
          </w:tcPr>
          <w:p w14:paraId="34B1843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ATGTGCAGGACTAAGGCGAC</w:t>
            </w:r>
          </w:p>
        </w:tc>
        <w:tc>
          <w:tcPr>
            <w:tcW w:w="236" w:type="dxa"/>
            <w:tcBorders>
              <w:top w:val="nil"/>
              <w:left w:val="nil"/>
              <w:bottom w:val="nil"/>
              <w:right w:val="nil"/>
            </w:tcBorders>
            <w:shd w:val="clear" w:color="auto" w:fill="auto"/>
            <w:noWrap/>
            <w:vAlign w:val="bottom"/>
            <w:hideMark/>
          </w:tcPr>
          <w:p w14:paraId="1929D50D"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74DF077F"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2B2F80AF"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2687DB95" w14:textId="77777777" w:rsidTr="006A705C">
        <w:trPr>
          <w:trHeight w:val="300"/>
        </w:trPr>
        <w:tc>
          <w:tcPr>
            <w:tcW w:w="1183" w:type="dxa"/>
            <w:tcBorders>
              <w:top w:val="nil"/>
              <w:left w:val="nil"/>
              <w:bottom w:val="nil"/>
              <w:right w:val="nil"/>
            </w:tcBorders>
            <w:shd w:val="clear" w:color="auto" w:fill="auto"/>
            <w:noWrap/>
            <w:vAlign w:val="center"/>
            <w:hideMark/>
          </w:tcPr>
          <w:p w14:paraId="3C68382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F11a</w:t>
            </w:r>
          </w:p>
        </w:tc>
        <w:tc>
          <w:tcPr>
            <w:tcW w:w="4379" w:type="dxa"/>
            <w:gridSpan w:val="3"/>
            <w:tcBorders>
              <w:top w:val="nil"/>
              <w:left w:val="nil"/>
              <w:bottom w:val="nil"/>
              <w:right w:val="nil"/>
            </w:tcBorders>
            <w:shd w:val="clear" w:color="auto" w:fill="auto"/>
            <w:noWrap/>
            <w:vAlign w:val="center"/>
            <w:hideMark/>
          </w:tcPr>
          <w:p w14:paraId="053EE599"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CTGCGACCACCTACCATCAC</w:t>
            </w:r>
          </w:p>
        </w:tc>
        <w:tc>
          <w:tcPr>
            <w:tcW w:w="960" w:type="dxa"/>
            <w:tcBorders>
              <w:top w:val="nil"/>
              <w:left w:val="nil"/>
              <w:bottom w:val="nil"/>
              <w:right w:val="nil"/>
            </w:tcBorders>
            <w:shd w:val="clear" w:color="auto" w:fill="auto"/>
            <w:noWrap/>
            <w:vAlign w:val="bottom"/>
            <w:hideMark/>
          </w:tcPr>
          <w:p w14:paraId="58FABF40"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63777DEF" w14:textId="77777777" w:rsidTr="006A705C">
        <w:trPr>
          <w:trHeight w:val="300"/>
        </w:trPr>
        <w:tc>
          <w:tcPr>
            <w:tcW w:w="1183" w:type="dxa"/>
            <w:tcBorders>
              <w:top w:val="nil"/>
              <w:left w:val="nil"/>
              <w:bottom w:val="nil"/>
              <w:right w:val="nil"/>
            </w:tcBorders>
            <w:shd w:val="clear" w:color="auto" w:fill="auto"/>
            <w:noWrap/>
            <w:vAlign w:val="center"/>
            <w:hideMark/>
          </w:tcPr>
          <w:p w14:paraId="44FFBB1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F12</w:t>
            </w:r>
          </w:p>
        </w:tc>
        <w:tc>
          <w:tcPr>
            <w:tcW w:w="3890" w:type="dxa"/>
            <w:tcBorders>
              <w:top w:val="nil"/>
              <w:left w:val="nil"/>
              <w:bottom w:val="nil"/>
              <w:right w:val="nil"/>
            </w:tcBorders>
            <w:shd w:val="clear" w:color="auto" w:fill="auto"/>
            <w:noWrap/>
            <w:vAlign w:val="center"/>
            <w:hideMark/>
          </w:tcPr>
          <w:p w14:paraId="21B96B00"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ACCCAGGAAAAAGCTACGGG</w:t>
            </w:r>
          </w:p>
        </w:tc>
        <w:tc>
          <w:tcPr>
            <w:tcW w:w="236" w:type="dxa"/>
            <w:tcBorders>
              <w:top w:val="nil"/>
              <w:left w:val="nil"/>
              <w:bottom w:val="nil"/>
              <w:right w:val="nil"/>
            </w:tcBorders>
            <w:shd w:val="clear" w:color="auto" w:fill="auto"/>
            <w:noWrap/>
            <w:vAlign w:val="bottom"/>
            <w:hideMark/>
          </w:tcPr>
          <w:p w14:paraId="614AAC53"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08C1D761"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0F7054F2"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4764C1C1" w14:textId="77777777" w:rsidTr="006A705C">
        <w:trPr>
          <w:trHeight w:val="300"/>
        </w:trPr>
        <w:tc>
          <w:tcPr>
            <w:tcW w:w="1183" w:type="dxa"/>
            <w:tcBorders>
              <w:top w:val="nil"/>
              <w:left w:val="nil"/>
              <w:bottom w:val="nil"/>
              <w:right w:val="nil"/>
            </w:tcBorders>
            <w:shd w:val="clear" w:color="auto" w:fill="auto"/>
            <w:noWrap/>
            <w:vAlign w:val="center"/>
            <w:hideMark/>
          </w:tcPr>
          <w:p w14:paraId="7A27389A"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lastRenderedPageBreak/>
              <w:t>F13</w:t>
            </w:r>
          </w:p>
        </w:tc>
        <w:tc>
          <w:tcPr>
            <w:tcW w:w="4379" w:type="dxa"/>
            <w:gridSpan w:val="3"/>
            <w:tcBorders>
              <w:top w:val="nil"/>
              <w:left w:val="nil"/>
              <w:bottom w:val="nil"/>
              <w:right w:val="nil"/>
            </w:tcBorders>
            <w:shd w:val="clear" w:color="auto" w:fill="auto"/>
            <w:noWrap/>
            <w:vAlign w:val="center"/>
            <w:hideMark/>
          </w:tcPr>
          <w:p w14:paraId="4DB352AC" w14:textId="36E2B161" w:rsidR="000C0AAF" w:rsidRPr="00D4200F" w:rsidRDefault="00035889" w:rsidP="006A705C">
            <w:pPr>
              <w:spacing w:line="480" w:lineRule="auto"/>
              <w:rPr>
                <w:rFonts w:eastAsia="Times New Roman" w:cs="Arial"/>
                <w:color w:val="000000"/>
                <w:szCs w:val="20"/>
                <w:lang w:eastAsia="en-GB"/>
              </w:rPr>
            </w:pPr>
            <w:r w:rsidRPr="00035889">
              <w:rPr>
                <w:rFonts w:eastAsia="Times New Roman" w:cs="Arial"/>
                <w:color w:val="FF0000"/>
                <w:szCs w:val="20"/>
                <w:lang w:eastAsia="en-GB"/>
              </w:rPr>
              <w:t>TACAGCCCCATCTCCAACTC</w:t>
            </w:r>
          </w:p>
        </w:tc>
        <w:tc>
          <w:tcPr>
            <w:tcW w:w="960" w:type="dxa"/>
            <w:tcBorders>
              <w:top w:val="nil"/>
              <w:left w:val="nil"/>
              <w:bottom w:val="nil"/>
              <w:right w:val="nil"/>
            </w:tcBorders>
            <w:shd w:val="clear" w:color="auto" w:fill="auto"/>
            <w:noWrap/>
            <w:vAlign w:val="bottom"/>
            <w:hideMark/>
          </w:tcPr>
          <w:p w14:paraId="73776B85"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697137F1" w14:textId="77777777" w:rsidTr="006A705C">
        <w:trPr>
          <w:trHeight w:val="300"/>
        </w:trPr>
        <w:tc>
          <w:tcPr>
            <w:tcW w:w="1183" w:type="dxa"/>
            <w:tcBorders>
              <w:top w:val="nil"/>
              <w:left w:val="nil"/>
              <w:bottom w:val="nil"/>
              <w:right w:val="nil"/>
            </w:tcBorders>
            <w:shd w:val="clear" w:color="auto" w:fill="auto"/>
            <w:noWrap/>
            <w:vAlign w:val="center"/>
            <w:hideMark/>
          </w:tcPr>
          <w:p w14:paraId="7F69ED70"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R1</w:t>
            </w:r>
          </w:p>
        </w:tc>
        <w:tc>
          <w:tcPr>
            <w:tcW w:w="3890" w:type="dxa"/>
            <w:tcBorders>
              <w:top w:val="nil"/>
              <w:left w:val="nil"/>
              <w:bottom w:val="nil"/>
              <w:right w:val="nil"/>
            </w:tcBorders>
            <w:shd w:val="clear" w:color="auto" w:fill="auto"/>
            <w:noWrap/>
            <w:vAlign w:val="center"/>
            <w:hideMark/>
          </w:tcPr>
          <w:p w14:paraId="1DC6EA3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GATAATGACCCCCGGTTCCC</w:t>
            </w:r>
          </w:p>
        </w:tc>
        <w:tc>
          <w:tcPr>
            <w:tcW w:w="236" w:type="dxa"/>
            <w:tcBorders>
              <w:top w:val="nil"/>
              <w:left w:val="nil"/>
              <w:bottom w:val="nil"/>
              <w:right w:val="nil"/>
            </w:tcBorders>
            <w:shd w:val="clear" w:color="auto" w:fill="auto"/>
            <w:noWrap/>
            <w:vAlign w:val="bottom"/>
            <w:hideMark/>
          </w:tcPr>
          <w:p w14:paraId="7313CB4B"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596AE67E"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75195F7D"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58C75870" w14:textId="77777777" w:rsidTr="006A705C">
        <w:trPr>
          <w:trHeight w:val="300"/>
        </w:trPr>
        <w:tc>
          <w:tcPr>
            <w:tcW w:w="1183" w:type="dxa"/>
            <w:tcBorders>
              <w:top w:val="nil"/>
              <w:left w:val="nil"/>
              <w:bottom w:val="nil"/>
              <w:right w:val="nil"/>
            </w:tcBorders>
            <w:shd w:val="clear" w:color="auto" w:fill="auto"/>
            <w:noWrap/>
            <w:vAlign w:val="center"/>
            <w:hideMark/>
          </w:tcPr>
          <w:p w14:paraId="377C0A5E"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R2</w:t>
            </w:r>
          </w:p>
        </w:tc>
        <w:tc>
          <w:tcPr>
            <w:tcW w:w="4379" w:type="dxa"/>
            <w:gridSpan w:val="3"/>
            <w:tcBorders>
              <w:top w:val="nil"/>
              <w:left w:val="nil"/>
              <w:bottom w:val="nil"/>
              <w:right w:val="nil"/>
            </w:tcBorders>
            <w:shd w:val="clear" w:color="auto" w:fill="auto"/>
            <w:noWrap/>
            <w:vAlign w:val="center"/>
            <w:hideMark/>
          </w:tcPr>
          <w:p w14:paraId="2CA68E9E"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GCATGGGCACGACTTGG</w:t>
            </w:r>
          </w:p>
        </w:tc>
        <w:tc>
          <w:tcPr>
            <w:tcW w:w="960" w:type="dxa"/>
            <w:tcBorders>
              <w:top w:val="nil"/>
              <w:left w:val="nil"/>
              <w:bottom w:val="nil"/>
              <w:right w:val="nil"/>
            </w:tcBorders>
            <w:shd w:val="clear" w:color="auto" w:fill="auto"/>
            <w:noWrap/>
            <w:vAlign w:val="bottom"/>
            <w:hideMark/>
          </w:tcPr>
          <w:p w14:paraId="0CBA0E68"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3033480B" w14:textId="77777777" w:rsidTr="006A705C">
        <w:trPr>
          <w:trHeight w:val="300"/>
        </w:trPr>
        <w:tc>
          <w:tcPr>
            <w:tcW w:w="1183" w:type="dxa"/>
            <w:tcBorders>
              <w:top w:val="nil"/>
              <w:left w:val="nil"/>
              <w:bottom w:val="nil"/>
              <w:right w:val="nil"/>
            </w:tcBorders>
            <w:shd w:val="clear" w:color="auto" w:fill="auto"/>
            <w:noWrap/>
            <w:vAlign w:val="center"/>
            <w:hideMark/>
          </w:tcPr>
          <w:p w14:paraId="7298A46A"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R3</w:t>
            </w:r>
          </w:p>
        </w:tc>
        <w:tc>
          <w:tcPr>
            <w:tcW w:w="3890" w:type="dxa"/>
            <w:tcBorders>
              <w:top w:val="nil"/>
              <w:left w:val="nil"/>
              <w:bottom w:val="nil"/>
              <w:right w:val="nil"/>
            </w:tcBorders>
            <w:shd w:val="clear" w:color="auto" w:fill="auto"/>
            <w:noWrap/>
            <w:vAlign w:val="center"/>
            <w:hideMark/>
          </w:tcPr>
          <w:p w14:paraId="64E86DA4"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TTGTTGGTTGCACTACCCCT</w:t>
            </w:r>
          </w:p>
        </w:tc>
        <w:tc>
          <w:tcPr>
            <w:tcW w:w="236" w:type="dxa"/>
            <w:tcBorders>
              <w:top w:val="nil"/>
              <w:left w:val="nil"/>
              <w:bottom w:val="nil"/>
              <w:right w:val="nil"/>
            </w:tcBorders>
            <w:shd w:val="clear" w:color="auto" w:fill="auto"/>
            <w:noWrap/>
            <w:vAlign w:val="bottom"/>
            <w:hideMark/>
          </w:tcPr>
          <w:p w14:paraId="43C32596"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3085D2BF"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18F2A867"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69E3B944" w14:textId="77777777" w:rsidTr="006A705C">
        <w:trPr>
          <w:trHeight w:val="300"/>
        </w:trPr>
        <w:tc>
          <w:tcPr>
            <w:tcW w:w="1183" w:type="dxa"/>
            <w:tcBorders>
              <w:top w:val="nil"/>
              <w:left w:val="nil"/>
              <w:bottom w:val="nil"/>
              <w:right w:val="nil"/>
            </w:tcBorders>
            <w:shd w:val="clear" w:color="auto" w:fill="auto"/>
            <w:noWrap/>
            <w:vAlign w:val="center"/>
            <w:hideMark/>
          </w:tcPr>
          <w:p w14:paraId="3A5F928E"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R4</w:t>
            </w:r>
          </w:p>
        </w:tc>
        <w:tc>
          <w:tcPr>
            <w:tcW w:w="4379" w:type="dxa"/>
            <w:gridSpan w:val="3"/>
            <w:tcBorders>
              <w:top w:val="nil"/>
              <w:left w:val="nil"/>
              <w:bottom w:val="nil"/>
              <w:right w:val="nil"/>
            </w:tcBorders>
            <w:shd w:val="clear" w:color="auto" w:fill="auto"/>
            <w:noWrap/>
            <w:vAlign w:val="center"/>
            <w:hideMark/>
          </w:tcPr>
          <w:p w14:paraId="7F863324"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GCACTACCCCTTCACATCCT</w:t>
            </w:r>
          </w:p>
        </w:tc>
        <w:tc>
          <w:tcPr>
            <w:tcW w:w="960" w:type="dxa"/>
            <w:tcBorders>
              <w:top w:val="nil"/>
              <w:left w:val="nil"/>
              <w:bottom w:val="nil"/>
              <w:right w:val="nil"/>
            </w:tcBorders>
            <w:shd w:val="clear" w:color="auto" w:fill="auto"/>
            <w:noWrap/>
            <w:vAlign w:val="bottom"/>
            <w:hideMark/>
          </w:tcPr>
          <w:p w14:paraId="5A64D8F3"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6A6A414E" w14:textId="77777777" w:rsidTr="006A705C">
        <w:trPr>
          <w:trHeight w:val="300"/>
        </w:trPr>
        <w:tc>
          <w:tcPr>
            <w:tcW w:w="1183" w:type="dxa"/>
            <w:tcBorders>
              <w:top w:val="nil"/>
              <w:left w:val="nil"/>
              <w:bottom w:val="nil"/>
              <w:right w:val="nil"/>
            </w:tcBorders>
            <w:shd w:val="clear" w:color="auto" w:fill="auto"/>
            <w:noWrap/>
            <w:vAlign w:val="center"/>
            <w:hideMark/>
          </w:tcPr>
          <w:p w14:paraId="6047617C"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R4a</w:t>
            </w:r>
          </w:p>
        </w:tc>
        <w:tc>
          <w:tcPr>
            <w:tcW w:w="3890" w:type="dxa"/>
            <w:tcBorders>
              <w:top w:val="nil"/>
              <w:left w:val="nil"/>
              <w:bottom w:val="nil"/>
              <w:right w:val="nil"/>
            </w:tcBorders>
            <w:shd w:val="clear" w:color="auto" w:fill="auto"/>
            <w:noWrap/>
            <w:vAlign w:val="center"/>
            <w:hideMark/>
          </w:tcPr>
          <w:p w14:paraId="2D73AE9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TTCACATCCTACCCCCTCCTT</w:t>
            </w:r>
          </w:p>
        </w:tc>
        <w:tc>
          <w:tcPr>
            <w:tcW w:w="236" w:type="dxa"/>
            <w:tcBorders>
              <w:top w:val="nil"/>
              <w:left w:val="nil"/>
              <w:bottom w:val="nil"/>
              <w:right w:val="nil"/>
            </w:tcBorders>
            <w:shd w:val="clear" w:color="auto" w:fill="auto"/>
            <w:noWrap/>
            <w:vAlign w:val="bottom"/>
            <w:hideMark/>
          </w:tcPr>
          <w:p w14:paraId="49FD707B"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1AD0FD2C"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5E8D3655"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212CA543" w14:textId="77777777" w:rsidTr="006A705C">
        <w:trPr>
          <w:trHeight w:val="300"/>
        </w:trPr>
        <w:tc>
          <w:tcPr>
            <w:tcW w:w="1183" w:type="dxa"/>
            <w:tcBorders>
              <w:top w:val="nil"/>
              <w:left w:val="nil"/>
              <w:bottom w:val="nil"/>
              <w:right w:val="nil"/>
            </w:tcBorders>
            <w:shd w:val="clear" w:color="auto" w:fill="auto"/>
            <w:noWrap/>
            <w:vAlign w:val="center"/>
            <w:hideMark/>
          </w:tcPr>
          <w:p w14:paraId="095832CB"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R5</w:t>
            </w:r>
          </w:p>
        </w:tc>
        <w:tc>
          <w:tcPr>
            <w:tcW w:w="5339" w:type="dxa"/>
            <w:gridSpan w:val="4"/>
            <w:tcBorders>
              <w:top w:val="nil"/>
              <w:left w:val="nil"/>
              <w:bottom w:val="nil"/>
              <w:right w:val="nil"/>
            </w:tcBorders>
            <w:shd w:val="clear" w:color="auto" w:fill="auto"/>
            <w:noWrap/>
            <w:vAlign w:val="center"/>
            <w:hideMark/>
          </w:tcPr>
          <w:p w14:paraId="17A146FA"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TCAATGTTTATTTCGACTTCCCG</w:t>
            </w:r>
          </w:p>
        </w:tc>
      </w:tr>
      <w:tr w:rsidR="000C0AAF" w:rsidRPr="00D4200F" w14:paraId="6FB3EC47" w14:textId="77777777" w:rsidTr="006A705C">
        <w:trPr>
          <w:trHeight w:val="300"/>
        </w:trPr>
        <w:tc>
          <w:tcPr>
            <w:tcW w:w="1183" w:type="dxa"/>
            <w:tcBorders>
              <w:top w:val="nil"/>
              <w:left w:val="nil"/>
              <w:bottom w:val="nil"/>
              <w:right w:val="nil"/>
            </w:tcBorders>
            <w:shd w:val="clear" w:color="auto" w:fill="auto"/>
            <w:noWrap/>
            <w:vAlign w:val="center"/>
            <w:hideMark/>
          </w:tcPr>
          <w:p w14:paraId="48CCB6E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R5a</w:t>
            </w:r>
          </w:p>
        </w:tc>
        <w:tc>
          <w:tcPr>
            <w:tcW w:w="3890" w:type="dxa"/>
            <w:tcBorders>
              <w:top w:val="nil"/>
              <w:left w:val="nil"/>
              <w:bottom w:val="nil"/>
              <w:right w:val="nil"/>
            </w:tcBorders>
            <w:shd w:val="clear" w:color="auto" w:fill="auto"/>
            <w:noWrap/>
            <w:vAlign w:val="center"/>
            <w:hideMark/>
          </w:tcPr>
          <w:p w14:paraId="7091CBA1"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TTATTTCGACTTCCCGGGGC</w:t>
            </w:r>
          </w:p>
        </w:tc>
        <w:tc>
          <w:tcPr>
            <w:tcW w:w="236" w:type="dxa"/>
            <w:tcBorders>
              <w:top w:val="nil"/>
              <w:left w:val="nil"/>
              <w:bottom w:val="nil"/>
              <w:right w:val="nil"/>
            </w:tcBorders>
            <w:shd w:val="clear" w:color="auto" w:fill="auto"/>
            <w:noWrap/>
            <w:vAlign w:val="bottom"/>
            <w:hideMark/>
          </w:tcPr>
          <w:p w14:paraId="243DC82A"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7134C3A7"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1042DA0D"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0F8B02AF" w14:textId="77777777" w:rsidTr="006A705C">
        <w:trPr>
          <w:trHeight w:val="300"/>
        </w:trPr>
        <w:tc>
          <w:tcPr>
            <w:tcW w:w="1183" w:type="dxa"/>
            <w:tcBorders>
              <w:top w:val="nil"/>
              <w:left w:val="nil"/>
              <w:bottom w:val="nil"/>
              <w:right w:val="nil"/>
            </w:tcBorders>
            <w:shd w:val="clear" w:color="auto" w:fill="auto"/>
            <w:noWrap/>
            <w:vAlign w:val="center"/>
            <w:hideMark/>
          </w:tcPr>
          <w:p w14:paraId="647C4B8A"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R6</w:t>
            </w:r>
          </w:p>
        </w:tc>
        <w:tc>
          <w:tcPr>
            <w:tcW w:w="5339" w:type="dxa"/>
            <w:gridSpan w:val="4"/>
            <w:tcBorders>
              <w:top w:val="nil"/>
              <w:left w:val="nil"/>
              <w:bottom w:val="nil"/>
              <w:right w:val="nil"/>
            </w:tcBorders>
            <w:shd w:val="clear" w:color="auto" w:fill="auto"/>
            <w:noWrap/>
            <w:vAlign w:val="center"/>
            <w:hideMark/>
          </w:tcPr>
          <w:p w14:paraId="0F6ACEC5"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TTACAGTTAGTTCCTCCTCCAGC</w:t>
            </w:r>
          </w:p>
        </w:tc>
      </w:tr>
      <w:tr w:rsidR="000C0AAF" w:rsidRPr="00D4200F" w14:paraId="6CF796E8" w14:textId="77777777" w:rsidTr="006A705C">
        <w:trPr>
          <w:trHeight w:val="300"/>
        </w:trPr>
        <w:tc>
          <w:tcPr>
            <w:tcW w:w="1183" w:type="dxa"/>
            <w:tcBorders>
              <w:top w:val="nil"/>
              <w:left w:val="nil"/>
              <w:bottom w:val="nil"/>
              <w:right w:val="nil"/>
            </w:tcBorders>
            <w:shd w:val="clear" w:color="auto" w:fill="auto"/>
            <w:noWrap/>
            <w:vAlign w:val="center"/>
            <w:hideMark/>
          </w:tcPr>
          <w:p w14:paraId="62F2A001"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R6a</w:t>
            </w:r>
          </w:p>
        </w:tc>
        <w:tc>
          <w:tcPr>
            <w:tcW w:w="3890" w:type="dxa"/>
            <w:tcBorders>
              <w:top w:val="nil"/>
              <w:left w:val="nil"/>
              <w:bottom w:val="nil"/>
              <w:right w:val="nil"/>
            </w:tcBorders>
            <w:shd w:val="clear" w:color="auto" w:fill="auto"/>
            <w:noWrap/>
            <w:vAlign w:val="center"/>
            <w:hideMark/>
          </w:tcPr>
          <w:p w14:paraId="10F13B8E"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ACAGTTAGTTCCTCCTCCAGCTC</w:t>
            </w:r>
          </w:p>
        </w:tc>
        <w:tc>
          <w:tcPr>
            <w:tcW w:w="236" w:type="dxa"/>
            <w:tcBorders>
              <w:top w:val="nil"/>
              <w:left w:val="nil"/>
              <w:bottom w:val="nil"/>
              <w:right w:val="nil"/>
            </w:tcBorders>
            <w:shd w:val="clear" w:color="auto" w:fill="auto"/>
            <w:noWrap/>
            <w:vAlign w:val="bottom"/>
            <w:hideMark/>
          </w:tcPr>
          <w:p w14:paraId="11866D5D"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6D1E33CB"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3AB5D6A0"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4A074093" w14:textId="77777777" w:rsidTr="006A705C">
        <w:trPr>
          <w:trHeight w:val="300"/>
        </w:trPr>
        <w:tc>
          <w:tcPr>
            <w:tcW w:w="1183" w:type="dxa"/>
            <w:tcBorders>
              <w:top w:val="nil"/>
              <w:left w:val="nil"/>
              <w:bottom w:val="nil"/>
              <w:right w:val="nil"/>
            </w:tcBorders>
            <w:shd w:val="clear" w:color="auto" w:fill="auto"/>
            <w:noWrap/>
            <w:vAlign w:val="center"/>
            <w:hideMark/>
          </w:tcPr>
          <w:p w14:paraId="716539DD"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R7</w:t>
            </w:r>
          </w:p>
        </w:tc>
        <w:tc>
          <w:tcPr>
            <w:tcW w:w="4379" w:type="dxa"/>
            <w:gridSpan w:val="3"/>
            <w:tcBorders>
              <w:top w:val="nil"/>
              <w:left w:val="nil"/>
              <w:bottom w:val="nil"/>
              <w:right w:val="nil"/>
            </w:tcBorders>
            <w:shd w:val="clear" w:color="auto" w:fill="auto"/>
            <w:noWrap/>
            <w:vAlign w:val="center"/>
            <w:hideMark/>
          </w:tcPr>
          <w:p w14:paraId="5369CF97"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CTGCGGATTGCAGCGAC</w:t>
            </w:r>
          </w:p>
        </w:tc>
        <w:tc>
          <w:tcPr>
            <w:tcW w:w="960" w:type="dxa"/>
            <w:tcBorders>
              <w:top w:val="nil"/>
              <w:left w:val="nil"/>
              <w:bottom w:val="nil"/>
              <w:right w:val="nil"/>
            </w:tcBorders>
            <w:shd w:val="clear" w:color="auto" w:fill="auto"/>
            <w:noWrap/>
            <w:vAlign w:val="bottom"/>
            <w:hideMark/>
          </w:tcPr>
          <w:p w14:paraId="1D4DBAE2"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2FB03D7A" w14:textId="77777777" w:rsidTr="006A705C">
        <w:trPr>
          <w:trHeight w:val="300"/>
        </w:trPr>
        <w:tc>
          <w:tcPr>
            <w:tcW w:w="1183" w:type="dxa"/>
            <w:tcBorders>
              <w:top w:val="nil"/>
              <w:left w:val="nil"/>
              <w:bottom w:val="nil"/>
              <w:right w:val="nil"/>
            </w:tcBorders>
            <w:shd w:val="clear" w:color="auto" w:fill="auto"/>
            <w:noWrap/>
            <w:vAlign w:val="center"/>
            <w:hideMark/>
          </w:tcPr>
          <w:p w14:paraId="13452464"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R7a</w:t>
            </w:r>
          </w:p>
        </w:tc>
        <w:tc>
          <w:tcPr>
            <w:tcW w:w="3890" w:type="dxa"/>
            <w:tcBorders>
              <w:top w:val="nil"/>
              <w:left w:val="nil"/>
              <w:bottom w:val="nil"/>
              <w:right w:val="nil"/>
            </w:tcBorders>
            <w:shd w:val="clear" w:color="auto" w:fill="auto"/>
            <w:noWrap/>
            <w:vAlign w:val="center"/>
            <w:hideMark/>
          </w:tcPr>
          <w:p w14:paraId="5E91D3C3"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CGTTCGCTGCGGATTGC</w:t>
            </w:r>
          </w:p>
        </w:tc>
        <w:tc>
          <w:tcPr>
            <w:tcW w:w="236" w:type="dxa"/>
            <w:tcBorders>
              <w:top w:val="nil"/>
              <w:left w:val="nil"/>
              <w:bottom w:val="nil"/>
              <w:right w:val="nil"/>
            </w:tcBorders>
            <w:shd w:val="clear" w:color="auto" w:fill="auto"/>
            <w:noWrap/>
            <w:vAlign w:val="bottom"/>
            <w:hideMark/>
          </w:tcPr>
          <w:p w14:paraId="1B75CBF7"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111E7A55"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5947B9D0"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2ED5EBEB" w14:textId="77777777" w:rsidTr="006A705C">
        <w:trPr>
          <w:trHeight w:val="300"/>
        </w:trPr>
        <w:tc>
          <w:tcPr>
            <w:tcW w:w="1183" w:type="dxa"/>
            <w:tcBorders>
              <w:top w:val="nil"/>
              <w:left w:val="nil"/>
              <w:bottom w:val="nil"/>
              <w:right w:val="nil"/>
            </w:tcBorders>
            <w:shd w:val="clear" w:color="auto" w:fill="auto"/>
            <w:noWrap/>
            <w:vAlign w:val="center"/>
            <w:hideMark/>
          </w:tcPr>
          <w:p w14:paraId="17332DCA"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R11</w:t>
            </w:r>
          </w:p>
        </w:tc>
        <w:tc>
          <w:tcPr>
            <w:tcW w:w="4379" w:type="dxa"/>
            <w:gridSpan w:val="3"/>
            <w:tcBorders>
              <w:top w:val="nil"/>
              <w:left w:val="nil"/>
              <w:bottom w:val="nil"/>
              <w:right w:val="nil"/>
            </w:tcBorders>
            <w:shd w:val="clear" w:color="auto" w:fill="auto"/>
            <w:noWrap/>
            <w:vAlign w:val="center"/>
            <w:hideMark/>
          </w:tcPr>
          <w:p w14:paraId="21706844"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GTAGGTGGTCGCAGTGAGAG</w:t>
            </w:r>
          </w:p>
        </w:tc>
        <w:tc>
          <w:tcPr>
            <w:tcW w:w="960" w:type="dxa"/>
            <w:tcBorders>
              <w:top w:val="nil"/>
              <w:left w:val="nil"/>
              <w:bottom w:val="nil"/>
              <w:right w:val="nil"/>
            </w:tcBorders>
            <w:shd w:val="clear" w:color="auto" w:fill="auto"/>
            <w:noWrap/>
            <w:vAlign w:val="bottom"/>
            <w:hideMark/>
          </w:tcPr>
          <w:p w14:paraId="705CAFEC"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48BC4556" w14:textId="77777777" w:rsidTr="006A705C">
        <w:trPr>
          <w:trHeight w:val="300"/>
        </w:trPr>
        <w:tc>
          <w:tcPr>
            <w:tcW w:w="1183" w:type="dxa"/>
            <w:tcBorders>
              <w:top w:val="nil"/>
              <w:left w:val="nil"/>
              <w:bottom w:val="nil"/>
              <w:right w:val="nil"/>
            </w:tcBorders>
            <w:shd w:val="clear" w:color="auto" w:fill="auto"/>
            <w:noWrap/>
            <w:vAlign w:val="center"/>
            <w:hideMark/>
          </w:tcPr>
          <w:p w14:paraId="5FC86186"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R11a</w:t>
            </w:r>
          </w:p>
        </w:tc>
        <w:tc>
          <w:tcPr>
            <w:tcW w:w="3890" w:type="dxa"/>
            <w:tcBorders>
              <w:top w:val="nil"/>
              <w:left w:val="nil"/>
              <w:bottom w:val="nil"/>
              <w:right w:val="nil"/>
            </w:tcBorders>
            <w:shd w:val="clear" w:color="auto" w:fill="auto"/>
            <w:noWrap/>
            <w:vAlign w:val="center"/>
            <w:hideMark/>
          </w:tcPr>
          <w:p w14:paraId="255232A4"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CTTGCAACTTCCGTGACCAA</w:t>
            </w:r>
          </w:p>
        </w:tc>
        <w:tc>
          <w:tcPr>
            <w:tcW w:w="236" w:type="dxa"/>
            <w:tcBorders>
              <w:top w:val="nil"/>
              <w:left w:val="nil"/>
              <w:bottom w:val="nil"/>
              <w:right w:val="nil"/>
            </w:tcBorders>
            <w:shd w:val="clear" w:color="auto" w:fill="auto"/>
            <w:noWrap/>
            <w:vAlign w:val="bottom"/>
            <w:hideMark/>
          </w:tcPr>
          <w:p w14:paraId="5D6D72B3"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4AD634EA"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16B8C077"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0226A1DE" w14:textId="77777777" w:rsidTr="006A705C">
        <w:trPr>
          <w:trHeight w:val="300"/>
        </w:trPr>
        <w:tc>
          <w:tcPr>
            <w:tcW w:w="1183" w:type="dxa"/>
            <w:tcBorders>
              <w:top w:val="nil"/>
              <w:left w:val="nil"/>
              <w:bottom w:val="nil"/>
              <w:right w:val="nil"/>
            </w:tcBorders>
            <w:shd w:val="clear" w:color="auto" w:fill="auto"/>
            <w:noWrap/>
            <w:vAlign w:val="center"/>
            <w:hideMark/>
          </w:tcPr>
          <w:p w14:paraId="79BCBF3E"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R12</w:t>
            </w:r>
          </w:p>
        </w:tc>
        <w:tc>
          <w:tcPr>
            <w:tcW w:w="4379" w:type="dxa"/>
            <w:gridSpan w:val="3"/>
            <w:tcBorders>
              <w:top w:val="nil"/>
              <w:left w:val="nil"/>
              <w:bottom w:val="nil"/>
              <w:right w:val="nil"/>
            </w:tcBorders>
            <w:shd w:val="clear" w:color="auto" w:fill="auto"/>
            <w:noWrap/>
            <w:vAlign w:val="center"/>
            <w:hideMark/>
          </w:tcPr>
          <w:p w14:paraId="5901A6E8"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GACCTCTGCATCCCCTCAAC</w:t>
            </w:r>
          </w:p>
        </w:tc>
        <w:tc>
          <w:tcPr>
            <w:tcW w:w="960" w:type="dxa"/>
            <w:tcBorders>
              <w:top w:val="nil"/>
              <w:left w:val="nil"/>
              <w:bottom w:val="nil"/>
              <w:right w:val="nil"/>
            </w:tcBorders>
            <w:shd w:val="clear" w:color="auto" w:fill="auto"/>
            <w:noWrap/>
            <w:vAlign w:val="bottom"/>
            <w:hideMark/>
          </w:tcPr>
          <w:p w14:paraId="2F6CF603" w14:textId="77777777" w:rsidR="000C0AAF" w:rsidRPr="00D4200F" w:rsidRDefault="000C0AAF" w:rsidP="006A705C">
            <w:pPr>
              <w:spacing w:line="480" w:lineRule="auto"/>
              <w:rPr>
                <w:rFonts w:eastAsia="Times New Roman" w:cs="Arial"/>
                <w:color w:val="000000"/>
                <w:szCs w:val="20"/>
                <w:lang w:eastAsia="en-GB"/>
              </w:rPr>
            </w:pPr>
          </w:p>
        </w:tc>
      </w:tr>
      <w:tr w:rsidR="000C0AAF" w:rsidRPr="00D4200F" w14:paraId="09D6750D" w14:textId="77777777" w:rsidTr="006A705C">
        <w:trPr>
          <w:trHeight w:val="300"/>
        </w:trPr>
        <w:tc>
          <w:tcPr>
            <w:tcW w:w="1183" w:type="dxa"/>
            <w:tcBorders>
              <w:top w:val="nil"/>
              <w:left w:val="nil"/>
              <w:bottom w:val="nil"/>
              <w:right w:val="nil"/>
            </w:tcBorders>
            <w:shd w:val="clear" w:color="auto" w:fill="auto"/>
            <w:noWrap/>
            <w:vAlign w:val="center"/>
            <w:hideMark/>
          </w:tcPr>
          <w:p w14:paraId="1F1C6DC9" w14:textId="77777777" w:rsidR="000C0AAF" w:rsidRPr="00D4200F" w:rsidRDefault="000C0AAF" w:rsidP="006A705C">
            <w:pPr>
              <w:spacing w:line="480" w:lineRule="auto"/>
              <w:rPr>
                <w:rFonts w:eastAsia="Times New Roman" w:cs="Arial"/>
                <w:color w:val="000000"/>
                <w:szCs w:val="20"/>
                <w:lang w:eastAsia="en-GB"/>
              </w:rPr>
            </w:pPr>
            <w:r w:rsidRPr="00D4200F">
              <w:rPr>
                <w:rFonts w:eastAsia="Times New Roman" w:cs="Arial"/>
                <w:color w:val="000000" w:themeColor="text1"/>
                <w:szCs w:val="20"/>
                <w:lang w:eastAsia="en-GB"/>
              </w:rPr>
              <w:t>R13</w:t>
            </w:r>
          </w:p>
        </w:tc>
        <w:tc>
          <w:tcPr>
            <w:tcW w:w="3890" w:type="dxa"/>
            <w:tcBorders>
              <w:top w:val="nil"/>
              <w:left w:val="nil"/>
              <w:bottom w:val="nil"/>
              <w:right w:val="nil"/>
            </w:tcBorders>
            <w:shd w:val="clear" w:color="auto" w:fill="auto"/>
            <w:noWrap/>
            <w:vAlign w:val="center"/>
            <w:hideMark/>
          </w:tcPr>
          <w:p w14:paraId="20AC6AFA" w14:textId="0EC815E0" w:rsidR="000C0AAF" w:rsidRPr="00D4200F" w:rsidRDefault="00035889" w:rsidP="006A705C">
            <w:pPr>
              <w:spacing w:line="480" w:lineRule="auto"/>
              <w:rPr>
                <w:rFonts w:eastAsia="Times New Roman" w:cs="Arial"/>
                <w:color w:val="000000"/>
                <w:szCs w:val="20"/>
                <w:lang w:eastAsia="en-GB"/>
              </w:rPr>
            </w:pPr>
            <w:r w:rsidRPr="00035889">
              <w:rPr>
                <w:rFonts w:eastAsia="Times New Roman" w:cs="Arial"/>
                <w:color w:val="FF0000"/>
                <w:szCs w:val="20"/>
                <w:lang w:eastAsia="en-GB"/>
              </w:rPr>
              <w:t>GCTCCGACTTCACCAGAGAG</w:t>
            </w:r>
          </w:p>
        </w:tc>
        <w:tc>
          <w:tcPr>
            <w:tcW w:w="236" w:type="dxa"/>
            <w:tcBorders>
              <w:top w:val="nil"/>
              <w:left w:val="nil"/>
              <w:bottom w:val="nil"/>
              <w:right w:val="nil"/>
            </w:tcBorders>
            <w:shd w:val="clear" w:color="auto" w:fill="auto"/>
            <w:noWrap/>
            <w:vAlign w:val="bottom"/>
            <w:hideMark/>
          </w:tcPr>
          <w:p w14:paraId="1190B0B8" w14:textId="77777777" w:rsidR="000C0AAF" w:rsidRPr="00D4200F" w:rsidRDefault="000C0AAF" w:rsidP="006A705C">
            <w:pPr>
              <w:spacing w:line="480" w:lineRule="auto"/>
              <w:rPr>
                <w:rFonts w:eastAsia="Times New Roman" w:cs="Arial"/>
                <w:color w:val="000000"/>
                <w:szCs w:val="20"/>
                <w:lang w:eastAsia="en-GB"/>
              </w:rPr>
            </w:pPr>
          </w:p>
        </w:tc>
        <w:tc>
          <w:tcPr>
            <w:tcW w:w="253" w:type="dxa"/>
            <w:tcBorders>
              <w:top w:val="nil"/>
              <w:left w:val="nil"/>
              <w:bottom w:val="nil"/>
              <w:right w:val="nil"/>
            </w:tcBorders>
            <w:shd w:val="clear" w:color="auto" w:fill="auto"/>
            <w:noWrap/>
            <w:vAlign w:val="bottom"/>
            <w:hideMark/>
          </w:tcPr>
          <w:p w14:paraId="76D849A6" w14:textId="77777777" w:rsidR="000C0AAF" w:rsidRPr="00D4200F" w:rsidRDefault="000C0AAF" w:rsidP="006A705C">
            <w:pPr>
              <w:spacing w:line="480" w:lineRule="auto"/>
              <w:rPr>
                <w:rFonts w:eastAsia="Times New Roman" w:cs="Arial"/>
                <w:color w:val="000000"/>
                <w:szCs w:val="20"/>
                <w:lang w:eastAsia="en-GB"/>
              </w:rPr>
            </w:pPr>
          </w:p>
        </w:tc>
        <w:tc>
          <w:tcPr>
            <w:tcW w:w="960" w:type="dxa"/>
            <w:tcBorders>
              <w:top w:val="nil"/>
              <w:left w:val="nil"/>
              <w:bottom w:val="nil"/>
              <w:right w:val="nil"/>
            </w:tcBorders>
            <w:shd w:val="clear" w:color="auto" w:fill="auto"/>
            <w:noWrap/>
            <w:vAlign w:val="bottom"/>
            <w:hideMark/>
          </w:tcPr>
          <w:p w14:paraId="628E5818" w14:textId="77777777" w:rsidR="000C0AAF" w:rsidRPr="00D4200F" w:rsidRDefault="000C0AAF" w:rsidP="006A705C">
            <w:pPr>
              <w:spacing w:line="480" w:lineRule="auto"/>
              <w:rPr>
                <w:rFonts w:eastAsia="Times New Roman" w:cs="Arial"/>
                <w:color w:val="000000"/>
                <w:szCs w:val="20"/>
                <w:lang w:eastAsia="en-GB"/>
              </w:rPr>
            </w:pPr>
          </w:p>
        </w:tc>
      </w:tr>
    </w:tbl>
    <w:p w14:paraId="1990E14C" w14:textId="77777777" w:rsidR="007241F6" w:rsidRDefault="007241F6" w:rsidP="000B1CDA">
      <w:pPr>
        <w:spacing w:line="480" w:lineRule="auto"/>
        <w:jc w:val="both"/>
        <w:rPr>
          <w:rFonts w:cs="Arial"/>
          <w:szCs w:val="20"/>
        </w:rPr>
      </w:pPr>
    </w:p>
    <w:p w14:paraId="1CC6B4ED" w14:textId="77777777" w:rsidR="00F6675A" w:rsidRDefault="00F6675A" w:rsidP="000B1CDA">
      <w:pPr>
        <w:spacing w:line="480" w:lineRule="auto"/>
        <w:jc w:val="both"/>
        <w:rPr>
          <w:rFonts w:cs="Arial"/>
          <w:szCs w:val="20"/>
        </w:rPr>
      </w:pPr>
    </w:p>
    <w:p w14:paraId="00C41B2C" w14:textId="77777777" w:rsidR="00A1247E" w:rsidRPr="006F5DDD" w:rsidRDefault="00A1247E" w:rsidP="000B1CDA">
      <w:pPr>
        <w:spacing w:line="480" w:lineRule="auto"/>
        <w:jc w:val="both"/>
        <w:rPr>
          <w:rFonts w:cs="Arial"/>
          <w:szCs w:val="20"/>
        </w:rPr>
      </w:pPr>
    </w:p>
    <w:p w14:paraId="3D7B1987" w14:textId="7C4083D5" w:rsidR="00677DEF" w:rsidRPr="00C51D98" w:rsidRDefault="000C0AAF" w:rsidP="000B1CDA">
      <w:pPr>
        <w:spacing w:line="480" w:lineRule="auto"/>
        <w:jc w:val="both"/>
        <w:rPr>
          <w:rFonts w:cs="Arial"/>
          <w:b/>
          <w:szCs w:val="20"/>
        </w:rPr>
      </w:pPr>
      <w:r w:rsidRPr="00C51D98">
        <w:rPr>
          <w:rFonts w:cs="Arial"/>
          <w:b/>
          <w:szCs w:val="20"/>
        </w:rPr>
        <w:t>REFERENCES:</w:t>
      </w:r>
    </w:p>
    <w:p w14:paraId="6F5061F4" w14:textId="04F29253" w:rsidR="000B056F" w:rsidRPr="005C60D9" w:rsidRDefault="00810316" w:rsidP="005C60D9">
      <w:pPr>
        <w:pStyle w:val="ListParagraph"/>
        <w:numPr>
          <w:ilvl w:val="0"/>
          <w:numId w:val="8"/>
        </w:numPr>
        <w:spacing w:line="480" w:lineRule="auto"/>
        <w:jc w:val="both"/>
      </w:pPr>
      <w:r w:rsidRPr="005C60D9">
        <w:t>Tufarelli</w:t>
      </w:r>
      <w:r w:rsidR="00214FF3" w:rsidRPr="005C60D9">
        <w:t xml:space="preserve"> C</w:t>
      </w:r>
      <w:r w:rsidRPr="005C60D9">
        <w:t xml:space="preserve">, </w:t>
      </w:r>
      <w:r w:rsidR="00D95E44" w:rsidRPr="005C60D9">
        <w:t>Stanley JA, Garrick D, Sharpe JA, Ayyub H, Wood WG, Higgs DR</w:t>
      </w:r>
      <w:r w:rsidRPr="005C60D9">
        <w:t xml:space="preserve">. </w:t>
      </w:r>
      <w:r w:rsidR="00F35A43" w:rsidRPr="005C60D9">
        <w:t xml:space="preserve">(2003) </w:t>
      </w:r>
      <w:r w:rsidR="00214FF3" w:rsidRPr="005C60D9">
        <w:t xml:space="preserve">Transcription of antisense RNA leading to gene silencing and methylation as a novel </w:t>
      </w:r>
      <w:r w:rsidRPr="005C60D9">
        <w:t>cause of human genetic disease. Nat Genet. 34:</w:t>
      </w:r>
      <w:r w:rsidR="00FA30E7" w:rsidRPr="005C60D9">
        <w:t>157-</w:t>
      </w:r>
      <w:r w:rsidR="00214FF3" w:rsidRPr="005C60D9">
        <w:t>65.</w:t>
      </w:r>
      <w:r w:rsidR="000B056F" w:rsidRPr="005C60D9">
        <w:t xml:space="preserve"> </w:t>
      </w:r>
    </w:p>
    <w:p w14:paraId="1C04D51F" w14:textId="14D86E2C" w:rsidR="000B056F" w:rsidRPr="005C60D9" w:rsidRDefault="00214FF3" w:rsidP="005C60D9">
      <w:pPr>
        <w:pStyle w:val="ListParagraph"/>
        <w:numPr>
          <w:ilvl w:val="0"/>
          <w:numId w:val="8"/>
        </w:numPr>
        <w:spacing w:line="480" w:lineRule="auto"/>
        <w:jc w:val="both"/>
        <w:rPr>
          <w:rFonts w:cs="Arial"/>
          <w:szCs w:val="20"/>
        </w:rPr>
      </w:pPr>
      <w:r w:rsidRPr="005C60D9">
        <w:t>Alc</w:t>
      </w:r>
      <w:r w:rsidR="00810316" w:rsidRPr="005C60D9">
        <w:t xml:space="preserve">ock J, Sottile V (2009). </w:t>
      </w:r>
      <w:r w:rsidRPr="005C60D9">
        <w:t xml:space="preserve">Dynamic distribution and stem cell characteristics of Sox1-expressing </w:t>
      </w:r>
      <w:r w:rsidR="00810316" w:rsidRPr="005C60D9">
        <w:t>cells in the cerebellar cortex.</w:t>
      </w:r>
      <w:r w:rsidRPr="005C60D9">
        <w:t xml:space="preserve"> Cell Res</w:t>
      </w:r>
      <w:r w:rsidR="00FA30E7" w:rsidRPr="005C60D9">
        <w:t>. 19:1324-</w:t>
      </w:r>
      <w:r w:rsidRPr="005C60D9">
        <w:t>33.</w:t>
      </w:r>
      <w:r w:rsidR="000B056F" w:rsidRPr="005C60D9">
        <w:t xml:space="preserve"> </w:t>
      </w:r>
    </w:p>
    <w:p w14:paraId="5197F447" w14:textId="4AFD24FE" w:rsidR="000B056F" w:rsidRPr="005C60D9" w:rsidRDefault="00810316" w:rsidP="005C60D9">
      <w:pPr>
        <w:pStyle w:val="ListParagraph"/>
        <w:numPr>
          <w:ilvl w:val="0"/>
          <w:numId w:val="8"/>
        </w:numPr>
        <w:spacing w:line="480" w:lineRule="auto"/>
        <w:jc w:val="both"/>
        <w:rPr>
          <w:u w:val="single"/>
        </w:rPr>
      </w:pPr>
      <w:r w:rsidRPr="005C60D9">
        <w:rPr>
          <w:rFonts w:cs="Arial"/>
          <w:szCs w:val="20"/>
        </w:rPr>
        <w:t>Liu</w:t>
      </w:r>
      <w:r w:rsidR="00FA30E7" w:rsidRPr="005C60D9">
        <w:rPr>
          <w:rFonts w:cs="Arial"/>
          <w:szCs w:val="20"/>
        </w:rPr>
        <w:t xml:space="preserve"> S</w:t>
      </w:r>
      <w:r w:rsidRPr="005C60D9">
        <w:rPr>
          <w:rFonts w:cs="Arial"/>
          <w:szCs w:val="20"/>
        </w:rPr>
        <w:t>J</w:t>
      </w:r>
      <w:r w:rsidR="00FA30E7" w:rsidRPr="005C60D9">
        <w:rPr>
          <w:rFonts w:cs="Arial"/>
          <w:szCs w:val="20"/>
        </w:rPr>
        <w:t>, Nowakowski TJ, Pollen AA, Lui JH, Horlbeck MA, Attenello FJ, et al</w:t>
      </w:r>
      <w:r w:rsidRPr="005C60D9">
        <w:rPr>
          <w:rFonts w:cs="Arial"/>
          <w:szCs w:val="20"/>
        </w:rPr>
        <w:t xml:space="preserve">. </w:t>
      </w:r>
      <w:r w:rsidR="00F35A43" w:rsidRPr="005C60D9">
        <w:rPr>
          <w:rFonts w:cs="Arial"/>
          <w:szCs w:val="20"/>
        </w:rPr>
        <w:t xml:space="preserve">(2016) </w:t>
      </w:r>
      <w:r w:rsidR="00690385" w:rsidRPr="005C60D9">
        <w:rPr>
          <w:rFonts w:cs="Arial"/>
          <w:szCs w:val="20"/>
        </w:rPr>
        <w:t>Single-cell analysis of long non-coding RNAs in the developing human</w:t>
      </w:r>
      <w:r w:rsidRPr="005C60D9">
        <w:rPr>
          <w:rFonts w:cs="Arial"/>
          <w:szCs w:val="20"/>
        </w:rPr>
        <w:t xml:space="preserve"> neocortex.</w:t>
      </w:r>
      <w:r w:rsidR="00690385" w:rsidRPr="005C60D9">
        <w:rPr>
          <w:rFonts w:cs="Arial"/>
          <w:szCs w:val="20"/>
        </w:rPr>
        <w:t xml:space="preserve"> Genome Biol</w:t>
      </w:r>
      <w:r w:rsidR="00FA30E7" w:rsidRPr="005C60D9">
        <w:rPr>
          <w:rFonts w:cs="Arial"/>
          <w:szCs w:val="20"/>
        </w:rPr>
        <w:t>. 17:</w:t>
      </w:r>
      <w:r w:rsidR="00690385" w:rsidRPr="005C60D9">
        <w:rPr>
          <w:rFonts w:cs="Arial"/>
          <w:szCs w:val="20"/>
        </w:rPr>
        <w:t>67</w:t>
      </w:r>
      <w:r w:rsidR="00214FF3" w:rsidRPr="005C60D9">
        <w:rPr>
          <w:rFonts w:cs="Arial"/>
          <w:szCs w:val="20"/>
        </w:rPr>
        <w:t>.</w:t>
      </w:r>
    </w:p>
    <w:p w14:paraId="05D9402D" w14:textId="7851B99F" w:rsidR="006F5DDD" w:rsidRPr="005C60D9" w:rsidRDefault="00CD5D1C" w:rsidP="005C60D9">
      <w:pPr>
        <w:pStyle w:val="ListParagraph"/>
        <w:numPr>
          <w:ilvl w:val="0"/>
          <w:numId w:val="8"/>
        </w:numPr>
        <w:spacing w:line="480" w:lineRule="auto"/>
        <w:jc w:val="both"/>
        <w:rPr>
          <w:rFonts w:cs="Arial"/>
          <w:szCs w:val="20"/>
        </w:rPr>
      </w:pPr>
      <w:r w:rsidRPr="005C60D9">
        <w:rPr>
          <w:rFonts w:cs="Arial"/>
          <w:szCs w:val="20"/>
        </w:rPr>
        <w:t xml:space="preserve">Sauvageau M, Goff LA, Lodato S, Bonev B, Groff AF, Gerhardinger C, </w:t>
      </w:r>
      <w:r w:rsidR="006F5DDD" w:rsidRPr="005C60D9">
        <w:rPr>
          <w:rFonts w:cs="Arial"/>
          <w:szCs w:val="20"/>
        </w:rPr>
        <w:t xml:space="preserve">et al. </w:t>
      </w:r>
      <w:r w:rsidR="00F35A43" w:rsidRPr="005C60D9">
        <w:rPr>
          <w:rFonts w:cs="Arial"/>
          <w:szCs w:val="20"/>
        </w:rPr>
        <w:t xml:space="preserve">(2013) </w:t>
      </w:r>
      <w:r w:rsidR="006F5DDD" w:rsidRPr="005C60D9">
        <w:rPr>
          <w:rFonts w:cs="Arial"/>
          <w:szCs w:val="20"/>
        </w:rPr>
        <w:t xml:space="preserve">Multiple knockout mouse models reveal lincRNAs are required for life and brain development. Elife </w:t>
      </w:r>
      <w:r w:rsidRPr="005C60D9">
        <w:rPr>
          <w:rFonts w:cs="Arial"/>
          <w:szCs w:val="20"/>
        </w:rPr>
        <w:t>2:e01749</w:t>
      </w:r>
      <w:r w:rsidR="006F5DDD" w:rsidRPr="005C60D9">
        <w:rPr>
          <w:rFonts w:cs="Arial"/>
          <w:szCs w:val="20"/>
        </w:rPr>
        <w:t>.</w:t>
      </w:r>
    </w:p>
    <w:p w14:paraId="0025EA8F" w14:textId="31C035A5" w:rsidR="006F5DDD" w:rsidRPr="005C60D9" w:rsidRDefault="00CE5BF4" w:rsidP="005C60D9">
      <w:pPr>
        <w:pStyle w:val="ListParagraph"/>
        <w:numPr>
          <w:ilvl w:val="0"/>
          <w:numId w:val="8"/>
        </w:numPr>
        <w:spacing w:line="480" w:lineRule="auto"/>
        <w:jc w:val="both"/>
        <w:rPr>
          <w:rFonts w:cs="Arial"/>
          <w:szCs w:val="20"/>
        </w:rPr>
      </w:pPr>
      <w:r w:rsidRPr="005C60D9">
        <w:rPr>
          <w:rFonts w:cs="Arial"/>
          <w:szCs w:val="20"/>
        </w:rPr>
        <w:lastRenderedPageBreak/>
        <w:t>Pertea M,</w:t>
      </w:r>
      <w:r w:rsidR="006F5DDD" w:rsidRPr="005C60D9">
        <w:rPr>
          <w:rFonts w:cs="Arial"/>
          <w:szCs w:val="20"/>
        </w:rPr>
        <w:t xml:space="preserve"> </w:t>
      </w:r>
      <w:r w:rsidRPr="005C60D9">
        <w:rPr>
          <w:rFonts w:cs="Arial"/>
          <w:szCs w:val="20"/>
        </w:rPr>
        <w:t xml:space="preserve">Pertea GM, Antonescu CM, Chang TC, Mendell JT, Salzberg SL, </w:t>
      </w:r>
      <w:r w:rsidR="006F5DDD" w:rsidRPr="005C60D9">
        <w:rPr>
          <w:rFonts w:cs="Arial"/>
          <w:szCs w:val="20"/>
        </w:rPr>
        <w:t xml:space="preserve">et al. </w:t>
      </w:r>
      <w:r w:rsidR="00F35A43" w:rsidRPr="005C60D9">
        <w:rPr>
          <w:rFonts w:cs="Arial"/>
          <w:szCs w:val="20"/>
        </w:rPr>
        <w:t xml:space="preserve">(2015) </w:t>
      </w:r>
      <w:r w:rsidR="006F5DDD" w:rsidRPr="005C60D9">
        <w:rPr>
          <w:rFonts w:cs="Arial"/>
          <w:szCs w:val="20"/>
        </w:rPr>
        <w:t xml:space="preserve">StringTie enables improved reconstruction of a transcriptome from RNA-seq reads. Nat. Biotechnol. </w:t>
      </w:r>
      <w:r w:rsidRPr="005C60D9">
        <w:rPr>
          <w:rFonts w:cs="Arial"/>
          <w:szCs w:val="20"/>
        </w:rPr>
        <w:t>33:290–5</w:t>
      </w:r>
      <w:r w:rsidR="006F5DDD" w:rsidRPr="005C60D9">
        <w:rPr>
          <w:rFonts w:cs="Arial"/>
          <w:szCs w:val="20"/>
        </w:rPr>
        <w:t>.</w:t>
      </w:r>
    </w:p>
    <w:p w14:paraId="7DC573E9" w14:textId="77777777" w:rsidR="00562A7E" w:rsidRDefault="00FA30E7" w:rsidP="005C60D9">
      <w:pPr>
        <w:pStyle w:val="ListParagraph"/>
        <w:numPr>
          <w:ilvl w:val="0"/>
          <w:numId w:val="8"/>
        </w:numPr>
        <w:spacing w:line="480" w:lineRule="auto"/>
        <w:jc w:val="both"/>
        <w:rPr>
          <w:rFonts w:cs="Arial"/>
          <w:szCs w:val="20"/>
        </w:rPr>
      </w:pPr>
      <w:r w:rsidRPr="005C60D9">
        <w:rPr>
          <w:rFonts w:cs="Arial"/>
          <w:szCs w:val="20"/>
        </w:rPr>
        <w:t>Thorvaldsdóttir H</w:t>
      </w:r>
      <w:r w:rsidR="006F5DDD" w:rsidRPr="005C60D9">
        <w:rPr>
          <w:rFonts w:cs="Arial"/>
          <w:szCs w:val="20"/>
        </w:rPr>
        <w:t>,</w:t>
      </w:r>
      <w:r w:rsidRPr="005C60D9">
        <w:rPr>
          <w:rFonts w:cs="Arial"/>
          <w:szCs w:val="20"/>
        </w:rPr>
        <w:t xml:space="preserve"> Robinson JT, Mesirov, J</w:t>
      </w:r>
      <w:r w:rsidR="006F5DDD" w:rsidRPr="005C60D9">
        <w:rPr>
          <w:rFonts w:cs="Arial"/>
          <w:szCs w:val="20"/>
        </w:rPr>
        <w:t xml:space="preserve">P. </w:t>
      </w:r>
      <w:r w:rsidR="00F35A43" w:rsidRPr="005C60D9">
        <w:rPr>
          <w:rFonts w:cs="Arial"/>
          <w:szCs w:val="20"/>
        </w:rPr>
        <w:t xml:space="preserve">(2013) </w:t>
      </w:r>
      <w:r w:rsidR="006F5DDD" w:rsidRPr="005C60D9">
        <w:rPr>
          <w:rFonts w:cs="Arial"/>
          <w:szCs w:val="20"/>
        </w:rPr>
        <w:t>Integrative Genomics Viewer (IGV): high-performance genomics data visua</w:t>
      </w:r>
      <w:r w:rsidRPr="005C60D9">
        <w:rPr>
          <w:rFonts w:cs="Arial"/>
          <w:szCs w:val="20"/>
        </w:rPr>
        <w:t>lization and exploration. Brief</w:t>
      </w:r>
      <w:r w:rsidR="006F5DDD" w:rsidRPr="005C60D9">
        <w:rPr>
          <w:rFonts w:cs="Arial"/>
          <w:szCs w:val="20"/>
        </w:rPr>
        <w:t xml:space="preserve"> Bioinform. </w:t>
      </w:r>
      <w:r w:rsidRPr="005C60D9">
        <w:rPr>
          <w:rFonts w:cs="Arial"/>
          <w:szCs w:val="20"/>
        </w:rPr>
        <w:t>14:178–92</w:t>
      </w:r>
      <w:r w:rsidR="006F5DDD" w:rsidRPr="005C60D9">
        <w:rPr>
          <w:rFonts w:cs="Arial"/>
          <w:szCs w:val="20"/>
        </w:rPr>
        <w:t>.</w:t>
      </w:r>
    </w:p>
    <w:p w14:paraId="53298E27" w14:textId="1306F46D" w:rsidR="00562A7E" w:rsidRPr="00562A7E" w:rsidRDefault="00562A7E" w:rsidP="00562A7E">
      <w:pPr>
        <w:pStyle w:val="ListParagraph"/>
        <w:numPr>
          <w:ilvl w:val="0"/>
          <w:numId w:val="8"/>
        </w:numPr>
        <w:spacing w:line="480" w:lineRule="auto"/>
        <w:jc w:val="both"/>
        <w:rPr>
          <w:color w:val="FF0000"/>
        </w:rPr>
      </w:pPr>
      <w:r>
        <w:rPr>
          <w:color w:val="FF0000"/>
        </w:rPr>
        <w:t>Derti A</w:t>
      </w:r>
      <w:r w:rsidRPr="00562A7E">
        <w:rPr>
          <w:color w:val="FF0000"/>
        </w:rPr>
        <w:t xml:space="preserve">, Garrett-Engele P, Macisaac KD, Stevens RC, Sriram S, Chen R, </w:t>
      </w:r>
      <w:r>
        <w:rPr>
          <w:color w:val="FF0000"/>
        </w:rPr>
        <w:t>et al</w:t>
      </w:r>
      <w:r w:rsidRPr="00562A7E">
        <w:rPr>
          <w:color w:val="FF0000"/>
        </w:rPr>
        <w:t>.</w:t>
      </w:r>
      <w:r>
        <w:rPr>
          <w:color w:val="FF0000"/>
        </w:rPr>
        <w:t xml:space="preserve"> (2013)</w:t>
      </w:r>
      <w:r w:rsidRPr="00562A7E">
        <w:rPr>
          <w:color w:val="FF0000"/>
        </w:rPr>
        <w:t xml:space="preserve"> </w:t>
      </w:r>
      <w:r w:rsidRPr="00562A7E">
        <w:rPr>
          <w:color w:val="FF0000"/>
        </w:rPr>
        <w:t>A quantitative atlas of polyadenylation in five mammals</w:t>
      </w:r>
      <w:r>
        <w:rPr>
          <w:color w:val="FF0000"/>
        </w:rPr>
        <w:t>. G</w:t>
      </w:r>
      <w:r w:rsidRPr="00562A7E">
        <w:rPr>
          <w:color w:val="FF0000"/>
        </w:rPr>
        <w:t xml:space="preserve">enome Res. </w:t>
      </w:r>
      <w:r>
        <w:rPr>
          <w:color w:val="FF0000"/>
        </w:rPr>
        <w:t>22:1173-83.</w:t>
      </w:r>
    </w:p>
    <w:sectPr w:rsidR="00562A7E" w:rsidRPr="00562A7E" w:rsidSect="009C66D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4D0E2" w14:textId="77777777" w:rsidR="00194FA5" w:rsidRDefault="00194FA5" w:rsidP="007A47B4">
      <w:r>
        <w:separator/>
      </w:r>
    </w:p>
  </w:endnote>
  <w:endnote w:type="continuationSeparator" w:id="0">
    <w:p w14:paraId="57DADF95" w14:textId="77777777" w:rsidR="00194FA5" w:rsidRDefault="00194FA5" w:rsidP="007A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438088"/>
      <w:docPartObj>
        <w:docPartGallery w:val="Page Numbers (Bottom of Page)"/>
        <w:docPartUnique/>
      </w:docPartObj>
    </w:sdtPr>
    <w:sdtEndPr>
      <w:rPr>
        <w:noProof/>
      </w:rPr>
    </w:sdtEndPr>
    <w:sdtContent>
      <w:p w14:paraId="0B6DBFFA" w14:textId="70C0D700" w:rsidR="007A47B4" w:rsidRDefault="007A47B4">
        <w:pPr>
          <w:pStyle w:val="Footer"/>
          <w:jc w:val="right"/>
        </w:pPr>
        <w:r>
          <w:fldChar w:fldCharType="begin"/>
        </w:r>
        <w:r>
          <w:instrText xml:space="preserve"> PAGE   \* MERGEFORMAT </w:instrText>
        </w:r>
        <w:r>
          <w:fldChar w:fldCharType="separate"/>
        </w:r>
        <w:r w:rsidR="00F64E5E">
          <w:rPr>
            <w:noProof/>
          </w:rPr>
          <w:t>1</w:t>
        </w:r>
        <w:r>
          <w:rPr>
            <w:noProof/>
          </w:rPr>
          <w:fldChar w:fldCharType="end"/>
        </w:r>
      </w:p>
    </w:sdtContent>
  </w:sdt>
  <w:p w14:paraId="1C1EE99E" w14:textId="77777777" w:rsidR="007A47B4" w:rsidRDefault="007A4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9450A" w14:textId="77777777" w:rsidR="00194FA5" w:rsidRDefault="00194FA5" w:rsidP="007A47B4">
      <w:r>
        <w:separator/>
      </w:r>
    </w:p>
  </w:footnote>
  <w:footnote w:type="continuationSeparator" w:id="0">
    <w:p w14:paraId="2DF878AD" w14:textId="77777777" w:rsidR="00194FA5" w:rsidRDefault="00194FA5" w:rsidP="007A47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823DE"/>
    <w:multiLevelType w:val="hybridMultilevel"/>
    <w:tmpl w:val="4D5C41E6"/>
    <w:lvl w:ilvl="0" w:tplc="59BCFAB4">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C924EF"/>
    <w:multiLevelType w:val="multilevel"/>
    <w:tmpl w:val="961E635E"/>
    <w:lvl w:ilvl="0">
      <w:start w:val="1"/>
      <w:numFmt w:val="upperLetter"/>
      <w:lvlText w:val="%1."/>
      <w:lvlJc w:val="right"/>
      <w:pPr>
        <w:ind w:left="360" w:hanging="360"/>
      </w:pPr>
      <w:rPr>
        <w:rFonts w:hint="default"/>
      </w:rPr>
    </w:lvl>
    <w:lvl w:ilvl="1">
      <w:start w:val="1"/>
      <w:numFmt w:val="decimalZero"/>
      <w:isLgl/>
      <w:lvlText w:val="Section %1.%2"/>
      <w:lvlJc w:val="left"/>
      <w:pPr>
        <w:ind w:left="0" w:firstLine="0"/>
      </w:pPr>
    </w:lvl>
    <w:lvl w:ilvl="2">
      <w:start w:val="1"/>
      <w:numFmt w:val="lowerLetter"/>
      <w:lvlText w:val="(%3)"/>
      <w:lvlJc w:val="left"/>
      <w:pPr>
        <w:ind w:left="100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00A5F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EF089B"/>
    <w:multiLevelType w:val="hybridMultilevel"/>
    <w:tmpl w:val="FA9CF0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58057D"/>
    <w:multiLevelType w:val="multilevel"/>
    <w:tmpl w:val="7200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69754D"/>
    <w:multiLevelType w:val="hybridMultilevel"/>
    <w:tmpl w:val="BB0099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68E316E4"/>
    <w:multiLevelType w:val="hybridMultilevel"/>
    <w:tmpl w:val="66F898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E4C2DC0"/>
    <w:multiLevelType w:val="multilevel"/>
    <w:tmpl w:val="D73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7B5CE0"/>
    <w:multiLevelType w:val="hybridMultilevel"/>
    <w:tmpl w:val="DBEA5A6C"/>
    <w:lvl w:ilvl="0" w:tplc="9BC0AE6C">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7"/>
  </w:num>
  <w:num w:numId="5">
    <w:abstractNumId w:val="4"/>
  </w:num>
  <w:num w:numId="6">
    <w:abstractNumId w:val="8"/>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Verdan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s0rt2w5bpwrtse5vwc55w2ka2t2adv2trs9&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record-ids&gt;&lt;/item&gt;&lt;/Libraries&gt;"/>
  </w:docVars>
  <w:rsids>
    <w:rsidRoot w:val="00130CF4"/>
    <w:rsid w:val="000000E5"/>
    <w:rsid w:val="0000317F"/>
    <w:rsid w:val="00004DCC"/>
    <w:rsid w:val="00012EB7"/>
    <w:rsid w:val="0001386B"/>
    <w:rsid w:val="00014123"/>
    <w:rsid w:val="000174B3"/>
    <w:rsid w:val="00020E18"/>
    <w:rsid w:val="000243E8"/>
    <w:rsid w:val="00027764"/>
    <w:rsid w:val="00035889"/>
    <w:rsid w:val="00037E61"/>
    <w:rsid w:val="00040150"/>
    <w:rsid w:val="0004345A"/>
    <w:rsid w:val="00043819"/>
    <w:rsid w:val="0004510C"/>
    <w:rsid w:val="0005111E"/>
    <w:rsid w:val="000553CC"/>
    <w:rsid w:val="00055D48"/>
    <w:rsid w:val="000620D7"/>
    <w:rsid w:val="00062A09"/>
    <w:rsid w:val="000710C7"/>
    <w:rsid w:val="0007199A"/>
    <w:rsid w:val="000753E4"/>
    <w:rsid w:val="00076343"/>
    <w:rsid w:val="000856C5"/>
    <w:rsid w:val="00092279"/>
    <w:rsid w:val="000942A2"/>
    <w:rsid w:val="00095293"/>
    <w:rsid w:val="000A1C6E"/>
    <w:rsid w:val="000A42ED"/>
    <w:rsid w:val="000A4319"/>
    <w:rsid w:val="000A47D1"/>
    <w:rsid w:val="000A7447"/>
    <w:rsid w:val="000B056F"/>
    <w:rsid w:val="000B1CDA"/>
    <w:rsid w:val="000B4A1A"/>
    <w:rsid w:val="000B59F9"/>
    <w:rsid w:val="000C0220"/>
    <w:rsid w:val="000C0AAF"/>
    <w:rsid w:val="000C1BC7"/>
    <w:rsid w:val="000C1D66"/>
    <w:rsid w:val="000C31C7"/>
    <w:rsid w:val="000C332B"/>
    <w:rsid w:val="000C44D5"/>
    <w:rsid w:val="000C4C54"/>
    <w:rsid w:val="000C5925"/>
    <w:rsid w:val="000C631A"/>
    <w:rsid w:val="000C6FD3"/>
    <w:rsid w:val="000D36E7"/>
    <w:rsid w:val="000D412C"/>
    <w:rsid w:val="000D52AB"/>
    <w:rsid w:val="000D5FAD"/>
    <w:rsid w:val="000D7C97"/>
    <w:rsid w:val="000E2C34"/>
    <w:rsid w:val="000E38BA"/>
    <w:rsid w:val="000E72CF"/>
    <w:rsid w:val="000F0ADE"/>
    <w:rsid w:val="000F1224"/>
    <w:rsid w:val="000F1C8A"/>
    <w:rsid w:val="000F4880"/>
    <w:rsid w:val="000F495C"/>
    <w:rsid w:val="000F7B95"/>
    <w:rsid w:val="00104F38"/>
    <w:rsid w:val="00105279"/>
    <w:rsid w:val="00106692"/>
    <w:rsid w:val="00113A79"/>
    <w:rsid w:val="00115C49"/>
    <w:rsid w:val="0012328A"/>
    <w:rsid w:val="00130CF4"/>
    <w:rsid w:val="00134785"/>
    <w:rsid w:val="00137EE1"/>
    <w:rsid w:val="001432B4"/>
    <w:rsid w:val="00151234"/>
    <w:rsid w:val="00152F40"/>
    <w:rsid w:val="00154C57"/>
    <w:rsid w:val="001556EF"/>
    <w:rsid w:val="00157BDB"/>
    <w:rsid w:val="00166484"/>
    <w:rsid w:val="00170DDE"/>
    <w:rsid w:val="00171702"/>
    <w:rsid w:val="00177E3F"/>
    <w:rsid w:val="00182C23"/>
    <w:rsid w:val="00183127"/>
    <w:rsid w:val="00183320"/>
    <w:rsid w:val="00184B73"/>
    <w:rsid w:val="0018681F"/>
    <w:rsid w:val="00190F37"/>
    <w:rsid w:val="0019122B"/>
    <w:rsid w:val="00193EA5"/>
    <w:rsid w:val="00194FA5"/>
    <w:rsid w:val="001A0424"/>
    <w:rsid w:val="001A4CA2"/>
    <w:rsid w:val="001A5835"/>
    <w:rsid w:val="001A657F"/>
    <w:rsid w:val="001A71AD"/>
    <w:rsid w:val="001A7D70"/>
    <w:rsid w:val="001B0AF5"/>
    <w:rsid w:val="001B3504"/>
    <w:rsid w:val="001B4F29"/>
    <w:rsid w:val="001B7047"/>
    <w:rsid w:val="001C452D"/>
    <w:rsid w:val="001C7BD7"/>
    <w:rsid w:val="001D2E81"/>
    <w:rsid w:val="001D3FEC"/>
    <w:rsid w:val="001D44D0"/>
    <w:rsid w:val="001D5B42"/>
    <w:rsid w:val="001E4C6A"/>
    <w:rsid w:val="001F01DC"/>
    <w:rsid w:val="001F0DB6"/>
    <w:rsid w:val="001F3F3B"/>
    <w:rsid w:val="001F57E9"/>
    <w:rsid w:val="001F7F62"/>
    <w:rsid w:val="00201886"/>
    <w:rsid w:val="0020240D"/>
    <w:rsid w:val="00203B45"/>
    <w:rsid w:val="00205FE9"/>
    <w:rsid w:val="002073C9"/>
    <w:rsid w:val="00210B38"/>
    <w:rsid w:val="00211058"/>
    <w:rsid w:val="00214FF3"/>
    <w:rsid w:val="00221E3E"/>
    <w:rsid w:val="00223AA8"/>
    <w:rsid w:val="00225BC8"/>
    <w:rsid w:val="0022643C"/>
    <w:rsid w:val="002307BD"/>
    <w:rsid w:val="00231D4F"/>
    <w:rsid w:val="0023212E"/>
    <w:rsid w:val="0023292F"/>
    <w:rsid w:val="00234131"/>
    <w:rsid w:val="00242B96"/>
    <w:rsid w:val="00247C73"/>
    <w:rsid w:val="00252076"/>
    <w:rsid w:val="002706F0"/>
    <w:rsid w:val="00273261"/>
    <w:rsid w:val="0027777A"/>
    <w:rsid w:val="00280DAC"/>
    <w:rsid w:val="00286F35"/>
    <w:rsid w:val="00293F4B"/>
    <w:rsid w:val="00294DB7"/>
    <w:rsid w:val="002A1E3B"/>
    <w:rsid w:val="002A2FFA"/>
    <w:rsid w:val="002A4B67"/>
    <w:rsid w:val="002B058A"/>
    <w:rsid w:val="002B5030"/>
    <w:rsid w:val="002B604C"/>
    <w:rsid w:val="002C12B0"/>
    <w:rsid w:val="002C244E"/>
    <w:rsid w:val="002C35E7"/>
    <w:rsid w:val="002D1C6D"/>
    <w:rsid w:val="002D23BE"/>
    <w:rsid w:val="002D40F2"/>
    <w:rsid w:val="002D75B6"/>
    <w:rsid w:val="002D7797"/>
    <w:rsid w:val="002E0119"/>
    <w:rsid w:val="002E0D86"/>
    <w:rsid w:val="002E18DA"/>
    <w:rsid w:val="002E439B"/>
    <w:rsid w:val="002F217F"/>
    <w:rsid w:val="002F3254"/>
    <w:rsid w:val="0030077E"/>
    <w:rsid w:val="00301516"/>
    <w:rsid w:val="00301EAC"/>
    <w:rsid w:val="00301EC9"/>
    <w:rsid w:val="003104A0"/>
    <w:rsid w:val="0031290D"/>
    <w:rsid w:val="00314529"/>
    <w:rsid w:val="00315CE5"/>
    <w:rsid w:val="00317308"/>
    <w:rsid w:val="00320AA6"/>
    <w:rsid w:val="00322A6A"/>
    <w:rsid w:val="00325344"/>
    <w:rsid w:val="00326734"/>
    <w:rsid w:val="0033135D"/>
    <w:rsid w:val="00333E31"/>
    <w:rsid w:val="00334069"/>
    <w:rsid w:val="00335E1A"/>
    <w:rsid w:val="003371D8"/>
    <w:rsid w:val="00337B2F"/>
    <w:rsid w:val="003448BA"/>
    <w:rsid w:val="0035078C"/>
    <w:rsid w:val="00351180"/>
    <w:rsid w:val="00351482"/>
    <w:rsid w:val="003522A1"/>
    <w:rsid w:val="003542A6"/>
    <w:rsid w:val="00354DCD"/>
    <w:rsid w:val="00356F41"/>
    <w:rsid w:val="0036153D"/>
    <w:rsid w:val="003628BB"/>
    <w:rsid w:val="00364DD4"/>
    <w:rsid w:val="00364E92"/>
    <w:rsid w:val="00365161"/>
    <w:rsid w:val="003711E8"/>
    <w:rsid w:val="00374891"/>
    <w:rsid w:val="00377EAE"/>
    <w:rsid w:val="003801C5"/>
    <w:rsid w:val="003803A3"/>
    <w:rsid w:val="003815C4"/>
    <w:rsid w:val="00381C7E"/>
    <w:rsid w:val="003825A7"/>
    <w:rsid w:val="00382AE2"/>
    <w:rsid w:val="00383CA0"/>
    <w:rsid w:val="003854C4"/>
    <w:rsid w:val="00390FA8"/>
    <w:rsid w:val="00394F41"/>
    <w:rsid w:val="00394F54"/>
    <w:rsid w:val="0039600D"/>
    <w:rsid w:val="0039758B"/>
    <w:rsid w:val="003A2E3E"/>
    <w:rsid w:val="003A5207"/>
    <w:rsid w:val="003B05B2"/>
    <w:rsid w:val="003B196B"/>
    <w:rsid w:val="003B237D"/>
    <w:rsid w:val="003B49C2"/>
    <w:rsid w:val="003B5554"/>
    <w:rsid w:val="003B57A9"/>
    <w:rsid w:val="003B6922"/>
    <w:rsid w:val="003B7CE9"/>
    <w:rsid w:val="003B7FB7"/>
    <w:rsid w:val="003C0561"/>
    <w:rsid w:val="003C449A"/>
    <w:rsid w:val="003C55E1"/>
    <w:rsid w:val="003C6EF4"/>
    <w:rsid w:val="003D1778"/>
    <w:rsid w:val="003D4BCA"/>
    <w:rsid w:val="003D7AA4"/>
    <w:rsid w:val="003D7E34"/>
    <w:rsid w:val="003F05E6"/>
    <w:rsid w:val="003F370A"/>
    <w:rsid w:val="003F4335"/>
    <w:rsid w:val="003F5A7C"/>
    <w:rsid w:val="003F7A16"/>
    <w:rsid w:val="004018ED"/>
    <w:rsid w:val="004030AA"/>
    <w:rsid w:val="00405DCD"/>
    <w:rsid w:val="004061FA"/>
    <w:rsid w:val="00407DC4"/>
    <w:rsid w:val="00407E6E"/>
    <w:rsid w:val="00410B32"/>
    <w:rsid w:val="004132A0"/>
    <w:rsid w:val="004133A8"/>
    <w:rsid w:val="00413894"/>
    <w:rsid w:val="00414A2E"/>
    <w:rsid w:val="00416393"/>
    <w:rsid w:val="004164C1"/>
    <w:rsid w:val="00416C73"/>
    <w:rsid w:val="004225E4"/>
    <w:rsid w:val="00423188"/>
    <w:rsid w:val="004259ED"/>
    <w:rsid w:val="00426AC7"/>
    <w:rsid w:val="00427F18"/>
    <w:rsid w:val="004322F2"/>
    <w:rsid w:val="00434F1E"/>
    <w:rsid w:val="00440A06"/>
    <w:rsid w:val="00443A73"/>
    <w:rsid w:val="0045006D"/>
    <w:rsid w:val="00454FE3"/>
    <w:rsid w:val="00463EA9"/>
    <w:rsid w:val="00466F4C"/>
    <w:rsid w:val="00472B04"/>
    <w:rsid w:val="00472B36"/>
    <w:rsid w:val="00473B54"/>
    <w:rsid w:val="004767D7"/>
    <w:rsid w:val="00492930"/>
    <w:rsid w:val="00492DEA"/>
    <w:rsid w:val="00496432"/>
    <w:rsid w:val="00497037"/>
    <w:rsid w:val="004A0D74"/>
    <w:rsid w:val="004A2440"/>
    <w:rsid w:val="004A440D"/>
    <w:rsid w:val="004A5A7A"/>
    <w:rsid w:val="004A79DE"/>
    <w:rsid w:val="004A7C9D"/>
    <w:rsid w:val="004B0163"/>
    <w:rsid w:val="004B0870"/>
    <w:rsid w:val="004B0C96"/>
    <w:rsid w:val="004C27F6"/>
    <w:rsid w:val="004C4893"/>
    <w:rsid w:val="004D0668"/>
    <w:rsid w:val="004D0C3F"/>
    <w:rsid w:val="004E2BB8"/>
    <w:rsid w:val="004E519B"/>
    <w:rsid w:val="004F3556"/>
    <w:rsid w:val="004F3911"/>
    <w:rsid w:val="004F3FAB"/>
    <w:rsid w:val="004F41A8"/>
    <w:rsid w:val="004F5559"/>
    <w:rsid w:val="004F5DB0"/>
    <w:rsid w:val="005000E2"/>
    <w:rsid w:val="005009D4"/>
    <w:rsid w:val="00502485"/>
    <w:rsid w:val="00504361"/>
    <w:rsid w:val="00512DA9"/>
    <w:rsid w:val="005153B4"/>
    <w:rsid w:val="00521D38"/>
    <w:rsid w:val="00537C23"/>
    <w:rsid w:val="00540F2D"/>
    <w:rsid w:val="005426F9"/>
    <w:rsid w:val="00546C3A"/>
    <w:rsid w:val="005514F1"/>
    <w:rsid w:val="00556CE5"/>
    <w:rsid w:val="0055714F"/>
    <w:rsid w:val="00560964"/>
    <w:rsid w:val="00562A7E"/>
    <w:rsid w:val="0056346C"/>
    <w:rsid w:val="00566C1B"/>
    <w:rsid w:val="00571972"/>
    <w:rsid w:val="005729C0"/>
    <w:rsid w:val="005757DE"/>
    <w:rsid w:val="00577F85"/>
    <w:rsid w:val="00583FE3"/>
    <w:rsid w:val="00585D2C"/>
    <w:rsid w:val="0058633C"/>
    <w:rsid w:val="00586C8E"/>
    <w:rsid w:val="005872BE"/>
    <w:rsid w:val="0058790D"/>
    <w:rsid w:val="00587EA7"/>
    <w:rsid w:val="005918BE"/>
    <w:rsid w:val="00594163"/>
    <w:rsid w:val="00596782"/>
    <w:rsid w:val="00596806"/>
    <w:rsid w:val="005A35C0"/>
    <w:rsid w:val="005B0641"/>
    <w:rsid w:val="005B23FA"/>
    <w:rsid w:val="005B3123"/>
    <w:rsid w:val="005B33E6"/>
    <w:rsid w:val="005B3E20"/>
    <w:rsid w:val="005B3F45"/>
    <w:rsid w:val="005B53B1"/>
    <w:rsid w:val="005C271F"/>
    <w:rsid w:val="005C4135"/>
    <w:rsid w:val="005C5AFC"/>
    <w:rsid w:val="005C60D9"/>
    <w:rsid w:val="005D23FA"/>
    <w:rsid w:val="005D570F"/>
    <w:rsid w:val="005E02E4"/>
    <w:rsid w:val="005E0E82"/>
    <w:rsid w:val="005E6F27"/>
    <w:rsid w:val="005F0562"/>
    <w:rsid w:val="005F4EC7"/>
    <w:rsid w:val="005F56C9"/>
    <w:rsid w:val="0060059E"/>
    <w:rsid w:val="006061F2"/>
    <w:rsid w:val="00607751"/>
    <w:rsid w:val="0061056D"/>
    <w:rsid w:val="006157F1"/>
    <w:rsid w:val="00617F58"/>
    <w:rsid w:val="006209C3"/>
    <w:rsid w:val="0062286C"/>
    <w:rsid w:val="00622BA2"/>
    <w:rsid w:val="006236A3"/>
    <w:rsid w:val="006237EE"/>
    <w:rsid w:val="00626208"/>
    <w:rsid w:val="00627412"/>
    <w:rsid w:val="00627B3D"/>
    <w:rsid w:val="00631E11"/>
    <w:rsid w:val="00631FE0"/>
    <w:rsid w:val="00632642"/>
    <w:rsid w:val="006341DD"/>
    <w:rsid w:val="006342A1"/>
    <w:rsid w:val="006346D1"/>
    <w:rsid w:val="006414EA"/>
    <w:rsid w:val="00642052"/>
    <w:rsid w:val="006446FA"/>
    <w:rsid w:val="006455C6"/>
    <w:rsid w:val="00646CD0"/>
    <w:rsid w:val="00647E8B"/>
    <w:rsid w:val="00652AC4"/>
    <w:rsid w:val="00653F85"/>
    <w:rsid w:val="0065741B"/>
    <w:rsid w:val="00661E7B"/>
    <w:rsid w:val="00664553"/>
    <w:rsid w:val="0066537A"/>
    <w:rsid w:val="0067224B"/>
    <w:rsid w:val="00677893"/>
    <w:rsid w:val="00677DEF"/>
    <w:rsid w:val="00677F36"/>
    <w:rsid w:val="0068136B"/>
    <w:rsid w:val="0068335D"/>
    <w:rsid w:val="00690385"/>
    <w:rsid w:val="00690A6E"/>
    <w:rsid w:val="00692A38"/>
    <w:rsid w:val="00692C27"/>
    <w:rsid w:val="006930A4"/>
    <w:rsid w:val="00693358"/>
    <w:rsid w:val="00696AC3"/>
    <w:rsid w:val="00697799"/>
    <w:rsid w:val="006A05B1"/>
    <w:rsid w:val="006A14E2"/>
    <w:rsid w:val="006A1643"/>
    <w:rsid w:val="006A32A7"/>
    <w:rsid w:val="006B0F61"/>
    <w:rsid w:val="006B2000"/>
    <w:rsid w:val="006B29AF"/>
    <w:rsid w:val="006B6B84"/>
    <w:rsid w:val="006C10A0"/>
    <w:rsid w:val="006C35C2"/>
    <w:rsid w:val="006D3DA1"/>
    <w:rsid w:val="006D629A"/>
    <w:rsid w:val="006E1D88"/>
    <w:rsid w:val="006E3088"/>
    <w:rsid w:val="006E316A"/>
    <w:rsid w:val="006E3D76"/>
    <w:rsid w:val="006E658D"/>
    <w:rsid w:val="006F1023"/>
    <w:rsid w:val="006F1D45"/>
    <w:rsid w:val="006F31A2"/>
    <w:rsid w:val="006F5646"/>
    <w:rsid w:val="006F5DDD"/>
    <w:rsid w:val="006F66F9"/>
    <w:rsid w:val="006F6CE5"/>
    <w:rsid w:val="006F71E7"/>
    <w:rsid w:val="00700EF9"/>
    <w:rsid w:val="00701907"/>
    <w:rsid w:val="0070216C"/>
    <w:rsid w:val="007044F7"/>
    <w:rsid w:val="00705A6A"/>
    <w:rsid w:val="007079A9"/>
    <w:rsid w:val="00707D73"/>
    <w:rsid w:val="007101CA"/>
    <w:rsid w:val="00711B99"/>
    <w:rsid w:val="00712D54"/>
    <w:rsid w:val="00716DD9"/>
    <w:rsid w:val="0071732C"/>
    <w:rsid w:val="007241F6"/>
    <w:rsid w:val="0073061E"/>
    <w:rsid w:val="00734516"/>
    <w:rsid w:val="00734EE6"/>
    <w:rsid w:val="007366E5"/>
    <w:rsid w:val="007368A0"/>
    <w:rsid w:val="0074105A"/>
    <w:rsid w:val="0074110D"/>
    <w:rsid w:val="0074187A"/>
    <w:rsid w:val="007426A8"/>
    <w:rsid w:val="00742950"/>
    <w:rsid w:val="007469CE"/>
    <w:rsid w:val="007525BD"/>
    <w:rsid w:val="00752E52"/>
    <w:rsid w:val="00757E9D"/>
    <w:rsid w:val="0076105D"/>
    <w:rsid w:val="00765A99"/>
    <w:rsid w:val="00777737"/>
    <w:rsid w:val="00781A05"/>
    <w:rsid w:val="00782CC8"/>
    <w:rsid w:val="00783D81"/>
    <w:rsid w:val="00785880"/>
    <w:rsid w:val="00786C12"/>
    <w:rsid w:val="00790241"/>
    <w:rsid w:val="00790563"/>
    <w:rsid w:val="007923E7"/>
    <w:rsid w:val="007965DC"/>
    <w:rsid w:val="00796A99"/>
    <w:rsid w:val="007A110B"/>
    <w:rsid w:val="007A3E3C"/>
    <w:rsid w:val="007A47B4"/>
    <w:rsid w:val="007A7BFB"/>
    <w:rsid w:val="007B6206"/>
    <w:rsid w:val="007C0183"/>
    <w:rsid w:val="007C1D9C"/>
    <w:rsid w:val="007C2643"/>
    <w:rsid w:val="007C34C3"/>
    <w:rsid w:val="007C3530"/>
    <w:rsid w:val="007C39BE"/>
    <w:rsid w:val="007C6F5C"/>
    <w:rsid w:val="007D53DA"/>
    <w:rsid w:val="007E0AF7"/>
    <w:rsid w:val="007F7B6B"/>
    <w:rsid w:val="00801717"/>
    <w:rsid w:val="00803906"/>
    <w:rsid w:val="00803C69"/>
    <w:rsid w:val="00804DD8"/>
    <w:rsid w:val="00810316"/>
    <w:rsid w:val="00823D25"/>
    <w:rsid w:val="00827445"/>
    <w:rsid w:val="00827AFC"/>
    <w:rsid w:val="00830C6C"/>
    <w:rsid w:val="0083163B"/>
    <w:rsid w:val="00833879"/>
    <w:rsid w:val="008352FF"/>
    <w:rsid w:val="008356AE"/>
    <w:rsid w:val="00837092"/>
    <w:rsid w:val="00843481"/>
    <w:rsid w:val="0084381D"/>
    <w:rsid w:val="00843882"/>
    <w:rsid w:val="00845412"/>
    <w:rsid w:val="008464A9"/>
    <w:rsid w:val="008465D7"/>
    <w:rsid w:val="0085040C"/>
    <w:rsid w:val="00853FB0"/>
    <w:rsid w:val="00855952"/>
    <w:rsid w:val="008602E8"/>
    <w:rsid w:val="00864FE8"/>
    <w:rsid w:val="008762E0"/>
    <w:rsid w:val="0087724F"/>
    <w:rsid w:val="008823E9"/>
    <w:rsid w:val="00884374"/>
    <w:rsid w:val="008846D6"/>
    <w:rsid w:val="0089141D"/>
    <w:rsid w:val="008918AB"/>
    <w:rsid w:val="008A584E"/>
    <w:rsid w:val="008A60AB"/>
    <w:rsid w:val="008A7C3D"/>
    <w:rsid w:val="008B29B1"/>
    <w:rsid w:val="008B3868"/>
    <w:rsid w:val="008B42E8"/>
    <w:rsid w:val="008C040E"/>
    <w:rsid w:val="008C2AC8"/>
    <w:rsid w:val="008C57DE"/>
    <w:rsid w:val="008C69D1"/>
    <w:rsid w:val="008D08F4"/>
    <w:rsid w:val="008D57D1"/>
    <w:rsid w:val="008D79AF"/>
    <w:rsid w:val="008E00A8"/>
    <w:rsid w:val="008E0666"/>
    <w:rsid w:val="008E1310"/>
    <w:rsid w:val="008E7E52"/>
    <w:rsid w:val="008F1C0B"/>
    <w:rsid w:val="008F366B"/>
    <w:rsid w:val="008F5B5A"/>
    <w:rsid w:val="009035E6"/>
    <w:rsid w:val="009058E4"/>
    <w:rsid w:val="00911D1F"/>
    <w:rsid w:val="00912782"/>
    <w:rsid w:val="00913044"/>
    <w:rsid w:val="009137F9"/>
    <w:rsid w:val="0091532F"/>
    <w:rsid w:val="00917332"/>
    <w:rsid w:val="00922E16"/>
    <w:rsid w:val="0092405B"/>
    <w:rsid w:val="0092515C"/>
    <w:rsid w:val="00926337"/>
    <w:rsid w:val="00927AAB"/>
    <w:rsid w:val="00930CC3"/>
    <w:rsid w:val="00931058"/>
    <w:rsid w:val="00934CC7"/>
    <w:rsid w:val="0093500B"/>
    <w:rsid w:val="00946094"/>
    <w:rsid w:val="00951218"/>
    <w:rsid w:val="009524FF"/>
    <w:rsid w:val="009574C4"/>
    <w:rsid w:val="00957F5F"/>
    <w:rsid w:val="00961B7F"/>
    <w:rsid w:val="009620C3"/>
    <w:rsid w:val="00962DB2"/>
    <w:rsid w:val="00967921"/>
    <w:rsid w:val="00976A81"/>
    <w:rsid w:val="009816F3"/>
    <w:rsid w:val="00981F09"/>
    <w:rsid w:val="009835F4"/>
    <w:rsid w:val="009900BF"/>
    <w:rsid w:val="0099469E"/>
    <w:rsid w:val="00994DEC"/>
    <w:rsid w:val="00995297"/>
    <w:rsid w:val="00996016"/>
    <w:rsid w:val="009973BA"/>
    <w:rsid w:val="00997814"/>
    <w:rsid w:val="009A08C7"/>
    <w:rsid w:val="009A16DA"/>
    <w:rsid w:val="009A5437"/>
    <w:rsid w:val="009B1BBC"/>
    <w:rsid w:val="009B24FF"/>
    <w:rsid w:val="009B67AE"/>
    <w:rsid w:val="009C2FD4"/>
    <w:rsid w:val="009C66D0"/>
    <w:rsid w:val="009C6A5F"/>
    <w:rsid w:val="009D2669"/>
    <w:rsid w:val="009D33B7"/>
    <w:rsid w:val="009D6AB2"/>
    <w:rsid w:val="009E3DA9"/>
    <w:rsid w:val="009E40AF"/>
    <w:rsid w:val="009E41F5"/>
    <w:rsid w:val="009E459B"/>
    <w:rsid w:val="009F04E6"/>
    <w:rsid w:val="009F3261"/>
    <w:rsid w:val="009F5CAF"/>
    <w:rsid w:val="009F7B8E"/>
    <w:rsid w:val="00A02D48"/>
    <w:rsid w:val="00A0451D"/>
    <w:rsid w:val="00A05A63"/>
    <w:rsid w:val="00A07F0D"/>
    <w:rsid w:val="00A106F5"/>
    <w:rsid w:val="00A1247E"/>
    <w:rsid w:val="00A13693"/>
    <w:rsid w:val="00A14C38"/>
    <w:rsid w:val="00A161AA"/>
    <w:rsid w:val="00A17414"/>
    <w:rsid w:val="00A244EA"/>
    <w:rsid w:val="00A24A23"/>
    <w:rsid w:val="00A24E1A"/>
    <w:rsid w:val="00A268AF"/>
    <w:rsid w:val="00A2728A"/>
    <w:rsid w:val="00A3010D"/>
    <w:rsid w:val="00A30A61"/>
    <w:rsid w:val="00A33FAF"/>
    <w:rsid w:val="00A346B4"/>
    <w:rsid w:val="00A43DF3"/>
    <w:rsid w:val="00A45C20"/>
    <w:rsid w:val="00A462BB"/>
    <w:rsid w:val="00A46D87"/>
    <w:rsid w:val="00A47720"/>
    <w:rsid w:val="00A50C8F"/>
    <w:rsid w:val="00A553EA"/>
    <w:rsid w:val="00A5576E"/>
    <w:rsid w:val="00A6037E"/>
    <w:rsid w:val="00A70522"/>
    <w:rsid w:val="00A745CB"/>
    <w:rsid w:val="00A80587"/>
    <w:rsid w:val="00A84850"/>
    <w:rsid w:val="00A8699F"/>
    <w:rsid w:val="00A902C9"/>
    <w:rsid w:val="00A93884"/>
    <w:rsid w:val="00AA4452"/>
    <w:rsid w:val="00AA5263"/>
    <w:rsid w:val="00AA5C87"/>
    <w:rsid w:val="00AA70C1"/>
    <w:rsid w:val="00AB3937"/>
    <w:rsid w:val="00AB46DE"/>
    <w:rsid w:val="00AB4BED"/>
    <w:rsid w:val="00AC1DAB"/>
    <w:rsid w:val="00AC3AE6"/>
    <w:rsid w:val="00AC5E9E"/>
    <w:rsid w:val="00AC75F1"/>
    <w:rsid w:val="00AC76DF"/>
    <w:rsid w:val="00AD0570"/>
    <w:rsid w:val="00AD1528"/>
    <w:rsid w:val="00AD1611"/>
    <w:rsid w:val="00AD4E34"/>
    <w:rsid w:val="00AD51DF"/>
    <w:rsid w:val="00AE24E0"/>
    <w:rsid w:val="00AE309C"/>
    <w:rsid w:val="00AE5FDE"/>
    <w:rsid w:val="00AF4EF7"/>
    <w:rsid w:val="00AF5EA0"/>
    <w:rsid w:val="00AF67D0"/>
    <w:rsid w:val="00B0337F"/>
    <w:rsid w:val="00B0560D"/>
    <w:rsid w:val="00B06A61"/>
    <w:rsid w:val="00B07A31"/>
    <w:rsid w:val="00B12133"/>
    <w:rsid w:val="00B13345"/>
    <w:rsid w:val="00B17736"/>
    <w:rsid w:val="00B20287"/>
    <w:rsid w:val="00B259AF"/>
    <w:rsid w:val="00B27003"/>
    <w:rsid w:val="00B2752A"/>
    <w:rsid w:val="00B32739"/>
    <w:rsid w:val="00B35778"/>
    <w:rsid w:val="00B35CFA"/>
    <w:rsid w:val="00B36BED"/>
    <w:rsid w:val="00B413B3"/>
    <w:rsid w:val="00B47C5B"/>
    <w:rsid w:val="00B50F90"/>
    <w:rsid w:val="00B526E4"/>
    <w:rsid w:val="00B535C1"/>
    <w:rsid w:val="00B53981"/>
    <w:rsid w:val="00B53C2F"/>
    <w:rsid w:val="00B545DC"/>
    <w:rsid w:val="00B54F5D"/>
    <w:rsid w:val="00B60DB0"/>
    <w:rsid w:val="00B62285"/>
    <w:rsid w:val="00B63E17"/>
    <w:rsid w:val="00B64C56"/>
    <w:rsid w:val="00B721DF"/>
    <w:rsid w:val="00B72275"/>
    <w:rsid w:val="00B748F6"/>
    <w:rsid w:val="00B74AA2"/>
    <w:rsid w:val="00B75045"/>
    <w:rsid w:val="00B770D8"/>
    <w:rsid w:val="00B779FC"/>
    <w:rsid w:val="00B839F6"/>
    <w:rsid w:val="00B8429F"/>
    <w:rsid w:val="00B84A28"/>
    <w:rsid w:val="00B857C7"/>
    <w:rsid w:val="00B8635D"/>
    <w:rsid w:val="00B87993"/>
    <w:rsid w:val="00B921A9"/>
    <w:rsid w:val="00B9467A"/>
    <w:rsid w:val="00B94EC2"/>
    <w:rsid w:val="00B96399"/>
    <w:rsid w:val="00BA35BB"/>
    <w:rsid w:val="00BA7352"/>
    <w:rsid w:val="00BB331A"/>
    <w:rsid w:val="00BB3E16"/>
    <w:rsid w:val="00BB5A8B"/>
    <w:rsid w:val="00BC209D"/>
    <w:rsid w:val="00BC2F58"/>
    <w:rsid w:val="00BC6E1D"/>
    <w:rsid w:val="00BD2AA6"/>
    <w:rsid w:val="00BD3662"/>
    <w:rsid w:val="00BD3DC1"/>
    <w:rsid w:val="00BD451A"/>
    <w:rsid w:val="00BD4B0A"/>
    <w:rsid w:val="00BE1C4C"/>
    <w:rsid w:val="00BE4524"/>
    <w:rsid w:val="00BE5B98"/>
    <w:rsid w:val="00BF1164"/>
    <w:rsid w:val="00BF11CD"/>
    <w:rsid w:val="00BF23E6"/>
    <w:rsid w:val="00C00A65"/>
    <w:rsid w:val="00C00C67"/>
    <w:rsid w:val="00C03E7E"/>
    <w:rsid w:val="00C12C6B"/>
    <w:rsid w:val="00C16ECF"/>
    <w:rsid w:val="00C17599"/>
    <w:rsid w:val="00C227B2"/>
    <w:rsid w:val="00C27805"/>
    <w:rsid w:val="00C377BB"/>
    <w:rsid w:val="00C41477"/>
    <w:rsid w:val="00C41F90"/>
    <w:rsid w:val="00C43CF2"/>
    <w:rsid w:val="00C44623"/>
    <w:rsid w:val="00C467E2"/>
    <w:rsid w:val="00C512A7"/>
    <w:rsid w:val="00C51D98"/>
    <w:rsid w:val="00C552D6"/>
    <w:rsid w:val="00C55E05"/>
    <w:rsid w:val="00C55E7F"/>
    <w:rsid w:val="00C60245"/>
    <w:rsid w:val="00C608F9"/>
    <w:rsid w:val="00C60C8A"/>
    <w:rsid w:val="00C616D0"/>
    <w:rsid w:val="00C76BFA"/>
    <w:rsid w:val="00C773DE"/>
    <w:rsid w:val="00C850F9"/>
    <w:rsid w:val="00C92CE7"/>
    <w:rsid w:val="00C9475A"/>
    <w:rsid w:val="00C9586D"/>
    <w:rsid w:val="00CA13D5"/>
    <w:rsid w:val="00CA13F2"/>
    <w:rsid w:val="00CA1456"/>
    <w:rsid w:val="00CA4FCD"/>
    <w:rsid w:val="00CA5074"/>
    <w:rsid w:val="00CA7B4C"/>
    <w:rsid w:val="00CB1CC8"/>
    <w:rsid w:val="00CB2F6F"/>
    <w:rsid w:val="00CB5908"/>
    <w:rsid w:val="00CC1D00"/>
    <w:rsid w:val="00CC3A9D"/>
    <w:rsid w:val="00CD0BBE"/>
    <w:rsid w:val="00CD3839"/>
    <w:rsid w:val="00CD5D1C"/>
    <w:rsid w:val="00CD6B68"/>
    <w:rsid w:val="00CD75C4"/>
    <w:rsid w:val="00CE0670"/>
    <w:rsid w:val="00CE3FE9"/>
    <w:rsid w:val="00CE40ED"/>
    <w:rsid w:val="00CE5BF4"/>
    <w:rsid w:val="00CE637A"/>
    <w:rsid w:val="00CE7583"/>
    <w:rsid w:val="00CE7BAB"/>
    <w:rsid w:val="00CF6026"/>
    <w:rsid w:val="00CF6E48"/>
    <w:rsid w:val="00D01E01"/>
    <w:rsid w:val="00D046F8"/>
    <w:rsid w:val="00D06132"/>
    <w:rsid w:val="00D1452F"/>
    <w:rsid w:val="00D15705"/>
    <w:rsid w:val="00D159AE"/>
    <w:rsid w:val="00D15D3A"/>
    <w:rsid w:val="00D21588"/>
    <w:rsid w:val="00D23512"/>
    <w:rsid w:val="00D23721"/>
    <w:rsid w:val="00D26716"/>
    <w:rsid w:val="00D3385E"/>
    <w:rsid w:val="00D36226"/>
    <w:rsid w:val="00D403D1"/>
    <w:rsid w:val="00D4200F"/>
    <w:rsid w:val="00D43492"/>
    <w:rsid w:val="00D44E77"/>
    <w:rsid w:val="00D51FBD"/>
    <w:rsid w:val="00D524E2"/>
    <w:rsid w:val="00D539EF"/>
    <w:rsid w:val="00D5569A"/>
    <w:rsid w:val="00D577B2"/>
    <w:rsid w:val="00D6463A"/>
    <w:rsid w:val="00D66F8B"/>
    <w:rsid w:val="00D70872"/>
    <w:rsid w:val="00D75A7E"/>
    <w:rsid w:val="00D810F4"/>
    <w:rsid w:val="00D8359D"/>
    <w:rsid w:val="00D846D2"/>
    <w:rsid w:val="00D91787"/>
    <w:rsid w:val="00D945F2"/>
    <w:rsid w:val="00D95E44"/>
    <w:rsid w:val="00D95E70"/>
    <w:rsid w:val="00DA2560"/>
    <w:rsid w:val="00DB32F9"/>
    <w:rsid w:val="00DB3910"/>
    <w:rsid w:val="00DB5122"/>
    <w:rsid w:val="00DB6FCF"/>
    <w:rsid w:val="00DB7B1F"/>
    <w:rsid w:val="00DB7BDA"/>
    <w:rsid w:val="00DC2DA1"/>
    <w:rsid w:val="00DC32F1"/>
    <w:rsid w:val="00DC4378"/>
    <w:rsid w:val="00DC4E8F"/>
    <w:rsid w:val="00DC5BCB"/>
    <w:rsid w:val="00DD1415"/>
    <w:rsid w:val="00DD181B"/>
    <w:rsid w:val="00DD308A"/>
    <w:rsid w:val="00DE0B1D"/>
    <w:rsid w:val="00DE3D39"/>
    <w:rsid w:val="00DE3E69"/>
    <w:rsid w:val="00DE5020"/>
    <w:rsid w:val="00DE54D1"/>
    <w:rsid w:val="00DF0046"/>
    <w:rsid w:val="00DF478B"/>
    <w:rsid w:val="00DF4B92"/>
    <w:rsid w:val="00E0017C"/>
    <w:rsid w:val="00E0229B"/>
    <w:rsid w:val="00E03876"/>
    <w:rsid w:val="00E06D2F"/>
    <w:rsid w:val="00E07611"/>
    <w:rsid w:val="00E07AD8"/>
    <w:rsid w:val="00E1212A"/>
    <w:rsid w:val="00E12B3B"/>
    <w:rsid w:val="00E136F6"/>
    <w:rsid w:val="00E15447"/>
    <w:rsid w:val="00E15EE8"/>
    <w:rsid w:val="00E15F0E"/>
    <w:rsid w:val="00E2364B"/>
    <w:rsid w:val="00E25D84"/>
    <w:rsid w:val="00E34BB3"/>
    <w:rsid w:val="00E37072"/>
    <w:rsid w:val="00E4167D"/>
    <w:rsid w:val="00E461F2"/>
    <w:rsid w:val="00E55375"/>
    <w:rsid w:val="00E62B79"/>
    <w:rsid w:val="00E653F8"/>
    <w:rsid w:val="00E657C1"/>
    <w:rsid w:val="00E663C0"/>
    <w:rsid w:val="00E73F01"/>
    <w:rsid w:val="00E84A5B"/>
    <w:rsid w:val="00E92BA3"/>
    <w:rsid w:val="00E92C78"/>
    <w:rsid w:val="00E92FC3"/>
    <w:rsid w:val="00E930AE"/>
    <w:rsid w:val="00E94C82"/>
    <w:rsid w:val="00EA26A8"/>
    <w:rsid w:val="00EA34D8"/>
    <w:rsid w:val="00EA7315"/>
    <w:rsid w:val="00EA76E2"/>
    <w:rsid w:val="00EA7A3F"/>
    <w:rsid w:val="00EB0F89"/>
    <w:rsid w:val="00EB146E"/>
    <w:rsid w:val="00EB3E81"/>
    <w:rsid w:val="00EB43E6"/>
    <w:rsid w:val="00EB7C06"/>
    <w:rsid w:val="00EC1172"/>
    <w:rsid w:val="00EC1440"/>
    <w:rsid w:val="00EC67B3"/>
    <w:rsid w:val="00EC7A58"/>
    <w:rsid w:val="00ED0DFC"/>
    <w:rsid w:val="00ED129B"/>
    <w:rsid w:val="00EE15C2"/>
    <w:rsid w:val="00EE1DC8"/>
    <w:rsid w:val="00EE40D3"/>
    <w:rsid w:val="00EE4142"/>
    <w:rsid w:val="00EE5109"/>
    <w:rsid w:val="00EE6C74"/>
    <w:rsid w:val="00EF1767"/>
    <w:rsid w:val="00EF1D31"/>
    <w:rsid w:val="00EF6A4B"/>
    <w:rsid w:val="00F021B7"/>
    <w:rsid w:val="00F02324"/>
    <w:rsid w:val="00F03249"/>
    <w:rsid w:val="00F04DEE"/>
    <w:rsid w:val="00F067E3"/>
    <w:rsid w:val="00F11F7A"/>
    <w:rsid w:val="00F14A82"/>
    <w:rsid w:val="00F1523E"/>
    <w:rsid w:val="00F15480"/>
    <w:rsid w:val="00F164B5"/>
    <w:rsid w:val="00F1669C"/>
    <w:rsid w:val="00F171FA"/>
    <w:rsid w:val="00F17C73"/>
    <w:rsid w:val="00F30394"/>
    <w:rsid w:val="00F31F80"/>
    <w:rsid w:val="00F3445E"/>
    <w:rsid w:val="00F353C2"/>
    <w:rsid w:val="00F35A43"/>
    <w:rsid w:val="00F36DD7"/>
    <w:rsid w:val="00F36E6E"/>
    <w:rsid w:val="00F4212D"/>
    <w:rsid w:val="00F441E9"/>
    <w:rsid w:val="00F44419"/>
    <w:rsid w:val="00F45049"/>
    <w:rsid w:val="00F47DBB"/>
    <w:rsid w:val="00F5042A"/>
    <w:rsid w:val="00F50B1A"/>
    <w:rsid w:val="00F5142B"/>
    <w:rsid w:val="00F53902"/>
    <w:rsid w:val="00F62E0C"/>
    <w:rsid w:val="00F64E5E"/>
    <w:rsid w:val="00F65F33"/>
    <w:rsid w:val="00F6675A"/>
    <w:rsid w:val="00F67712"/>
    <w:rsid w:val="00F760C9"/>
    <w:rsid w:val="00F77E59"/>
    <w:rsid w:val="00F8699C"/>
    <w:rsid w:val="00F926B6"/>
    <w:rsid w:val="00F9507B"/>
    <w:rsid w:val="00F961F6"/>
    <w:rsid w:val="00FA30E7"/>
    <w:rsid w:val="00FA3AF3"/>
    <w:rsid w:val="00FA5A39"/>
    <w:rsid w:val="00FA5E58"/>
    <w:rsid w:val="00FA797E"/>
    <w:rsid w:val="00FB10B1"/>
    <w:rsid w:val="00FB110E"/>
    <w:rsid w:val="00FB25A0"/>
    <w:rsid w:val="00FB4559"/>
    <w:rsid w:val="00FB6167"/>
    <w:rsid w:val="00FB771F"/>
    <w:rsid w:val="00FC1681"/>
    <w:rsid w:val="00FC299B"/>
    <w:rsid w:val="00FC2FA3"/>
    <w:rsid w:val="00FC3434"/>
    <w:rsid w:val="00FC3570"/>
    <w:rsid w:val="00FC3A1A"/>
    <w:rsid w:val="00FC419F"/>
    <w:rsid w:val="00FC64A7"/>
    <w:rsid w:val="00FD597A"/>
    <w:rsid w:val="00FD769B"/>
    <w:rsid w:val="00FE2726"/>
    <w:rsid w:val="00FE5FE2"/>
    <w:rsid w:val="00FF0358"/>
    <w:rsid w:val="00FF31BC"/>
    <w:rsid w:val="00FF4244"/>
    <w:rsid w:val="00FF49C4"/>
    <w:rsid w:val="00FF66FB"/>
    <w:rsid w:val="00FF6D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E781"/>
  <w15:docId w15:val="{DEFAD690-2E66-4154-89DA-DC1D5CCE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DA9"/>
    <w:pPr>
      <w:spacing w:after="0" w:line="240" w:lineRule="auto"/>
    </w:pPr>
    <w:rPr>
      <w:rFonts w:ascii="Arial" w:hAnsi="Arial"/>
      <w:sz w:val="20"/>
    </w:rPr>
  </w:style>
  <w:style w:type="paragraph" w:styleId="Heading1">
    <w:name w:val="heading 1"/>
    <w:basedOn w:val="Normal"/>
    <w:next w:val="Normal"/>
    <w:link w:val="Heading1Char"/>
    <w:uiPriority w:val="9"/>
    <w:qFormat/>
    <w:rsid w:val="00DC2DA1"/>
    <w:pPr>
      <w:keepNext/>
      <w:keepLines/>
      <w:spacing w:before="480"/>
      <w:outlineLvl w:val="0"/>
    </w:pPr>
    <w:rPr>
      <w:rFonts w:eastAsiaTheme="majorEastAsia"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C2DA1"/>
    <w:pPr>
      <w:keepNext/>
      <w:keepLines/>
      <w:spacing w:before="200"/>
      <w:outlineLvl w:val="1"/>
    </w:pPr>
    <w:rPr>
      <w:rFonts w:eastAsiaTheme="majorEastAsia" w:cstheme="majorBidi"/>
      <w:b/>
      <w:bCs/>
      <w:color w:val="5B9BD5" w:themeColor="accent1"/>
      <w:sz w:val="26"/>
      <w:szCs w:val="26"/>
    </w:rPr>
  </w:style>
  <w:style w:type="paragraph" w:styleId="Heading3">
    <w:name w:val="heading 3"/>
    <w:basedOn w:val="Normal"/>
    <w:next w:val="Normal"/>
    <w:link w:val="Heading3Char"/>
    <w:uiPriority w:val="9"/>
    <w:unhideWhenUsed/>
    <w:qFormat/>
    <w:rsid w:val="00DC2DA1"/>
    <w:pPr>
      <w:keepNext/>
      <w:keepLines/>
      <w:spacing w:before="200"/>
      <w:outlineLvl w:val="2"/>
    </w:pPr>
    <w:rPr>
      <w:rFonts w:eastAsiaTheme="majorEastAsia" w:cstheme="majorBidi"/>
      <w:b/>
      <w:bCs/>
      <w:color w:val="5B9BD5" w:themeColor="accent1"/>
    </w:rPr>
  </w:style>
  <w:style w:type="paragraph" w:styleId="Heading4">
    <w:name w:val="heading 4"/>
    <w:basedOn w:val="Normal"/>
    <w:next w:val="Normal"/>
    <w:link w:val="Heading4Char"/>
    <w:uiPriority w:val="9"/>
    <w:unhideWhenUsed/>
    <w:qFormat/>
    <w:rsid w:val="004A440D"/>
    <w:pPr>
      <w:keepNext/>
      <w:keepLines/>
      <w:spacing w:before="200"/>
      <w:outlineLvl w:val="3"/>
    </w:pPr>
    <w:rPr>
      <w:rFonts w:eastAsiaTheme="majorEastAsia"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2DA1"/>
    <w:rPr>
      <w:rFonts w:ascii="Verdana" w:eastAsiaTheme="majorEastAsia" w:hAnsi="Verdana" w:cstheme="majorBidi"/>
      <w:b/>
      <w:bCs/>
      <w:color w:val="5B9BD5" w:themeColor="accent1"/>
      <w:sz w:val="20"/>
    </w:rPr>
  </w:style>
  <w:style w:type="character" w:customStyle="1" w:styleId="Heading2Char">
    <w:name w:val="Heading 2 Char"/>
    <w:basedOn w:val="DefaultParagraphFont"/>
    <w:link w:val="Heading2"/>
    <w:uiPriority w:val="9"/>
    <w:rsid w:val="00DC2DA1"/>
    <w:rPr>
      <w:rFonts w:ascii="Verdana" w:eastAsiaTheme="majorEastAsia" w:hAnsi="Verdana" w:cstheme="majorBidi"/>
      <w:b/>
      <w:bCs/>
      <w:color w:val="5B9BD5" w:themeColor="accent1"/>
      <w:sz w:val="26"/>
      <w:szCs w:val="26"/>
    </w:rPr>
  </w:style>
  <w:style w:type="paragraph" w:styleId="NoSpacing">
    <w:name w:val="No Spacing"/>
    <w:link w:val="NoSpacingChar"/>
    <w:uiPriority w:val="1"/>
    <w:qFormat/>
    <w:rsid w:val="00DC2DA1"/>
    <w:pPr>
      <w:spacing w:after="0" w:line="240" w:lineRule="auto"/>
    </w:pPr>
    <w:rPr>
      <w:sz w:val="20"/>
    </w:rPr>
  </w:style>
  <w:style w:type="character" w:customStyle="1" w:styleId="Heading1Char">
    <w:name w:val="Heading 1 Char"/>
    <w:basedOn w:val="DefaultParagraphFont"/>
    <w:link w:val="Heading1"/>
    <w:uiPriority w:val="9"/>
    <w:rsid w:val="00DC2DA1"/>
    <w:rPr>
      <w:rFonts w:ascii="Verdana" w:eastAsiaTheme="majorEastAsia" w:hAnsi="Verdana" w:cstheme="majorBidi"/>
      <w:b/>
      <w:bCs/>
      <w:color w:val="2E74B5" w:themeColor="accent1" w:themeShade="BF"/>
      <w:sz w:val="28"/>
      <w:szCs w:val="28"/>
    </w:rPr>
  </w:style>
  <w:style w:type="paragraph" w:customStyle="1" w:styleId="p">
    <w:name w:val="p"/>
    <w:basedOn w:val="Normal"/>
    <w:rsid w:val="00130CF4"/>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30CF4"/>
    <w:rPr>
      <w:i/>
      <w:iCs/>
    </w:rPr>
  </w:style>
  <w:style w:type="character" w:styleId="Hyperlink">
    <w:name w:val="Hyperlink"/>
    <w:basedOn w:val="DefaultParagraphFont"/>
    <w:uiPriority w:val="99"/>
    <w:unhideWhenUsed/>
    <w:rsid w:val="006342A1"/>
    <w:rPr>
      <w:color w:val="0000FF"/>
      <w:u w:val="single"/>
    </w:rPr>
  </w:style>
  <w:style w:type="character" w:styleId="CommentReference">
    <w:name w:val="annotation reference"/>
    <w:basedOn w:val="DefaultParagraphFont"/>
    <w:uiPriority w:val="99"/>
    <w:semiHidden/>
    <w:unhideWhenUsed/>
    <w:rsid w:val="00AE5FDE"/>
    <w:rPr>
      <w:sz w:val="16"/>
      <w:szCs w:val="16"/>
    </w:rPr>
  </w:style>
  <w:style w:type="paragraph" w:styleId="CommentText">
    <w:name w:val="annotation text"/>
    <w:basedOn w:val="Normal"/>
    <w:link w:val="CommentTextChar"/>
    <w:uiPriority w:val="99"/>
    <w:unhideWhenUsed/>
    <w:rsid w:val="00AE5FDE"/>
    <w:rPr>
      <w:szCs w:val="20"/>
    </w:rPr>
  </w:style>
  <w:style w:type="character" w:customStyle="1" w:styleId="CommentTextChar">
    <w:name w:val="Comment Text Char"/>
    <w:basedOn w:val="DefaultParagraphFont"/>
    <w:link w:val="CommentText"/>
    <w:uiPriority w:val="99"/>
    <w:rsid w:val="00AE5FDE"/>
    <w:rPr>
      <w:sz w:val="20"/>
      <w:szCs w:val="20"/>
    </w:rPr>
  </w:style>
  <w:style w:type="paragraph" w:styleId="BalloonText">
    <w:name w:val="Balloon Text"/>
    <w:basedOn w:val="Normal"/>
    <w:link w:val="BalloonTextChar"/>
    <w:uiPriority w:val="99"/>
    <w:semiHidden/>
    <w:unhideWhenUsed/>
    <w:rsid w:val="00AE5FDE"/>
    <w:rPr>
      <w:rFonts w:ascii="Tahoma" w:hAnsi="Tahoma" w:cs="Tahoma"/>
      <w:sz w:val="16"/>
      <w:szCs w:val="16"/>
    </w:rPr>
  </w:style>
  <w:style w:type="character" w:customStyle="1" w:styleId="BalloonTextChar">
    <w:name w:val="Balloon Text Char"/>
    <w:basedOn w:val="DefaultParagraphFont"/>
    <w:link w:val="BalloonText"/>
    <w:uiPriority w:val="99"/>
    <w:semiHidden/>
    <w:rsid w:val="00AE5FDE"/>
    <w:rPr>
      <w:rFonts w:ascii="Tahoma" w:hAnsi="Tahoma" w:cs="Tahoma"/>
      <w:sz w:val="16"/>
      <w:szCs w:val="16"/>
    </w:rPr>
  </w:style>
  <w:style w:type="character" w:customStyle="1" w:styleId="externalref">
    <w:name w:val="externalref"/>
    <w:basedOn w:val="DefaultParagraphFont"/>
    <w:rsid w:val="00B50F90"/>
  </w:style>
  <w:style w:type="character" w:customStyle="1" w:styleId="refsource">
    <w:name w:val="refsource"/>
    <w:basedOn w:val="DefaultParagraphFont"/>
    <w:rsid w:val="00B50F90"/>
  </w:style>
  <w:style w:type="table" w:styleId="LightShading-Accent5">
    <w:name w:val="Light Shading Accent 5"/>
    <w:basedOn w:val="TableNormal"/>
    <w:uiPriority w:val="60"/>
    <w:rsid w:val="007368A0"/>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ableGrid">
    <w:name w:val="Table Grid"/>
    <w:basedOn w:val="TableNormal"/>
    <w:uiPriority w:val="39"/>
    <w:rsid w:val="00736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7368A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7368A0"/>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7368A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7368A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aption">
    <w:name w:val="caption"/>
    <w:basedOn w:val="Normal"/>
    <w:next w:val="Normal"/>
    <w:uiPriority w:val="35"/>
    <w:unhideWhenUsed/>
    <w:qFormat/>
    <w:rsid w:val="007368A0"/>
    <w:pPr>
      <w:spacing w:after="200"/>
    </w:pPr>
    <w:rPr>
      <w:b/>
      <w:bCs/>
      <w:color w:val="5B9BD5" w:themeColor="accent1"/>
      <w:sz w:val="18"/>
      <w:szCs w:val="18"/>
    </w:rPr>
  </w:style>
  <w:style w:type="paragraph" w:styleId="CommentSubject">
    <w:name w:val="annotation subject"/>
    <w:basedOn w:val="CommentText"/>
    <w:next w:val="CommentText"/>
    <w:link w:val="CommentSubjectChar"/>
    <w:uiPriority w:val="99"/>
    <w:semiHidden/>
    <w:unhideWhenUsed/>
    <w:rsid w:val="00DD308A"/>
    <w:rPr>
      <w:b/>
      <w:bCs/>
    </w:rPr>
  </w:style>
  <w:style w:type="character" w:customStyle="1" w:styleId="CommentSubjectChar">
    <w:name w:val="Comment Subject Char"/>
    <w:basedOn w:val="CommentTextChar"/>
    <w:link w:val="CommentSubject"/>
    <w:uiPriority w:val="99"/>
    <w:semiHidden/>
    <w:rsid w:val="00DD308A"/>
    <w:rPr>
      <w:b/>
      <w:bCs/>
      <w:sz w:val="20"/>
      <w:szCs w:val="20"/>
    </w:rPr>
  </w:style>
  <w:style w:type="character" w:customStyle="1" w:styleId="Heading4Char">
    <w:name w:val="Heading 4 Char"/>
    <w:basedOn w:val="DefaultParagraphFont"/>
    <w:link w:val="Heading4"/>
    <w:uiPriority w:val="9"/>
    <w:rsid w:val="004A440D"/>
    <w:rPr>
      <w:rFonts w:eastAsiaTheme="majorEastAsia" w:cstheme="majorBidi"/>
      <w:b/>
      <w:bCs/>
      <w:i/>
      <w:iCs/>
      <w:color w:val="5B9BD5" w:themeColor="accent1"/>
      <w:sz w:val="20"/>
    </w:rPr>
  </w:style>
  <w:style w:type="paragraph" w:styleId="NormalWeb">
    <w:name w:val="Normal (Web)"/>
    <w:basedOn w:val="Normal"/>
    <w:uiPriority w:val="99"/>
    <w:unhideWhenUsed/>
    <w:rsid w:val="00D8359D"/>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E439B"/>
    <w:pPr>
      <w:ind w:left="720"/>
      <w:contextualSpacing/>
    </w:pPr>
  </w:style>
  <w:style w:type="paragraph" w:styleId="Revision">
    <w:name w:val="Revision"/>
    <w:hidden/>
    <w:uiPriority w:val="99"/>
    <w:semiHidden/>
    <w:rsid w:val="00F77E59"/>
    <w:pPr>
      <w:spacing w:after="0" w:line="240" w:lineRule="auto"/>
    </w:pPr>
  </w:style>
  <w:style w:type="character" w:customStyle="1" w:styleId="NoSpacingChar">
    <w:name w:val="No Spacing Char"/>
    <w:basedOn w:val="DefaultParagraphFont"/>
    <w:link w:val="NoSpacing"/>
    <w:uiPriority w:val="1"/>
    <w:rsid w:val="00DE5020"/>
    <w:rPr>
      <w:sz w:val="20"/>
    </w:rPr>
  </w:style>
  <w:style w:type="table" w:styleId="MediumShading1-Accent5">
    <w:name w:val="Medium Shading 1 Accent 5"/>
    <w:basedOn w:val="TableNormal"/>
    <w:uiPriority w:val="63"/>
    <w:rsid w:val="00DE5020"/>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ListTable7Colorful1">
    <w:name w:val="List Table 7 Colorful1"/>
    <w:basedOn w:val="TableNormal"/>
    <w:uiPriority w:val="52"/>
    <w:rsid w:val="00A272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5729C0"/>
    <w:pPr>
      <w:jc w:val="center"/>
    </w:pPr>
    <w:rPr>
      <w:rFonts w:ascii="Verdana" w:hAnsi="Verdana"/>
      <w:noProof/>
      <w:sz w:val="22"/>
      <w:lang w:val="en-US"/>
    </w:rPr>
  </w:style>
  <w:style w:type="character" w:customStyle="1" w:styleId="EndNoteBibliographyTitleChar">
    <w:name w:val="EndNote Bibliography Title Char"/>
    <w:basedOn w:val="DefaultParagraphFont"/>
    <w:link w:val="EndNoteBibliographyTitle"/>
    <w:rsid w:val="005729C0"/>
    <w:rPr>
      <w:noProof/>
      <w:lang w:val="en-US"/>
    </w:rPr>
  </w:style>
  <w:style w:type="paragraph" w:customStyle="1" w:styleId="EndNoteBibliography">
    <w:name w:val="EndNote Bibliography"/>
    <w:basedOn w:val="Normal"/>
    <w:link w:val="EndNoteBibliographyChar"/>
    <w:rsid w:val="005729C0"/>
    <w:pPr>
      <w:jc w:val="both"/>
    </w:pPr>
    <w:rPr>
      <w:rFonts w:ascii="Verdana" w:hAnsi="Verdana"/>
      <w:noProof/>
      <w:sz w:val="22"/>
      <w:lang w:val="en-US"/>
    </w:rPr>
  </w:style>
  <w:style w:type="character" w:customStyle="1" w:styleId="EndNoteBibliographyChar">
    <w:name w:val="EndNote Bibliography Char"/>
    <w:basedOn w:val="DefaultParagraphFont"/>
    <w:link w:val="EndNoteBibliography"/>
    <w:rsid w:val="005729C0"/>
    <w:rPr>
      <w:noProof/>
      <w:lang w:val="en-US"/>
    </w:rPr>
  </w:style>
  <w:style w:type="character" w:customStyle="1" w:styleId="apple-converted-space">
    <w:name w:val="apple-converted-space"/>
    <w:basedOn w:val="DefaultParagraphFont"/>
    <w:rsid w:val="000E72CF"/>
  </w:style>
  <w:style w:type="character" w:customStyle="1" w:styleId="doi">
    <w:name w:val="doi"/>
    <w:basedOn w:val="DefaultParagraphFont"/>
    <w:rsid w:val="00EE15C2"/>
  </w:style>
  <w:style w:type="character" w:styleId="FollowedHyperlink">
    <w:name w:val="FollowedHyperlink"/>
    <w:basedOn w:val="DefaultParagraphFont"/>
    <w:uiPriority w:val="99"/>
    <w:semiHidden/>
    <w:unhideWhenUsed/>
    <w:rsid w:val="004D0C3F"/>
    <w:rPr>
      <w:color w:val="954F72" w:themeColor="followedHyperlink"/>
      <w:u w:val="single"/>
    </w:rPr>
  </w:style>
  <w:style w:type="character" w:styleId="Strong">
    <w:name w:val="Strong"/>
    <w:basedOn w:val="DefaultParagraphFont"/>
    <w:uiPriority w:val="22"/>
    <w:qFormat/>
    <w:rsid w:val="00055D48"/>
    <w:rPr>
      <w:b/>
      <w:bCs/>
    </w:rPr>
  </w:style>
  <w:style w:type="character" w:styleId="LineNumber">
    <w:name w:val="line number"/>
    <w:basedOn w:val="DefaultParagraphFont"/>
    <w:uiPriority w:val="99"/>
    <w:semiHidden/>
    <w:unhideWhenUsed/>
    <w:rsid w:val="007A47B4"/>
  </w:style>
  <w:style w:type="paragraph" w:styleId="Header">
    <w:name w:val="header"/>
    <w:basedOn w:val="Normal"/>
    <w:link w:val="HeaderChar"/>
    <w:uiPriority w:val="99"/>
    <w:unhideWhenUsed/>
    <w:rsid w:val="007A47B4"/>
    <w:pPr>
      <w:tabs>
        <w:tab w:val="center" w:pos="4513"/>
        <w:tab w:val="right" w:pos="9026"/>
      </w:tabs>
    </w:pPr>
  </w:style>
  <w:style w:type="character" w:customStyle="1" w:styleId="HeaderChar">
    <w:name w:val="Header Char"/>
    <w:basedOn w:val="DefaultParagraphFont"/>
    <w:link w:val="Header"/>
    <w:uiPriority w:val="99"/>
    <w:rsid w:val="007A47B4"/>
    <w:rPr>
      <w:rFonts w:ascii="Arial" w:hAnsi="Arial"/>
      <w:sz w:val="20"/>
    </w:rPr>
  </w:style>
  <w:style w:type="paragraph" w:styleId="Footer">
    <w:name w:val="footer"/>
    <w:basedOn w:val="Normal"/>
    <w:link w:val="FooterChar"/>
    <w:uiPriority w:val="99"/>
    <w:unhideWhenUsed/>
    <w:rsid w:val="007A47B4"/>
    <w:pPr>
      <w:tabs>
        <w:tab w:val="center" w:pos="4513"/>
        <w:tab w:val="right" w:pos="9026"/>
      </w:tabs>
    </w:pPr>
  </w:style>
  <w:style w:type="character" w:customStyle="1" w:styleId="FooterChar">
    <w:name w:val="Footer Char"/>
    <w:basedOn w:val="DefaultParagraphFont"/>
    <w:link w:val="Footer"/>
    <w:uiPriority w:val="99"/>
    <w:rsid w:val="007A47B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5223">
      <w:bodyDiv w:val="1"/>
      <w:marLeft w:val="0"/>
      <w:marRight w:val="0"/>
      <w:marTop w:val="0"/>
      <w:marBottom w:val="0"/>
      <w:divBdr>
        <w:top w:val="none" w:sz="0" w:space="0" w:color="auto"/>
        <w:left w:val="none" w:sz="0" w:space="0" w:color="auto"/>
        <w:bottom w:val="none" w:sz="0" w:space="0" w:color="auto"/>
        <w:right w:val="none" w:sz="0" w:space="0" w:color="auto"/>
      </w:divBdr>
    </w:div>
    <w:div w:id="59912709">
      <w:bodyDiv w:val="1"/>
      <w:marLeft w:val="0"/>
      <w:marRight w:val="0"/>
      <w:marTop w:val="0"/>
      <w:marBottom w:val="0"/>
      <w:divBdr>
        <w:top w:val="none" w:sz="0" w:space="0" w:color="auto"/>
        <w:left w:val="none" w:sz="0" w:space="0" w:color="auto"/>
        <w:bottom w:val="none" w:sz="0" w:space="0" w:color="auto"/>
        <w:right w:val="none" w:sz="0" w:space="0" w:color="auto"/>
      </w:divBdr>
    </w:div>
    <w:div w:id="84543012">
      <w:bodyDiv w:val="1"/>
      <w:marLeft w:val="0"/>
      <w:marRight w:val="0"/>
      <w:marTop w:val="0"/>
      <w:marBottom w:val="0"/>
      <w:divBdr>
        <w:top w:val="none" w:sz="0" w:space="0" w:color="auto"/>
        <w:left w:val="none" w:sz="0" w:space="0" w:color="auto"/>
        <w:bottom w:val="none" w:sz="0" w:space="0" w:color="auto"/>
        <w:right w:val="none" w:sz="0" w:space="0" w:color="auto"/>
      </w:divBdr>
    </w:div>
    <w:div w:id="137380312">
      <w:bodyDiv w:val="1"/>
      <w:marLeft w:val="0"/>
      <w:marRight w:val="0"/>
      <w:marTop w:val="0"/>
      <w:marBottom w:val="0"/>
      <w:divBdr>
        <w:top w:val="none" w:sz="0" w:space="0" w:color="auto"/>
        <w:left w:val="none" w:sz="0" w:space="0" w:color="auto"/>
        <w:bottom w:val="none" w:sz="0" w:space="0" w:color="auto"/>
        <w:right w:val="none" w:sz="0" w:space="0" w:color="auto"/>
      </w:divBdr>
    </w:div>
    <w:div w:id="169566371">
      <w:bodyDiv w:val="1"/>
      <w:marLeft w:val="0"/>
      <w:marRight w:val="0"/>
      <w:marTop w:val="0"/>
      <w:marBottom w:val="0"/>
      <w:divBdr>
        <w:top w:val="none" w:sz="0" w:space="0" w:color="auto"/>
        <w:left w:val="none" w:sz="0" w:space="0" w:color="auto"/>
        <w:bottom w:val="none" w:sz="0" w:space="0" w:color="auto"/>
        <w:right w:val="none" w:sz="0" w:space="0" w:color="auto"/>
      </w:divBdr>
    </w:div>
    <w:div w:id="265815789">
      <w:bodyDiv w:val="1"/>
      <w:marLeft w:val="0"/>
      <w:marRight w:val="0"/>
      <w:marTop w:val="0"/>
      <w:marBottom w:val="0"/>
      <w:divBdr>
        <w:top w:val="none" w:sz="0" w:space="0" w:color="auto"/>
        <w:left w:val="none" w:sz="0" w:space="0" w:color="auto"/>
        <w:bottom w:val="none" w:sz="0" w:space="0" w:color="auto"/>
        <w:right w:val="none" w:sz="0" w:space="0" w:color="auto"/>
      </w:divBdr>
    </w:div>
    <w:div w:id="266012597">
      <w:bodyDiv w:val="1"/>
      <w:marLeft w:val="0"/>
      <w:marRight w:val="0"/>
      <w:marTop w:val="0"/>
      <w:marBottom w:val="0"/>
      <w:divBdr>
        <w:top w:val="none" w:sz="0" w:space="0" w:color="auto"/>
        <w:left w:val="none" w:sz="0" w:space="0" w:color="auto"/>
        <w:bottom w:val="none" w:sz="0" w:space="0" w:color="auto"/>
        <w:right w:val="none" w:sz="0" w:space="0" w:color="auto"/>
      </w:divBdr>
    </w:div>
    <w:div w:id="329723136">
      <w:bodyDiv w:val="1"/>
      <w:marLeft w:val="0"/>
      <w:marRight w:val="0"/>
      <w:marTop w:val="0"/>
      <w:marBottom w:val="0"/>
      <w:divBdr>
        <w:top w:val="none" w:sz="0" w:space="0" w:color="auto"/>
        <w:left w:val="none" w:sz="0" w:space="0" w:color="auto"/>
        <w:bottom w:val="none" w:sz="0" w:space="0" w:color="auto"/>
        <w:right w:val="none" w:sz="0" w:space="0" w:color="auto"/>
      </w:divBdr>
    </w:div>
    <w:div w:id="364405860">
      <w:bodyDiv w:val="1"/>
      <w:marLeft w:val="0"/>
      <w:marRight w:val="0"/>
      <w:marTop w:val="0"/>
      <w:marBottom w:val="0"/>
      <w:divBdr>
        <w:top w:val="none" w:sz="0" w:space="0" w:color="auto"/>
        <w:left w:val="none" w:sz="0" w:space="0" w:color="auto"/>
        <w:bottom w:val="none" w:sz="0" w:space="0" w:color="auto"/>
        <w:right w:val="none" w:sz="0" w:space="0" w:color="auto"/>
      </w:divBdr>
    </w:div>
    <w:div w:id="493837390">
      <w:bodyDiv w:val="1"/>
      <w:marLeft w:val="0"/>
      <w:marRight w:val="0"/>
      <w:marTop w:val="0"/>
      <w:marBottom w:val="0"/>
      <w:divBdr>
        <w:top w:val="none" w:sz="0" w:space="0" w:color="auto"/>
        <w:left w:val="none" w:sz="0" w:space="0" w:color="auto"/>
        <w:bottom w:val="none" w:sz="0" w:space="0" w:color="auto"/>
        <w:right w:val="none" w:sz="0" w:space="0" w:color="auto"/>
      </w:divBdr>
    </w:div>
    <w:div w:id="549264413">
      <w:bodyDiv w:val="1"/>
      <w:marLeft w:val="0"/>
      <w:marRight w:val="0"/>
      <w:marTop w:val="0"/>
      <w:marBottom w:val="0"/>
      <w:divBdr>
        <w:top w:val="none" w:sz="0" w:space="0" w:color="auto"/>
        <w:left w:val="none" w:sz="0" w:space="0" w:color="auto"/>
        <w:bottom w:val="none" w:sz="0" w:space="0" w:color="auto"/>
        <w:right w:val="none" w:sz="0" w:space="0" w:color="auto"/>
      </w:divBdr>
    </w:div>
    <w:div w:id="560018236">
      <w:bodyDiv w:val="1"/>
      <w:marLeft w:val="0"/>
      <w:marRight w:val="0"/>
      <w:marTop w:val="0"/>
      <w:marBottom w:val="0"/>
      <w:divBdr>
        <w:top w:val="none" w:sz="0" w:space="0" w:color="auto"/>
        <w:left w:val="none" w:sz="0" w:space="0" w:color="auto"/>
        <w:bottom w:val="none" w:sz="0" w:space="0" w:color="auto"/>
        <w:right w:val="none" w:sz="0" w:space="0" w:color="auto"/>
      </w:divBdr>
    </w:div>
    <w:div w:id="700934949">
      <w:bodyDiv w:val="1"/>
      <w:marLeft w:val="0"/>
      <w:marRight w:val="0"/>
      <w:marTop w:val="0"/>
      <w:marBottom w:val="0"/>
      <w:divBdr>
        <w:top w:val="none" w:sz="0" w:space="0" w:color="auto"/>
        <w:left w:val="none" w:sz="0" w:space="0" w:color="auto"/>
        <w:bottom w:val="none" w:sz="0" w:space="0" w:color="auto"/>
        <w:right w:val="none" w:sz="0" w:space="0" w:color="auto"/>
      </w:divBdr>
    </w:div>
    <w:div w:id="774180123">
      <w:bodyDiv w:val="1"/>
      <w:marLeft w:val="0"/>
      <w:marRight w:val="0"/>
      <w:marTop w:val="0"/>
      <w:marBottom w:val="0"/>
      <w:divBdr>
        <w:top w:val="none" w:sz="0" w:space="0" w:color="auto"/>
        <w:left w:val="none" w:sz="0" w:space="0" w:color="auto"/>
        <w:bottom w:val="none" w:sz="0" w:space="0" w:color="auto"/>
        <w:right w:val="none" w:sz="0" w:space="0" w:color="auto"/>
      </w:divBdr>
      <w:divsChild>
        <w:div w:id="1050347231">
          <w:marLeft w:val="0"/>
          <w:marRight w:val="0"/>
          <w:marTop w:val="0"/>
          <w:marBottom w:val="0"/>
          <w:divBdr>
            <w:top w:val="none" w:sz="0" w:space="0" w:color="auto"/>
            <w:left w:val="none" w:sz="0" w:space="0" w:color="auto"/>
            <w:bottom w:val="none" w:sz="0" w:space="0" w:color="auto"/>
            <w:right w:val="none" w:sz="0" w:space="0" w:color="auto"/>
          </w:divBdr>
        </w:div>
      </w:divsChild>
    </w:div>
    <w:div w:id="782844935">
      <w:bodyDiv w:val="1"/>
      <w:marLeft w:val="0"/>
      <w:marRight w:val="0"/>
      <w:marTop w:val="0"/>
      <w:marBottom w:val="0"/>
      <w:divBdr>
        <w:top w:val="none" w:sz="0" w:space="0" w:color="auto"/>
        <w:left w:val="none" w:sz="0" w:space="0" w:color="auto"/>
        <w:bottom w:val="none" w:sz="0" w:space="0" w:color="auto"/>
        <w:right w:val="none" w:sz="0" w:space="0" w:color="auto"/>
      </w:divBdr>
    </w:div>
    <w:div w:id="785582364">
      <w:bodyDiv w:val="1"/>
      <w:marLeft w:val="0"/>
      <w:marRight w:val="0"/>
      <w:marTop w:val="0"/>
      <w:marBottom w:val="0"/>
      <w:divBdr>
        <w:top w:val="none" w:sz="0" w:space="0" w:color="auto"/>
        <w:left w:val="none" w:sz="0" w:space="0" w:color="auto"/>
        <w:bottom w:val="none" w:sz="0" w:space="0" w:color="auto"/>
        <w:right w:val="none" w:sz="0" w:space="0" w:color="auto"/>
      </w:divBdr>
    </w:div>
    <w:div w:id="814761337">
      <w:bodyDiv w:val="1"/>
      <w:marLeft w:val="0"/>
      <w:marRight w:val="0"/>
      <w:marTop w:val="0"/>
      <w:marBottom w:val="0"/>
      <w:divBdr>
        <w:top w:val="none" w:sz="0" w:space="0" w:color="auto"/>
        <w:left w:val="none" w:sz="0" w:space="0" w:color="auto"/>
        <w:bottom w:val="none" w:sz="0" w:space="0" w:color="auto"/>
        <w:right w:val="none" w:sz="0" w:space="0" w:color="auto"/>
      </w:divBdr>
      <w:divsChild>
        <w:div w:id="1047877286">
          <w:marLeft w:val="0"/>
          <w:marRight w:val="0"/>
          <w:marTop w:val="0"/>
          <w:marBottom w:val="0"/>
          <w:divBdr>
            <w:top w:val="none" w:sz="0" w:space="0" w:color="auto"/>
            <w:left w:val="none" w:sz="0" w:space="0" w:color="auto"/>
            <w:bottom w:val="none" w:sz="0" w:space="0" w:color="auto"/>
            <w:right w:val="none" w:sz="0" w:space="0" w:color="auto"/>
          </w:divBdr>
        </w:div>
      </w:divsChild>
    </w:div>
    <w:div w:id="887690154">
      <w:bodyDiv w:val="1"/>
      <w:marLeft w:val="0"/>
      <w:marRight w:val="0"/>
      <w:marTop w:val="0"/>
      <w:marBottom w:val="0"/>
      <w:divBdr>
        <w:top w:val="none" w:sz="0" w:space="0" w:color="auto"/>
        <w:left w:val="none" w:sz="0" w:space="0" w:color="auto"/>
        <w:bottom w:val="none" w:sz="0" w:space="0" w:color="auto"/>
        <w:right w:val="none" w:sz="0" w:space="0" w:color="auto"/>
      </w:divBdr>
    </w:div>
    <w:div w:id="927926992">
      <w:bodyDiv w:val="1"/>
      <w:marLeft w:val="0"/>
      <w:marRight w:val="0"/>
      <w:marTop w:val="0"/>
      <w:marBottom w:val="0"/>
      <w:divBdr>
        <w:top w:val="none" w:sz="0" w:space="0" w:color="auto"/>
        <w:left w:val="none" w:sz="0" w:space="0" w:color="auto"/>
        <w:bottom w:val="none" w:sz="0" w:space="0" w:color="auto"/>
        <w:right w:val="none" w:sz="0" w:space="0" w:color="auto"/>
      </w:divBdr>
    </w:div>
    <w:div w:id="934170945">
      <w:bodyDiv w:val="1"/>
      <w:marLeft w:val="0"/>
      <w:marRight w:val="0"/>
      <w:marTop w:val="0"/>
      <w:marBottom w:val="0"/>
      <w:divBdr>
        <w:top w:val="none" w:sz="0" w:space="0" w:color="auto"/>
        <w:left w:val="none" w:sz="0" w:space="0" w:color="auto"/>
        <w:bottom w:val="none" w:sz="0" w:space="0" w:color="auto"/>
        <w:right w:val="none" w:sz="0" w:space="0" w:color="auto"/>
      </w:divBdr>
    </w:div>
    <w:div w:id="943221899">
      <w:bodyDiv w:val="1"/>
      <w:marLeft w:val="0"/>
      <w:marRight w:val="0"/>
      <w:marTop w:val="0"/>
      <w:marBottom w:val="0"/>
      <w:divBdr>
        <w:top w:val="none" w:sz="0" w:space="0" w:color="auto"/>
        <w:left w:val="none" w:sz="0" w:space="0" w:color="auto"/>
        <w:bottom w:val="none" w:sz="0" w:space="0" w:color="auto"/>
        <w:right w:val="none" w:sz="0" w:space="0" w:color="auto"/>
      </w:divBdr>
      <w:divsChild>
        <w:div w:id="170031931">
          <w:marLeft w:val="0"/>
          <w:marRight w:val="0"/>
          <w:marTop w:val="0"/>
          <w:marBottom w:val="0"/>
          <w:divBdr>
            <w:top w:val="none" w:sz="0" w:space="0" w:color="auto"/>
            <w:left w:val="none" w:sz="0" w:space="0" w:color="auto"/>
            <w:bottom w:val="none" w:sz="0" w:space="0" w:color="auto"/>
            <w:right w:val="none" w:sz="0" w:space="0" w:color="auto"/>
          </w:divBdr>
        </w:div>
      </w:divsChild>
    </w:div>
    <w:div w:id="1020618278">
      <w:bodyDiv w:val="1"/>
      <w:marLeft w:val="0"/>
      <w:marRight w:val="0"/>
      <w:marTop w:val="0"/>
      <w:marBottom w:val="0"/>
      <w:divBdr>
        <w:top w:val="none" w:sz="0" w:space="0" w:color="auto"/>
        <w:left w:val="none" w:sz="0" w:space="0" w:color="auto"/>
        <w:bottom w:val="none" w:sz="0" w:space="0" w:color="auto"/>
        <w:right w:val="none" w:sz="0" w:space="0" w:color="auto"/>
      </w:divBdr>
    </w:div>
    <w:div w:id="1061829688">
      <w:bodyDiv w:val="1"/>
      <w:marLeft w:val="0"/>
      <w:marRight w:val="0"/>
      <w:marTop w:val="0"/>
      <w:marBottom w:val="0"/>
      <w:divBdr>
        <w:top w:val="none" w:sz="0" w:space="0" w:color="auto"/>
        <w:left w:val="none" w:sz="0" w:space="0" w:color="auto"/>
        <w:bottom w:val="none" w:sz="0" w:space="0" w:color="auto"/>
        <w:right w:val="none" w:sz="0" w:space="0" w:color="auto"/>
      </w:divBdr>
    </w:div>
    <w:div w:id="1070619830">
      <w:bodyDiv w:val="1"/>
      <w:marLeft w:val="0"/>
      <w:marRight w:val="0"/>
      <w:marTop w:val="0"/>
      <w:marBottom w:val="0"/>
      <w:divBdr>
        <w:top w:val="none" w:sz="0" w:space="0" w:color="auto"/>
        <w:left w:val="none" w:sz="0" w:space="0" w:color="auto"/>
        <w:bottom w:val="none" w:sz="0" w:space="0" w:color="auto"/>
        <w:right w:val="none" w:sz="0" w:space="0" w:color="auto"/>
      </w:divBdr>
    </w:div>
    <w:div w:id="1078092346">
      <w:bodyDiv w:val="1"/>
      <w:marLeft w:val="0"/>
      <w:marRight w:val="0"/>
      <w:marTop w:val="0"/>
      <w:marBottom w:val="0"/>
      <w:divBdr>
        <w:top w:val="none" w:sz="0" w:space="0" w:color="auto"/>
        <w:left w:val="none" w:sz="0" w:space="0" w:color="auto"/>
        <w:bottom w:val="none" w:sz="0" w:space="0" w:color="auto"/>
        <w:right w:val="none" w:sz="0" w:space="0" w:color="auto"/>
      </w:divBdr>
    </w:div>
    <w:div w:id="1110272032">
      <w:bodyDiv w:val="1"/>
      <w:marLeft w:val="0"/>
      <w:marRight w:val="0"/>
      <w:marTop w:val="0"/>
      <w:marBottom w:val="0"/>
      <w:divBdr>
        <w:top w:val="none" w:sz="0" w:space="0" w:color="auto"/>
        <w:left w:val="none" w:sz="0" w:space="0" w:color="auto"/>
        <w:bottom w:val="none" w:sz="0" w:space="0" w:color="auto"/>
        <w:right w:val="none" w:sz="0" w:space="0" w:color="auto"/>
      </w:divBdr>
    </w:div>
    <w:div w:id="1161388308">
      <w:bodyDiv w:val="1"/>
      <w:marLeft w:val="0"/>
      <w:marRight w:val="0"/>
      <w:marTop w:val="0"/>
      <w:marBottom w:val="0"/>
      <w:divBdr>
        <w:top w:val="none" w:sz="0" w:space="0" w:color="auto"/>
        <w:left w:val="none" w:sz="0" w:space="0" w:color="auto"/>
        <w:bottom w:val="none" w:sz="0" w:space="0" w:color="auto"/>
        <w:right w:val="none" w:sz="0" w:space="0" w:color="auto"/>
      </w:divBdr>
    </w:div>
    <w:div w:id="1220827469">
      <w:bodyDiv w:val="1"/>
      <w:marLeft w:val="0"/>
      <w:marRight w:val="0"/>
      <w:marTop w:val="0"/>
      <w:marBottom w:val="0"/>
      <w:divBdr>
        <w:top w:val="none" w:sz="0" w:space="0" w:color="auto"/>
        <w:left w:val="none" w:sz="0" w:space="0" w:color="auto"/>
        <w:bottom w:val="none" w:sz="0" w:space="0" w:color="auto"/>
        <w:right w:val="none" w:sz="0" w:space="0" w:color="auto"/>
      </w:divBdr>
      <w:divsChild>
        <w:div w:id="1431240873">
          <w:marLeft w:val="0"/>
          <w:marRight w:val="0"/>
          <w:marTop w:val="0"/>
          <w:marBottom w:val="0"/>
          <w:divBdr>
            <w:top w:val="none" w:sz="0" w:space="0" w:color="auto"/>
            <w:left w:val="none" w:sz="0" w:space="0" w:color="auto"/>
            <w:bottom w:val="none" w:sz="0" w:space="0" w:color="auto"/>
            <w:right w:val="none" w:sz="0" w:space="0" w:color="auto"/>
          </w:divBdr>
        </w:div>
      </w:divsChild>
    </w:div>
    <w:div w:id="1367951125">
      <w:bodyDiv w:val="1"/>
      <w:marLeft w:val="0"/>
      <w:marRight w:val="0"/>
      <w:marTop w:val="0"/>
      <w:marBottom w:val="0"/>
      <w:divBdr>
        <w:top w:val="none" w:sz="0" w:space="0" w:color="auto"/>
        <w:left w:val="none" w:sz="0" w:space="0" w:color="auto"/>
        <w:bottom w:val="none" w:sz="0" w:space="0" w:color="auto"/>
        <w:right w:val="none" w:sz="0" w:space="0" w:color="auto"/>
      </w:divBdr>
    </w:div>
    <w:div w:id="1510676977">
      <w:bodyDiv w:val="1"/>
      <w:marLeft w:val="0"/>
      <w:marRight w:val="0"/>
      <w:marTop w:val="0"/>
      <w:marBottom w:val="0"/>
      <w:divBdr>
        <w:top w:val="none" w:sz="0" w:space="0" w:color="auto"/>
        <w:left w:val="none" w:sz="0" w:space="0" w:color="auto"/>
        <w:bottom w:val="none" w:sz="0" w:space="0" w:color="auto"/>
        <w:right w:val="none" w:sz="0" w:space="0" w:color="auto"/>
      </w:divBdr>
    </w:div>
    <w:div w:id="1519541152">
      <w:bodyDiv w:val="1"/>
      <w:marLeft w:val="0"/>
      <w:marRight w:val="0"/>
      <w:marTop w:val="0"/>
      <w:marBottom w:val="0"/>
      <w:divBdr>
        <w:top w:val="none" w:sz="0" w:space="0" w:color="auto"/>
        <w:left w:val="none" w:sz="0" w:space="0" w:color="auto"/>
        <w:bottom w:val="none" w:sz="0" w:space="0" w:color="auto"/>
        <w:right w:val="none" w:sz="0" w:space="0" w:color="auto"/>
      </w:divBdr>
    </w:div>
    <w:div w:id="1565796183">
      <w:bodyDiv w:val="1"/>
      <w:marLeft w:val="0"/>
      <w:marRight w:val="0"/>
      <w:marTop w:val="0"/>
      <w:marBottom w:val="0"/>
      <w:divBdr>
        <w:top w:val="none" w:sz="0" w:space="0" w:color="auto"/>
        <w:left w:val="none" w:sz="0" w:space="0" w:color="auto"/>
        <w:bottom w:val="none" w:sz="0" w:space="0" w:color="auto"/>
        <w:right w:val="none" w:sz="0" w:space="0" w:color="auto"/>
      </w:divBdr>
    </w:div>
    <w:div w:id="1595238532">
      <w:bodyDiv w:val="1"/>
      <w:marLeft w:val="0"/>
      <w:marRight w:val="0"/>
      <w:marTop w:val="0"/>
      <w:marBottom w:val="0"/>
      <w:divBdr>
        <w:top w:val="none" w:sz="0" w:space="0" w:color="auto"/>
        <w:left w:val="none" w:sz="0" w:space="0" w:color="auto"/>
        <w:bottom w:val="none" w:sz="0" w:space="0" w:color="auto"/>
        <w:right w:val="none" w:sz="0" w:space="0" w:color="auto"/>
      </w:divBdr>
    </w:div>
    <w:div w:id="1649552937">
      <w:bodyDiv w:val="1"/>
      <w:marLeft w:val="0"/>
      <w:marRight w:val="0"/>
      <w:marTop w:val="0"/>
      <w:marBottom w:val="0"/>
      <w:divBdr>
        <w:top w:val="none" w:sz="0" w:space="0" w:color="auto"/>
        <w:left w:val="none" w:sz="0" w:space="0" w:color="auto"/>
        <w:bottom w:val="none" w:sz="0" w:space="0" w:color="auto"/>
        <w:right w:val="none" w:sz="0" w:space="0" w:color="auto"/>
      </w:divBdr>
    </w:div>
    <w:div w:id="1654092872">
      <w:bodyDiv w:val="1"/>
      <w:marLeft w:val="0"/>
      <w:marRight w:val="0"/>
      <w:marTop w:val="0"/>
      <w:marBottom w:val="0"/>
      <w:divBdr>
        <w:top w:val="none" w:sz="0" w:space="0" w:color="auto"/>
        <w:left w:val="none" w:sz="0" w:space="0" w:color="auto"/>
        <w:bottom w:val="none" w:sz="0" w:space="0" w:color="auto"/>
        <w:right w:val="none" w:sz="0" w:space="0" w:color="auto"/>
      </w:divBdr>
    </w:div>
    <w:div w:id="1684480356">
      <w:bodyDiv w:val="1"/>
      <w:marLeft w:val="0"/>
      <w:marRight w:val="0"/>
      <w:marTop w:val="0"/>
      <w:marBottom w:val="0"/>
      <w:divBdr>
        <w:top w:val="none" w:sz="0" w:space="0" w:color="auto"/>
        <w:left w:val="none" w:sz="0" w:space="0" w:color="auto"/>
        <w:bottom w:val="none" w:sz="0" w:space="0" w:color="auto"/>
        <w:right w:val="none" w:sz="0" w:space="0" w:color="auto"/>
      </w:divBdr>
    </w:div>
    <w:div w:id="1721782080">
      <w:bodyDiv w:val="1"/>
      <w:marLeft w:val="0"/>
      <w:marRight w:val="0"/>
      <w:marTop w:val="0"/>
      <w:marBottom w:val="0"/>
      <w:divBdr>
        <w:top w:val="none" w:sz="0" w:space="0" w:color="auto"/>
        <w:left w:val="none" w:sz="0" w:space="0" w:color="auto"/>
        <w:bottom w:val="none" w:sz="0" w:space="0" w:color="auto"/>
        <w:right w:val="none" w:sz="0" w:space="0" w:color="auto"/>
      </w:divBdr>
    </w:div>
    <w:div w:id="1732652613">
      <w:bodyDiv w:val="1"/>
      <w:marLeft w:val="0"/>
      <w:marRight w:val="0"/>
      <w:marTop w:val="0"/>
      <w:marBottom w:val="0"/>
      <w:divBdr>
        <w:top w:val="none" w:sz="0" w:space="0" w:color="auto"/>
        <w:left w:val="none" w:sz="0" w:space="0" w:color="auto"/>
        <w:bottom w:val="none" w:sz="0" w:space="0" w:color="auto"/>
        <w:right w:val="none" w:sz="0" w:space="0" w:color="auto"/>
      </w:divBdr>
      <w:divsChild>
        <w:div w:id="573318936">
          <w:marLeft w:val="0"/>
          <w:marRight w:val="0"/>
          <w:marTop w:val="0"/>
          <w:marBottom w:val="0"/>
          <w:divBdr>
            <w:top w:val="none" w:sz="0" w:space="0" w:color="auto"/>
            <w:left w:val="none" w:sz="0" w:space="0" w:color="auto"/>
            <w:bottom w:val="none" w:sz="0" w:space="0" w:color="auto"/>
            <w:right w:val="none" w:sz="0" w:space="0" w:color="auto"/>
          </w:divBdr>
        </w:div>
      </w:divsChild>
    </w:div>
    <w:div w:id="1757172934">
      <w:bodyDiv w:val="1"/>
      <w:marLeft w:val="0"/>
      <w:marRight w:val="0"/>
      <w:marTop w:val="0"/>
      <w:marBottom w:val="0"/>
      <w:divBdr>
        <w:top w:val="none" w:sz="0" w:space="0" w:color="auto"/>
        <w:left w:val="none" w:sz="0" w:space="0" w:color="auto"/>
        <w:bottom w:val="none" w:sz="0" w:space="0" w:color="auto"/>
        <w:right w:val="none" w:sz="0" w:space="0" w:color="auto"/>
      </w:divBdr>
    </w:div>
    <w:div w:id="1776444404">
      <w:bodyDiv w:val="1"/>
      <w:marLeft w:val="0"/>
      <w:marRight w:val="0"/>
      <w:marTop w:val="0"/>
      <w:marBottom w:val="0"/>
      <w:divBdr>
        <w:top w:val="none" w:sz="0" w:space="0" w:color="auto"/>
        <w:left w:val="none" w:sz="0" w:space="0" w:color="auto"/>
        <w:bottom w:val="none" w:sz="0" w:space="0" w:color="auto"/>
        <w:right w:val="none" w:sz="0" w:space="0" w:color="auto"/>
      </w:divBdr>
    </w:div>
    <w:div w:id="1886060583">
      <w:bodyDiv w:val="1"/>
      <w:marLeft w:val="0"/>
      <w:marRight w:val="0"/>
      <w:marTop w:val="0"/>
      <w:marBottom w:val="0"/>
      <w:divBdr>
        <w:top w:val="none" w:sz="0" w:space="0" w:color="auto"/>
        <w:left w:val="none" w:sz="0" w:space="0" w:color="auto"/>
        <w:bottom w:val="none" w:sz="0" w:space="0" w:color="auto"/>
        <w:right w:val="none" w:sz="0" w:space="0" w:color="auto"/>
      </w:divBdr>
    </w:div>
    <w:div w:id="1897008516">
      <w:bodyDiv w:val="1"/>
      <w:marLeft w:val="0"/>
      <w:marRight w:val="0"/>
      <w:marTop w:val="0"/>
      <w:marBottom w:val="0"/>
      <w:divBdr>
        <w:top w:val="none" w:sz="0" w:space="0" w:color="auto"/>
        <w:left w:val="none" w:sz="0" w:space="0" w:color="auto"/>
        <w:bottom w:val="none" w:sz="0" w:space="0" w:color="auto"/>
        <w:right w:val="none" w:sz="0" w:space="0" w:color="auto"/>
      </w:divBdr>
    </w:div>
    <w:div w:id="1897083240">
      <w:bodyDiv w:val="1"/>
      <w:marLeft w:val="0"/>
      <w:marRight w:val="0"/>
      <w:marTop w:val="0"/>
      <w:marBottom w:val="0"/>
      <w:divBdr>
        <w:top w:val="none" w:sz="0" w:space="0" w:color="auto"/>
        <w:left w:val="none" w:sz="0" w:space="0" w:color="auto"/>
        <w:bottom w:val="none" w:sz="0" w:space="0" w:color="auto"/>
        <w:right w:val="none" w:sz="0" w:space="0" w:color="auto"/>
      </w:divBdr>
    </w:div>
    <w:div w:id="1904484710">
      <w:bodyDiv w:val="1"/>
      <w:marLeft w:val="0"/>
      <w:marRight w:val="0"/>
      <w:marTop w:val="0"/>
      <w:marBottom w:val="0"/>
      <w:divBdr>
        <w:top w:val="none" w:sz="0" w:space="0" w:color="auto"/>
        <w:left w:val="none" w:sz="0" w:space="0" w:color="auto"/>
        <w:bottom w:val="none" w:sz="0" w:space="0" w:color="auto"/>
        <w:right w:val="none" w:sz="0" w:space="0" w:color="auto"/>
      </w:divBdr>
    </w:div>
    <w:div w:id="1963875009">
      <w:bodyDiv w:val="1"/>
      <w:marLeft w:val="0"/>
      <w:marRight w:val="0"/>
      <w:marTop w:val="0"/>
      <w:marBottom w:val="0"/>
      <w:divBdr>
        <w:top w:val="none" w:sz="0" w:space="0" w:color="auto"/>
        <w:left w:val="none" w:sz="0" w:space="0" w:color="auto"/>
        <w:bottom w:val="none" w:sz="0" w:space="0" w:color="auto"/>
        <w:right w:val="none" w:sz="0" w:space="0" w:color="auto"/>
      </w:divBdr>
      <w:divsChild>
        <w:div w:id="1389039410">
          <w:marLeft w:val="0"/>
          <w:marRight w:val="0"/>
          <w:marTop w:val="0"/>
          <w:marBottom w:val="0"/>
          <w:divBdr>
            <w:top w:val="none" w:sz="0" w:space="0" w:color="auto"/>
            <w:left w:val="none" w:sz="0" w:space="0" w:color="auto"/>
            <w:bottom w:val="none" w:sz="0" w:space="0" w:color="auto"/>
            <w:right w:val="none" w:sz="0" w:space="0" w:color="auto"/>
          </w:divBdr>
        </w:div>
      </w:divsChild>
    </w:div>
    <w:div w:id="1993244446">
      <w:bodyDiv w:val="1"/>
      <w:marLeft w:val="0"/>
      <w:marRight w:val="0"/>
      <w:marTop w:val="0"/>
      <w:marBottom w:val="0"/>
      <w:divBdr>
        <w:top w:val="none" w:sz="0" w:space="0" w:color="auto"/>
        <w:left w:val="none" w:sz="0" w:space="0" w:color="auto"/>
        <w:bottom w:val="none" w:sz="0" w:space="0" w:color="auto"/>
        <w:right w:val="none" w:sz="0" w:space="0" w:color="auto"/>
      </w:divBdr>
    </w:div>
    <w:div w:id="1996883011">
      <w:bodyDiv w:val="1"/>
      <w:marLeft w:val="0"/>
      <w:marRight w:val="0"/>
      <w:marTop w:val="0"/>
      <w:marBottom w:val="0"/>
      <w:divBdr>
        <w:top w:val="none" w:sz="0" w:space="0" w:color="auto"/>
        <w:left w:val="none" w:sz="0" w:space="0" w:color="auto"/>
        <w:bottom w:val="none" w:sz="0" w:space="0" w:color="auto"/>
        <w:right w:val="none" w:sz="0" w:space="0" w:color="auto"/>
      </w:divBdr>
    </w:div>
    <w:div w:id="2012025965">
      <w:bodyDiv w:val="1"/>
      <w:marLeft w:val="0"/>
      <w:marRight w:val="0"/>
      <w:marTop w:val="0"/>
      <w:marBottom w:val="0"/>
      <w:divBdr>
        <w:top w:val="none" w:sz="0" w:space="0" w:color="auto"/>
        <w:left w:val="none" w:sz="0" w:space="0" w:color="auto"/>
        <w:bottom w:val="none" w:sz="0" w:space="0" w:color="auto"/>
        <w:right w:val="none" w:sz="0" w:space="0" w:color="auto"/>
      </w:divBdr>
    </w:div>
    <w:div w:id="2101830170">
      <w:bodyDiv w:val="1"/>
      <w:marLeft w:val="0"/>
      <w:marRight w:val="0"/>
      <w:marTop w:val="0"/>
      <w:marBottom w:val="0"/>
      <w:divBdr>
        <w:top w:val="none" w:sz="0" w:space="0" w:color="auto"/>
        <w:left w:val="none" w:sz="0" w:space="0" w:color="auto"/>
        <w:bottom w:val="none" w:sz="0" w:space="0" w:color="auto"/>
        <w:right w:val="none" w:sz="0" w:space="0" w:color="auto"/>
      </w:divBdr>
    </w:div>
    <w:div w:id="214410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i.ac.uk/e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file>

<file path=customXml/itemProps1.xml><?xml version="1.0" encoding="utf-8"?>
<ds:datastoreItem xmlns:ds="http://schemas.openxmlformats.org/officeDocument/2006/customXml" ds:itemID="{6AAAAA32-0705-4094-8BA7-17D1663DB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Azaz</dc:creator>
  <cp:lastModifiedBy>Sottile Virginie</cp:lastModifiedBy>
  <cp:revision>5</cp:revision>
  <dcterms:created xsi:type="dcterms:W3CDTF">2017-06-04T08:58:00Z</dcterms:created>
  <dcterms:modified xsi:type="dcterms:W3CDTF">2017-06-04T15:01:00Z</dcterms:modified>
</cp:coreProperties>
</file>