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3EA" w:rsidRPr="00C92462" w:rsidRDefault="00BE73EA" w:rsidP="009E7010">
      <w:pPr>
        <w:spacing w:after="120" w:line="360" w:lineRule="auto"/>
        <w:jc w:val="center"/>
        <w:rPr>
          <w:rFonts w:ascii="Arial" w:hAnsi="Arial" w:cs="Arial"/>
          <w:b/>
          <w:caps/>
        </w:rPr>
      </w:pPr>
      <w:bookmarkStart w:id="0" w:name="_GoBack"/>
      <w:r w:rsidRPr="00C92462">
        <w:rPr>
          <w:rFonts w:ascii="Arial" w:hAnsi="Arial" w:cs="Arial"/>
          <w:b/>
          <w:caps/>
        </w:rPr>
        <w:t>Supplementary Data</w:t>
      </w:r>
    </w:p>
    <w:p w:rsidR="00002E85" w:rsidRPr="00C92462" w:rsidRDefault="00002E85" w:rsidP="00002E85">
      <w:pPr>
        <w:widowControl w:val="0"/>
        <w:spacing w:after="120" w:line="240" w:lineRule="auto"/>
        <w:jc w:val="both"/>
        <w:rPr>
          <w:rFonts w:ascii="Arial" w:hAnsi="Arial" w:cs="Arial"/>
          <w:sz w:val="20"/>
          <w:szCs w:val="20"/>
          <w:vertAlign w:val="superscript"/>
          <w:lang w:eastAsia="de-CH"/>
        </w:rPr>
      </w:pPr>
      <w:r w:rsidRPr="00C92462">
        <w:rPr>
          <w:rFonts w:ascii="Arial" w:hAnsi="Arial" w:cs="Arial"/>
          <w:sz w:val="20"/>
          <w:szCs w:val="20"/>
          <w:lang w:eastAsia="de-CH"/>
        </w:rPr>
        <w:t>Stephanie Binas</w:t>
      </w:r>
      <w:r w:rsidRPr="00C92462">
        <w:rPr>
          <w:rFonts w:ascii="Arial" w:hAnsi="Arial" w:cs="Arial"/>
          <w:sz w:val="20"/>
          <w:szCs w:val="20"/>
          <w:vertAlign w:val="superscript"/>
          <w:lang w:eastAsia="de-CH"/>
        </w:rPr>
        <w:t>1§</w:t>
      </w:r>
      <w:r w:rsidRPr="00C92462">
        <w:rPr>
          <w:rFonts w:ascii="Arial" w:hAnsi="Arial" w:cs="Arial"/>
          <w:sz w:val="20"/>
          <w:szCs w:val="20"/>
          <w:lang w:eastAsia="de-CH"/>
        </w:rPr>
        <w:t>, Maria Knyrim</w:t>
      </w:r>
      <w:r w:rsidRPr="00C92462">
        <w:rPr>
          <w:rFonts w:ascii="Arial" w:hAnsi="Arial" w:cs="Arial"/>
          <w:sz w:val="20"/>
          <w:szCs w:val="20"/>
          <w:vertAlign w:val="superscript"/>
          <w:lang w:eastAsia="de-CH"/>
        </w:rPr>
        <w:t>1§</w:t>
      </w:r>
      <w:r w:rsidRPr="00C92462">
        <w:rPr>
          <w:rFonts w:ascii="Arial" w:hAnsi="Arial" w:cs="Arial"/>
          <w:sz w:val="20"/>
          <w:szCs w:val="20"/>
          <w:lang w:eastAsia="de-CH"/>
        </w:rPr>
        <w:t>, Julia Hupfeld</w:t>
      </w:r>
      <w:r w:rsidRPr="00C92462">
        <w:rPr>
          <w:rFonts w:ascii="Arial" w:hAnsi="Arial" w:cs="Arial"/>
          <w:sz w:val="20"/>
          <w:szCs w:val="20"/>
          <w:vertAlign w:val="superscript"/>
          <w:lang w:eastAsia="de-CH"/>
        </w:rPr>
        <w:t>1</w:t>
      </w:r>
      <w:r w:rsidRPr="00C92462">
        <w:rPr>
          <w:rFonts w:ascii="Arial" w:hAnsi="Arial" w:cs="Arial"/>
          <w:sz w:val="20"/>
          <w:szCs w:val="20"/>
          <w:lang w:eastAsia="de-CH"/>
        </w:rPr>
        <w:t>, Udo Kloeckner</w:t>
      </w:r>
      <w:r w:rsidRPr="00C92462">
        <w:rPr>
          <w:rFonts w:ascii="Arial" w:hAnsi="Arial" w:cs="Arial"/>
          <w:sz w:val="20"/>
          <w:szCs w:val="20"/>
          <w:vertAlign w:val="superscript"/>
          <w:lang w:eastAsia="de-CH"/>
        </w:rPr>
        <w:t>1</w:t>
      </w:r>
      <w:r w:rsidRPr="00C92462">
        <w:rPr>
          <w:rFonts w:ascii="Arial" w:hAnsi="Arial" w:cs="Arial"/>
          <w:sz w:val="20"/>
          <w:szCs w:val="20"/>
          <w:lang w:eastAsia="de-CH"/>
        </w:rPr>
        <w:t>, Sindy Rabe</w:t>
      </w:r>
      <w:r w:rsidRPr="00C92462">
        <w:rPr>
          <w:rFonts w:ascii="Arial" w:hAnsi="Arial" w:cs="Arial"/>
          <w:sz w:val="20"/>
          <w:szCs w:val="20"/>
          <w:vertAlign w:val="superscript"/>
          <w:lang w:eastAsia="de-CH"/>
        </w:rPr>
        <w:t>1</w:t>
      </w:r>
      <w:r w:rsidRPr="00C92462">
        <w:rPr>
          <w:rFonts w:ascii="Arial" w:hAnsi="Arial" w:cs="Arial"/>
          <w:sz w:val="20"/>
          <w:szCs w:val="20"/>
          <w:lang w:eastAsia="de-CH"/>
        </w:rPr>
        <w:t>, Sigrid Mildenberger</w:t>
      </w:r>
      <w:r w:rsidRPr="00C92462">
        <w:rPr>
          <w:rFonts w:ascii="Arial" w:hAnsi="Arial" w:cs="Arial"/>
          <w:sz w:val="20"/>
          <w:szCs w:val="20"/>
          <w:vertAlign w:val="superscript"/>
          <w:lang w:eastAsia="de-CH"/>
        </w:rPr>
        <w:t>1</w:t>
      </w:r>
      <w:r w:rsidRPr="00C92462">
        <w:rPr>
          <w:rFonts w:ascii="Arial" w:hAnsi="Arial" w:cs="Arial"/>
          <w:sz w:val="20"/>
          <w:szCs w:val="20"/>
          <w:lang w:eastAsia="de-CH"/>
        </w:rPr>
        <w:t>, Katja Quarch</w:t>
      </w:r>
      <w:r w:rsidRPr="00C92462">
        <w:rPr>
          <w:rFonts w:ascii="Arial" w:hAnsi="Arial" w:cs="Arial"/>
          <w:sz w:val="20"/>
          <w:szCs w:val="20"/>
          <w:vertAlign w:val="superscript"/>
          <w:lang w:eastAsia="de-CH"/>
        </w:rPr>
        <w:t>1</w:t>
      </w:r>
      <w:r w:rsidRPr="00C92462">
        <w:rPr>
          <w:rFonts w:ascii="Arial" w:hAnsi="Arial" w:cs="Arial"/>
          <w:sz w:val="20"/>
          <w:szCs w:val="20"/>
          <w:lang w:eastAsia="de-CH"/>
        </w:rPr>
        <w:t>, Nicole Strätz</w:t>
      </w:r>
      <w:r w:rsidRPr="00C92462">
        <w:rPr>
          <w:rFonts w:ascii="Arial" w:hAnsi="Arial" w:cs="Arial"/>
          <w:sz w:val="20"/>
          <w:szCs w:val="20"/>
          <w:vertAlign w:val="superscript"/>
          <w:lang w:eastAsia="de-CH"/>
        </w:rPr>
        <w:t>1</w:t>
      </w:r>
      <w:r w:rsidRPr="00C92462">
        <w:rPr>
          <w:rFonts w:ascii="Arial" w:hAnsi="Arial" w:cs="Arial"/>
          <w:sz w:val="20"/>
          <w:szCs w:val="20"/>
          <w:lang w:eastAsia="de-CH"/>
        </w:rPr>
        <w:t>, Danny Misiak</w:t>
      </w:r>
      <w:r w:rsidRPr="00C92462">
        <w:rPr>
          <w:rFonts w:ascii="Arial" w:hAnsi="Arial" w:cs="Arial"/>
          <w:sz w:val="20"/>
          <w:szCs w:val="20"/>
          <w:vertAlign w:val="superscript"/>
          <w:lang w:eastAsia="de-CH"/>
        </w:rPr>
        <w:t>2</w:t>
      </w:r>
      <w:r w:rsidRPr="00C92462">
        <w:rPr>
          <w:rFonts w:ascii="Arial" w:hAnsi="Arial" w:cs="Arial"/>
          <w:sz w:val="20"/>
          <w:szCs w:val="20"/>
          <w:lang w:eastAsia="de-CH"/>
        </w:rPr>
        <w:t>, Michael Gekle</w:t>
      </w:r>
      <w:r w:rsidRPr="00C92462">
        <w:rPr>
          <w:rFonts w:ascii="Arial" w:hAnsi="Arial" w:cs="Arial"/>
          <w:sz w:val="20"/>
          <w:szCs w:val="20"/>
          <w:vertAlign w:val="superscript"/>
          <w:lang w:eastAsia="de-CH"/>
        </w:rPr>
        <w:t>1#</w:t>
      </w:r>
      <w:r w:rsidRPr="00C92462">
        <w:rPr>
          <w:rFonts w:ascii="Arial" w:hAnsi="Arial" w:cs="Arial"/>
          <w:sz w:val="20"/>
          <w:szCs w:val="20"/>
          <w:lang w:eastAsia="de-CH"/>
        </w:rPr>
        <w:t>, Claudia Grossmann</w:t>
      </w:r>
      <w:r w:rsidRPr="00C92462">
        <w:rPr>
          <w:rFonts w:ascii="Arial" w:hAnsi="Arial" w:cs="Arial"/>
          <w:sz w:val="20"/>
          <w:szCs w:val="20"/>
          <w:vertAlign w:val="superscript"/>
          <w:lang w:eastAsia="de-CH"/>
        </w:rPr>
        <w:t>1#</w:t>
      </w:r>
      <w:r w:rsidRPr="00C92462">
        <w:rPr>
          <w:rFonts w:ascii="Arial" w:hAnsi="Arial" w:cs="Arial"/>
          <w:sz w:val="20"/>
          <w:szCs w:val="20"/>
          <w:lang w:eastAsia="de-CH"/>
        </w:rPr>
        <w:t>, Barbara Schreier</w:t>
      </w:r>
      <w:r w:rsidRPr="00C92462">
        <w:rPr>
          <w:rFonts w:ascii="Arial" w:hAnsi="Arial" w:cs="Arial"/>
          <w:sz w:val="20"/>
          <w:szCs w:val="20"/>
          <w:vertAlign w:val="superscript"/>
          <w:lang w:eastAsia="de-CH"/>
        </w:rPr>
        <w:t>1#*</w:t>
      </w:r>
    </w:p>
    <w:p w:rsidR="00002E85" w:rsidRPr="00C92462" w:rsidRDefault="00002E85" w:rsidP="00002E85">
      <w:pPr>
        <w:widowControl w:val="0"/>
        <w:spacing w:after="120" w:line="240" w:lineRule="auto"/>
        <w:jc w:val="both"/>
        <w:rPr>
          <w:rFonts w:ascii="Arial" w:hAnsi="Arial" w:cs="Arial"/>
          <w:sz w:val="20"/>
          <w:szCs w:val="20"/>
          <w:lang w:eastAsia="de-CH"/>
        </w:rPr>
      </w:pPr>
    </w:p>
    <w:p w:rsidR="00002E85" w:rsidRPr="00C92462" w:rsidRDefault="00002E85" w:rsidP="00002E85">
      <w:pPr>
        <w:widowControl w:val="0"/>
        <w:numPr>
          <w:ilvl w:val="1"/>
          <w:numId w:val="0"/>
        </w:numPr>
        <w:spacing w:after="120" w:line="240" w:lineRule="auto"/>
        <w:ind w:left="576" w:hanging="576"/>
        <w:jc w:val="center"/>
        <w:outlineLvl w:val="1"/>
        <w:rPr>
          <w:rFonts w:ascii="Arial" w:eastAsia="Times New Roman" w:hAnsi="Arial" w:cs="Arial"/>
          <w:b/>
          <w:bCs/>
          <w:iCs/>
          <w:sz w:val="20"/>
          <w:szCs w:val="20"/>
          <w:lang w:eastAsia="de-CH"/>
        </w:rPr>
      </w:pPr>
      <w:r w:rsidRPr="00C92462">
        <w:rPr>
          <w:rFonts w:ascii="Arial" w:eastAsia="Times New Roman" w:hAnsi="Arial" w:cs="Arial"/>
          <w:b/>
          <w:bCs/>
          <w:iCs/>
          <w:sz w:val="20"/>
          <w:szCs w:val="20"/>
          <w:lang w:eastAsia="de-CH"/>
        </w:rPr>
        <w:t>MIR-221 AND -222 TARGET CACNA1C AND KCNJ5 LEADING TO ALTERED CARDIAC ION CHANNEL EXPRESSION AND CURRENT DENSITY</w:t>
      </w:r>
    </w:p>
    <w:p w:rsidR="00002E85" w:rsidRPr="00C92462" w:rsidRDefault="00002E85" w:rsidP="00002E85">
      <w:pPr>
        <w:widowControl w:val="0"/>
        <w:numPr>
          <w:ilvl w:val="1"/>
          <w:numId w:val="0"/>
        </w:numPr>
        <w:spacing w:after="120" w:line="240" w:lineRule="auto"/>
        <w:ind w:left="576" w:hanging="576"/>
        <w:jc w:val="both"/>
        <w:outlineLvl w:val="1"/>
        <w:rPr>
          <w:rFonts w:ascii="Arial" w:eastAsia="Times New Roman" w:hAnsi="Arial" w:cs="Arial"/>
          <w:b/>
          <w:bCs/>
          <w:iCs/>
          <w:sz w:val="20"/>
          <w:szCs w:val="20"/>
          <w:lang w:eastAsia="de-CH"/>
        </w:rPr>
      </w:pPr>
    </w:p>
    <w:p w:rsidR="00002E85" w:rsidRPr="00C92462" w:rsidRDefault="00002E85" w:rsidP="00002E85">
      <w:pPr>
        <w:widowControl w:val="0"/>
        <w:spacing w:after="120" w:line="240" w:lineRule="auto"/>
        <w:jc w:val="both"/>
        <w:rPr>
          <w:rFonts w:ascii="Arial" w:hAnsi="Arial" w:cs="Arial"/>
          <w:sz w:val="20"/>
          <w:szCs w:val="20"/>
          <w:lang w:eastAsia="de-CH"/>
        </w:rPr>
      </w:pP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vertAlign w:val="superscript"/>
          <w:lang w:eastAsia="de-CH"/>
        </w:rPr>
        <w:t>1</w:t>
      </w:r>
      <w:r w:rsidRPr="00C92462">
        <w:rPr>
          <w:rFonts w:ascii="Arial" w:hAnsi="Arial" w:cs="Arial"/>
          <w:sz w:val="20"/>
          <w:szCs w:val="20"/>
          <w:lang w:eastAsia="de-CH"/>
        </w:rPr>
        <w:t>Julius-Bernstein-Institute of Physiology, Martin Luther University Halle-Wittenberg, Magdeburger Str. 6, 06110 Halle/Saale, Germany,</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vertAlign w:val="superscript"/>
          <w:lang w:eastAsia="de-CH"/>
        </w:rPr>
        <w:t>2</w:t>
      </w:r>
      <w:r w:rsidRPr="00C92462">
        <w:rPr>
          <w:rFonts w:ascii="Arial" w:hAnsi="Arial" w:cs="Arial"/>
          <w:sz w:val="20"/>
          <w:szCs w:val="20"/>
          <w:lang w:eastAsia="de-CH"/>
        </w:rPr>
        <w:t>Institute of Molecular Medicine, Martin-Luther-University Halle-Wittenberg, Heinrich-Damerow-Str. 1, 06120 Halle/Saale, Germany</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 Stephanie Binas and Maria Knyrim contributed equally to this work.</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 Barbara Schreier, Claudia Grossmann &amp; Michael Gekle contributed equally to this work.</w:t>
      </w:r>
    </w:p>
    <w:p w:rsidR="00002E85" w:rsidRPr="00C92462" w:rsidRDefault="00002E85" w:rsidP="00002E85">
      <w:pPr>
        <w:widowControl w:val="0"/>
        <w:spacing w:after="120" w:line="240" w:lineRule="auto"/>
        <w:jc w:val="both"/>
        <w:rPr>
          <w:rFonts w:ascii="Arial" w:hAnsi="Arial" w:cs="Arial"/>
          <w:sz w:val="20"/>
          <w:szCs w:val="20"/>
          <w:lang w:eastAsia="de-CH"/>
        </w:rPr>
      </w:pPr>
    </w:p>
    <w:p w:rsidR="00002E85" w:rsidRPr="00C92462" w:rsidRDefault="00002E85" w:rsidP="00002E85">
      <w:pPr>
        <w:widowControl w:val="0"/>
        <w:spacing w:after="120" w:line="240" w:lineRule="auto"/>
        <w:jc w:val="both"/>
        <w:rPr>
          <w:rFonts w:ascii="Arial" w:hAnsi="Arial" w:cs="Arial"/>
          <w:sz w:val="20"/>
          <w:szCs w:val="20"/>
          <w:lang w:eastAsia="de-CH"/>
        </w:rPr>
      </w:pPr>
    </w:p>
    <w:p w:rsidR="00002E85" w:rsidRPr="00C92462" w:rsidRDefault="00002E85" w:rsidP="00002E85">
      <w:pPr>
        <w:widowControl w:val="0"/>
        <w:spacing w:after="120" w:line="240" w:lineRule="auto"/>
        <w:jc w:val="both"/>
        <w:rPr>
          <w:rFonts w:ascii="Arial" w:hAnsi="Arial" w:cs="Arial"/>
          <w:sz w:val="20"/>
          <w:szCs w:val="20"/>
          <w:lang w:eastAsia="de-CH"/>
        </w:rPr>
      </w:pP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Short Title: miR-221/222 and cardiac ion channels</w:t>
      </w:r>
    </w:p>
    <w:p w:rsidR="00002E85" w:rsidRPr="00C92462" w:rsidRDefault="00002E85" w:rsidP="00002E85">
      <w:pPr>
        <w:widowControl w:val="0"/>
        <w:spacing w:after="120" w:line="240" w:lineRule="auto"/>
        <w:jc w:val="both"/>
        <w:rPr>
          <w:rFonts w:ascii="Arial" w:hAnsi="Arial" w:cs="Arial"/>
          <w:sz w:val="20"/>
          <w:szCs w:val="20"/>
          <w:lang w:eastAsia="de-CH"/>
        </w:rPr>
      </w:pPr>
    </w:p>
    <w:p w:rsidR="00002E85" w:rsidRPr="00C92462" w:rsidRDefault="00002E85" w:rsidP="00002E85">
      <w:pPr>
        <w:widowControl w:val="0"/>
        <w:spacing w:after="120" w:line="240" w:lineRule="auto"/>
        <w:jc w:val="both"/>
        <w:rPr>
          <w:rFonts w:ascii="Arial" w:hAnsi="Arial" w:cs="Arial"/>
          <w:sz w:val="20"/>
          <w:szCs w:val="20"/>
          <w:lang w:eastAsia="de-CH"/>
        </w:rPr>
      </w:pP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*Corresponding Author</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Barbara Schreier</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Martin Luther University Halle-Wittenberg</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Julius-Bernstein-Institute of Physiology</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Magdeburger Str. 6</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06110 Halle/Saale</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Germany</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Tel: ++493455571886</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Fax:</w:t>
      </w:r>
      <w:r w:rsidRPr="00C92462">
        <w:rPr>
          <w:rFonts w:ascii="Arial" w:hAnsi="Arial" w:cs="Arial"/>
          <w:sz w:val="20"/>
          <w:szCs w:val="20"/>
        </w:rPr>
        <w:t xml:space="preserve"> </w:t>
      </w:r>
      <w:r w:rsidRPr="00C92462">
        <w:rPr>
          <w:rFonts w:ascii="Arial" w:hAnsi="Arial" w:cs="Arial"/>
          <w:sz w:val="20"/>
          <w:szCs w:val="20"/>
          <w:lang w:eastAsia="de-CH"/>
        </w:rPr>
        <w:t>++493455574019</w:t>
      </w:r>
    </w:p>
    <w:p w:rsidR="00002E85" w:rsidRPr="00C92462" w:rsidRDefault="00002E85" w:rsidP="00002E85">
      <w:pPr>
        <w:widowControl w:val="0"/>
        <w:spacing w:after="120" w:line="240" w:lineRule="auto"/>
        <w:jc w:val="both"/>
        <w:rPr>
          <w:rFonts w:ascii="Arial" w:hAnsi="Arial" w:cs="Arial"/>
          <w:sz w:val="20"/>
          <w:szCs w:val="20"/>
          <w:lang w:eastAsia="de-CH"/>
        </w:rPr>
      </w:pPr>
      <w:r w:rsidRPr="00C92462">
        <w:rPr>
          <w:rFonts w:ascii="Arial" w:hAnsi="Arial" w:cs="Arial"/>
          <w:sz w:val="20"/>
          <w:szCs w:val="20"/>
          <w:lang w:eastAsia="de-CH"/>
        </w:rPr>
        <w:t>E-mail:</w:t>
      </w:r>
      <w:r w:rsidRPr="00C92462">
        <w:rPr>
          <w:rFonts w:ascii="Arial" w:hAnsi="Arial" w:cs="Arial"/>
          <w:sz w:val="20"/>
          <w:szCs w:val="20"/>
        </w:rPr>
        <w:t xml:space="preserve"> </w:t>
      </w:r>
      <w:r w:rsidRPr="00C92462">
        <w:rPr>
          <w:rFonts w:ascii="Arial" w:hAnsi="Arial" w:cs="Arial"/>
          <w:sz w:val="20"/>
          <w:szCs w:val="20"/>
          <w:lang w:eastAsia="de-CH"/>
        </w:rPr>
        <w:t>barbara.schreier@medizin.uni-halle.de</w:t>
      </w:r>
    </w:p>
    <w:p w:rsidR="00002E85" w:rsidRPr="00C92462" w:rsidRDefault="00002E85" w:rsidP="00002E85">
      <w:pPr>
        <w:widowControl w:val="0"/>
        <w:spacing w:after="120" w:line="240" w:lineRule="auto"/>
        <w:jc w:val="both"/>
        <w:rPr>
          <w:rFonts w:ascii="Arial" w:hAnsi="Arial" w:cs="Arial"/>
          <w:sz w:val="20"/>
          <w:szCs w:val="20"/>
          <w:lang w:eastAsia="de-CH"/>
        </w:rPr>
      </w:pPr>
    </w:p>
    <w:p w:rsidR="00BE73EA" w:rsidRPr="00C92462" w:rsidRDefault="00BE73EA" w:rsidP="00721AFA">
      <w:pPr>
        <w:jc w:val="both"/>
        <w:rPr>
          <w:rFonts w:ascii="Arial" w:hAnsi="Arial" w:cs="Arial"/>
          <w:b/>
        </w:rPr>
        <w:sectPr w:rsidR="00BE73EA" w:rsidRPr="00C92462" w:rsidSect="00044CE8">
          <w:pgSz w:w="12240" w:h="15840"/>
          <w:pgMar w:top="1417" w:right="1417" w:bottom="1134" w:left="1417" w:header="720" w:footer="720" w:gutter="0"/>
          <w:cols w:space="720"/>
          <w:docGrid w:linePitch="360"/>
        </w:sectPr>
      </w:pPr>
    </w:p>
    <w:p w:rsidR="00BE73EA" w:rsidRPr="00C92462" w:rsidRDefault="00BE73EA" w:rsidP="00721AFA">
      <w:pPr>
        <w:spacing w:line="480" w:lineRule="auto"/>
        <w:jc w:val="both"/>
        <w:rPr>
          <w:rFonts w:ascii="Arial" w:hAnsi="Arial" w:cs="Arial"/>
        </w:rPr>
      </w:pPr>
      <w:r w:rsidRPr="00C92462">
        <w:rPr>
          <w:rFonts w:ascii="Arial" w:hAnsi="Arial" w:cs="Arial"/>
          <w:b/>
        </w:rPr>
        <w:lastRenderedPageBreak/>
        <w:t>Supplementary Table S1</w:t>
      </w:r>
      <w:r w:rsidRPr="00C92462">
        <w:rPr>
          <w:rFonts w:ascii="Arial" w:hAnsi="Arial" w:cs="Arial"/>
        </w:rPr>
        <w:t>: Primers used for qPCR.</w:t>
      </w:r>
    </w:p>
    <w:tbl>
      <w:tblPr>
        <w:tblW w:w="0" w:type="auto"/>
        <w:jc w:val="center"/>
        <w:tblInd w:w="-1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9"/>
        <w:gridCol w:w="1495"/>
        <w:gridCol w:w="1890"/>
        <w:gridCol w:w="3656"/>
        <w:gridCol w:w="3479"/>
        <w:gridCol w:w="1204"/>
        <w:gridCol w:w="1282"/>
      </w:tblGrid>
      <w:tr w:rsidR="00C92462" w:rsidRPr="00C92462" w:rsidTr="007F6233">
        <w:trPr>
          <w:trHeight w:val="694"/>
          <w:jc w:val="center"/>
        </w:trPr>
        <w:tc>
          <w:tcPr>
            <w:tcW w:w="1059" w:type="dxa"/>
            <w:tcBorders>
              <w:left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b/>
                <w:bCs/>
              </w:rPr>
            </w:pPr>
            <w:r w:rsidRPr="00C92462">
              <w:rPr>
                <w:rFonts w:ascii="Arial" w:hAnsi="Arial" w:cs="Arial"/>
                <w:b/>
                <w:bCs/>
              </w:rPr>
              <w:t>Gen</w:t>
            </w:r>
          </w:p>
        </w:tc>
        <w:tc>
          <w:tcPr>
            <w:tcW w:w="1495" w:type="dxa"/>
            <w:tcBorders>
              <w:left w:val="nil"/>
              <w:right w:val="nil"/>
            </w:tcBorders>
            <w:vAlign w:val="center"/>
          </w:tcPr>
          <w:p w:rsidR="00BE73EA" w:rsidRPr="00C92462" w:rsidRDefault="00BE73EA" w:rsidP="00986122">
            <w:pPr>
              <w:spacing w:after="0" w:line="240" w:lineRule="auto"/>
              <w:contextualSpacing/>
              <w:jc w:val="center"/>
              <w:rPr>
                <w:rFonts w:ascii="Arial" w:hAnsi="Arial" w:cs="Arial"/>
                <w:b/>
              </w:rPr>
            </w:pPr>
            <w:r w:rsidRPr="00C92462">
              <w:rPr>
                <w:rFonts w:ascii="Arial" w:hAnsi="Arial" w:cs="Arial"/>
                <w:b/>
              </w:rPr>
              <w:t>Protein</w:t>
            </w:r>
          </w:p>
        </w:tc>
        <w:tc>
          <w:tcPr>
            <w:tcW w:w="1890" w:type="dxa"/>
            <w:tcBorders>
              <w:left w:val="nil"/>
              <w:right w:val="nil"/>
            </w:tcBorders>
            <w:vAlign w:val="center"/>
          </w:tcPr>
          <w:p w:rsidR="00BE73EA" w:rsidRPr="00C92462" w:rsidRDefault="00BE73EA" w:rsidP="00986122">
            <w:pPr>
              <w:spacing w:after="0" w:line="240" w:lineRule="auto"/>
              <w:contextualSpacing/>
              <w:jc w:val="center"/>
              <w:rPr>
                <w:rFonts w:ascii="Arial" w:hAnsi="Arial" w:cs="Arial"/>
                <w:b/>
              </w:rPr>
            </w:pPr>
            <w:r w:rsidRPr="00C92462">
              <w:rPr>
                <w:rFonts w:ascii="Arial" w:hAnsi="Arial" w:cs="Arial"/>
                <w:b/>
              </w:rPr>
              <w:t>Ref. Seq.</w:t>
            </w:r>
          </w:p>
        </w:tc>
        <w:tc>
          <w:tcPr>
            <w:tcW w:w="3656" w:type="dxa"/>
            <w:tcBorders>
              <w:left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b/>
              </w:rPr>
            </w:pPr>
            <w:r w:rsidRPr="00C92462">
              <w:rPr>
                <w:rFonts w:ascii="Arial" w:hAnsi="Arial" w:cs="Arial"/>
                <w:b/>
              </w:rPr>
              <w:t>Sense Primer (5’-3’)</w:t>
            </w:r>
          </w:p>
        </w:tc>
        <w:tc>
          <w:tcPr>
            <w:tcW w:w="3479" w:type="dxa"/>
            <w:tcBorders>
              <w:left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b/>
              </w:rPr>
            </w:pPr>
            <w:r w:rsidRPr="00C92462">
              <w:rPr>
                <w:rFonts w:ascii="Arial" w:hAnsi="Arial" w:cs="Arial"/>
                <w:b/>
              </w:rPr>
              <w:t>Antisense Primer(5’-3’)</w:t>
            </w:r>
          </w:p>
        </w:tc>
        <w:tc>
          <w:tcPr>
            <w:tcW w:w="1204" w:type="dxa"/>
            <w:tcBorders>
              <w:left w:val="nil"/>
              <w:right w:val="nil"/>
            </w:tcBorders>
            <w:vAlign w:val="center"/>
          </w:tcPr>
          <w:p w:rsidR="00986122" w:rsidRPr="00C92462" w:rsidRDefault="00BE73EA" w:rsidP="00986122">
            <w:pPr>
              <w:spacing w:after="0" w:line="240" w:lineRule="auto"/>
              <w:contextualSpacing/>
              <w:jc w:val="center"/>
              <w:rPr>
                <w:rFonts w:ascii="Arial" w:hAnsi="Arial" w:cs="Arial"/>
                <w:b/>
              </w:rPr>
            </w:pPr>
            <w:r w:rsidRPr="00C92462">
              <w:rPr>
                <w:rFonts w:ascii="Arial" w:hAnsi="Arial" w:cs="Arial"/>
                <w:b/>
              </w:rPr>
              <w:t>Annealing Temp</w:t>
            </w:r>
          </w:p>
          <w:p w:rsidR="00BE73EA" w:rsidRPr="00C92462" w:rsidRDefault="00BE73EA" w:rsidP="00986122">
            <w:pPr>
              <w:spacing w:after="0" w:line="240" w:lineRule="auto"/>
              <w:contextualSpacing/>
              <w:jc w:val="center"/>
              <w:rPr>
                <w:rFonts w:ascii="Arial" w:hAnsi="Arial" w:cs="Arial"/>
                <w:b/>
              </w:rPr>
            </w:pPr>
            <w:r w:rsidRPr="00C92462">
              <w:rPr>
                <w:rFonts w:ascii="Arial" w:hAnsi="Arial" w:cs="Arial"/>
                <w:b/>
              </w:rPr>
              <w:t>[°C]</w:t>
            </w:r>
          </w:p>
        </w:tc>
        <w:tc>
          <w:tcPr>
            <w:tcW w:w="1282" w:type="dxa"/>
            <w:tcBorders>
              <w:left w:val="nil"/>
              <w:right w:val="nil"/>
            </w:tcBorders>
            <w:vAlign w:val="center"/>
          </w:tcPr>
          <w:p w:rsidR="00BE73EA" w:rsidRPr="00C92462" w:rsidRDefault="00BE73EA" w:rsidP="00986122">
            <w:pPr>
              <w:spacing w:after="0" w:line="240" w:lineRule="auto"/>
              <w:contextualSpacing/>
              <w:jc w:val="center"/>
              <w:rPr>
                <w:rFonts w:ascii="Arial" w:hAnsi="Arial" w:cs="Arial"/>
                <w:b/>
              </w:rPr>
            </w:pPr>
            <w:r w:rsidRPr="00C92462">
              <w:rPr>
                <w:rFonts w:ascii="Arial" w:hAnsi="Arial" w:cs="Arial"/>
                <w:b/>
              </w:rPr>
              <w:t>Product [bp]</w:t>
            </w:r>
          </w:p>
        </w:tc>
      </w:tr>
      <w:tr w:rsidR="00C92462" w:rsidRPr="00C92462" w:rsidTr="00986122">
        <w:trPr>
          <w:trHeight w:val="373"/>
          <w:jc w:val="center"/>
        </w:trPr>
        <w:tc>
          <w:tcPr>
            <w:tcW w:w="1059" w:type="dxa"/>
            <w:tcBorders>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bCs/>
              </w:rPr>
            </w:pPr>
            <w:r w:rsidRPr="00C92462">
              <w:rPr>
                <w:rFonts w:ascii="Arial" w:hAnsi="Arial" w:cs="Arial"/>
                <w:bCs/>
              </w:rPr>
              <w:t>18 S</w:t>
            </w:r>
          </w:p>
        </w:tc>
        <w:tc>
          <w:tcPr>
            <w:tcW w:w="1495" w:type="dxa"/>
            <w:tcBorders>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w:t>
            </w:r>
          </w:p>
        </w:tc>
        <w:tc>
          <w:tcPr>
            <w:tcW w:w="1890" w:type="dxa"/>
            <w:tcBorders>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NR_003278.3</w:t>
            </w:r>
          </w:p>
        </w:tc>
        <w:tc>
          <w:tcPr>
            <w:tcW w:w="3656" w:type="dxa"/>
            <w:tcBorders>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GTAACCCGTTGAACCCCATT</w:t>
            </w:r>
          </w:p>
        </w:tc>
        <w:tc>
          <w:tcPr>
            <w:tcW w:w="3479" w:type="dxa"/>
            <w:tcBorders>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CCATCCAATCGGTAGTAGCG</w:t>
            </w:r>
          </w:p>
        </w:tc>
        <w:tc>
          <w:tcPr>
            <w:tcW w:w="1204" w:type="dxa"/>
            <w:tcBorders>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62</w:t>
            </w:r>
          </w:p>
        </w:tc>
        <w:tc>
          <w:tcPr>
            <w:tcW w:w="1282" w:type="dxa"/>
            <w:tcBorders>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150</w:t>
            </w:r>
          </w:p>
        </w:tc>
      </w:tr>
      <w:tr w:rsidR="00C92462" w:rsidRPr="00C92462" w:rsidTr="00986122">
        <w:trPr>
          <w:trHeight w:val="634"/>
          <w:jc w:val="center"/>
        </w:trPr>
        <w:tc>
          <w:tcPr>
            <w:tcW w:w="105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bCs/>
              </w:rPr>
            </w:pPr>
            <w:r w:rsidRPr="00C92462">
              <w:rPr>
                <w:rFonts w:ascii="Arial" w:hAnsi="Arial" w:cs="Arial"/>
                <w:bCs/>
              </w:rPr>
              <w:t>Gapdh</w:t>
            </w:r>
          </w:p>
        </w:tc>
        <w:tc>
          <w:tcPr>
            <w:tcW w:w="1495"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bCs/>
              </w:rPr>
            </w:pPr>
            <w:r w:rsidRPr="00C92462">
              <w:rPr>
                <w:rFonts w:ascii="Arial" w:hAnsi="Arial" w:cs="Arial"/>
                <w:bCs/>
              </w:rPr>
              <w:t>GAPDH</w:t>
            </w:r>
          </w:p>
        </w:tc>
        <w:tc>
          <w:tcPr>
            <w:tcW w:w="1890"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NM_002046.4</w:t>
            </w:r>
          </w:p>
        </w:tc>
        <w:tc>
          <w:tcPr>
            <w:tcW w:w="3656"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AAGGTGAAGGTCGGAGTCAA</w:t>
            </w:r>
          </w:p>
        </w:tc>
        <w:tc>
          <w:tcPr>
            <w:tcW w:w="347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AATGAAGGGGTCATTGATGG</w:t>
            </w:r>
          </w:p>
        </w:tc>
        <w:tc>
          <w:tcPr>
            <w:tcW w:w="1204"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60</w:t>
            </w:r>
          </w:p>
        </w:tc>
        <w:tc>
          <w:tcPr>
            <w:tcW w:w="1282"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107</w:t>
            </w:r>
          </w:p>
        </w:tc>
      </w:tr>
      <w:tr w:rsidR="00C92462" w:rsidRPr="00C92462" w:rsidTr="00986122">
        <w:trPr>
          <w:trHeight w:val="634"/>
          <w:jc w:val="center"/>
        </w:trPr>
        <w:tc>
          <w:tcPr>
            <w:tcW w:w="105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bCs/>
              </w:rPr>
            </w:pPr>
            <w:r w:rsidRPr="00C92462">
              <w:rPr>
                <w:rFonts w:ascii="Arial" w:hAnsi="Arial" w:cs="Arial"/>
                <w:bCs/>
              </w:rPr>
              <w:t>Cdkn1B</w:t>
            </w:r>
          </w:p>
        </w:tc>
        <w:tc>
          <w:tcPr>
            <w:tcW w:w="1495"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vertAlign w:val="superscript"/>
              </w:rPr>
            </w:pPr>
            <w:r w:rsidRPr="00C92462">
              <w:rPr>
                <w:rFonts w:ascii="Arial" w:hAnsi="Arial" w:cs="Arial"/>
                <w:bCs/>
              </w:rPr>
              <w:t>Cyclin-dependent kinase inhibitor 1B</w:t>
            </w:r>
          </w:p>
        </w:tc>
        <w:tc>
          <w:tcPr>
            <w:tcW w:w="1890"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NM_009875</w:t>
            </w:r>
          </w:p>
        </w:tc>
        <w:tc>
          <w:tcPr>
            <w:tcW w:w="3656"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GCGGTGCCTTTAATTGGGTC</w:t>
            </w:r>
          </w:p>
        </w:tc>
        <w:tc>
          <w:tcPr>
            <w:tcW w:w="347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GTTCGGGGAACCGTCTGAAA</w:t>
            </w:r>
          </w:p>
        </w:tc>
        <w:tc>
          <w:tcPr>
            <w:tcW w:w="1204"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57</w:t>
            </w:r>
          </w:p>
        </w:tc>
        <w:tc>
          <w:tcPr>
            <w:tcW w:w="1282"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198</w:t>
            </w:r>
          </w:p>
        </w:tc>
      </w:tr>
      <w:tr w:rsidR="00C92462" w:rsidRPr="00C92462" w:rsidTr="00986122">
        <w:trPr>
          <w:trHeight w:val="694"/>
          <w:jc w:val="center"/>
        </w:trPr>
        <w:tc>
          <w:tcPr>
            <w:tcW w:w="105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bCs/>
              </w:rPr>
            </w:pPr>
            <w:r w:rsidRPr="00C92462">
              <w:rPr>
                <w:rFonts w:ascii="Arial" w:hAnsi="Arial" w:cs="Arial"/>
                <w:bCs/>
              </w:rPr>
              <w:t>EGFR</w:t>
            </w:r>
          </w:p>
        </w:tc>
        <w:tc>
          <w:tcPr>
            <w:tcW w:w="1495"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epidermal growth factor receptor</w:t>
            </w:r>
          </w:p>
        </w:tc>
        <w:tc>
          <w:tcPr>
            <w:tcW w:w="1890" w:type="dxa"/>
            <w:tcBorders>
              <w:top w:val="nil"/>
              <w:left w:val="nil"/>
              <w:bottom w:val="nil"/>
              <w:right w:val="nil"/>
            </w:tcBorders>
            <w:vAlign w:val="center"/>
          </w:tcPr>
          <w:p w:rsidR="00BE73EA" w:rsidRPr="00C92462" w:rsidRDefault="00BE73EA" w:rsidP="009861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Arial" w:hAnsi="Arial" w:cs="Arial"/>
              </w:rPr>
            </w:pPr>
            <w:r w:rsidRPr="00C92462">
              <w:rPr>
                <w:rFonts w:ascii="Arial" w:hAnsi="Arial" w:cs="Arial"/>
              </w:rPr>
              <w:t>NM_207655.2</w:t>
            </w:r>
          </w:p>
        </w:tc>
        <w:tc>
          <w:tcPr>
            <w:tcW w:w="3656"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GACCTTCACATCCTGCCAGT</w:t>
            </w:r>
          </w:p>
        </w:tc>
        <w:tc>
          <w:tcPr>
            <w:tcW w:w="347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GCATGGAGGTCAGTCCAGTT</w:t>
            </w:r>
          </w:p>
        </w:tc>
        <w:tc>
          <w:tcPr>
            <w:tcW w:w="1204"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63</w:t>
            </w:r>
          </w:p>
        </w:tc>
        <w:tc>
          <w:tcPr>
            <w:tcW w:w="1282"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155</w:t>
            </w:r>
          </w:p>
        </w:tc>
      </w:tr>
      <w:tr w:rsidR="00C92462" w:rsidRPr="00C92462" w:rsidTr="00986122">
        <w:trPr>
          <w:trHeight w:val="694"/>
          <w:jc w:val="center"/>
        </w:trPr>
        <w:tc>
          <w:tcPr>
            <w:tcW w:w="105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bCs/>
              </w:rPr>
            </w:pPr>
            <w:r w:rsidRPr="00C92462">
              <w:rPr>
                <w:rFonts w:ascii="Arial" w:hAnsi="Arial" w:cs="Arial"/>
                <w:bCs/>
              </w:rPr>
              <w:t>Cacnb2</w:t>
            </w:r>
          </w:p>
        </w:tc>
        <w:tc>
          <w:tcPr>
            <w:tcW w:w="1495" w:type="dxa"/>
            <w:tcBorders>
              <w:top w:val="nil"/>
              <w:left w:val="nil"/>
              <w:bottom w:val="nil"/>
              <w:right w:val="nil"/>
            </w:tcBorders>
            <w:vAlign w:val="center"/>
          </w:tcPr>
          <w:p w:rsidR="00BE73EA" w:rsidRPr="00C92462" w:rsidRDefault="00BE73EA" w:rsidP="000E5269">
            <w:pPr>
              <w:spacing w:after="0" w:line="240" w:lineRule="auto"/>
              <w:contextualSpacing/>
              <w:jc w:val="center"/>
              <w:rPr>
                <w:rFonts w:ascii="Arial" w:hAnsi="Arial" w:cs="Arial"/>
              </w:rPr>
            </w:pPr>
            <w:r w:rsidRPr="00C92462">
              <w:rPr>
                <w:rFonts w:ascii="Arial" w:hAnsi="Arial" w:cs="Arial"/>
              </w:rPr>
              <w:t>L-</w:t>
            </w:r>
            <w:r w:rsidR="000A1382" w:rsidRPr="00C92462">
              <w:rPr>
                <w:rFonts w:ascii="Arial" w:hAnsi="Arial" w:cs="Arial"/>
              </w:rPr>
              <w:t>type</w:t>
            </w:r>
            <w:r w:rsidRPr="00C92462">
              <w:rPr>
                <w:rFonts w:ascii="Arial" w:hAnsi="Arial" w:cs="Arial"/>
              </w:rPr>
              <w:t xml:space="preserve"> Ca</w:t>
            </w:r>
            <w:r w:rsidRPr="00C92462">
              <w:rPr>
                <w:rFonts w:ascii="Arial" w:hAnsi="Arial" w:cs="Arial"/>
                <w:vertAlign w:val="superscript"/>
              </w:rPr>
              <w:t>2+</w:t>
            </w:r>
            <w:r w:rsidR="000E5269" w:rsidRPr="00C92462">
              <w:rPr>
                <w:rFonts w:ascii="Arial" w:hAnsi="Arial" w:cs="Arial"/>
                <w:vertAlign w:val="superscript"/>
              </w:rPr>
              <w:t xml:space="preserve"> </w:t>
            </w:r>
            <w:r w:rsidRPr="00C92462">
              <w:rPr>
                <w:rFonts w:ascii="Arial" w:hAnsi="Arial" w:cs="Arial"/>
              </w:rPr>
              <w:t>channel, subunit β2</w:t>
            </w:r>
          </w:p>
        </w:tc>
        <w:tc>
          <w:tcPr>
            <w:tcW w:w="1890" w:type="dxa"/>
            <w:tcBorders>
              <w:top w:val="nil"/>
              <w:left w:val="nil"/>
              <w:bottom w:val="nil"/>
              <w:right w:val="nil"/>
            </w:tcBorders>
            <w:vAlign w:val="center"/>
          </w:tcPr>
          <w:p w:rsidR="00BE73EA" w:rsidRPr="00C92462" w:rsidRDefault="00BE73EA" w:rsidP="00986122">
            <w:pPr>
              <w:spacing w:after="0" w:line="240" w:lineRule="auto"/>
              <w:jc w:val="center"/>
              <w:rPr>
                <w:rFonts w:ascii="Arial" w:hAnsi="Arial" w:cs="Arial"/>
              </w:rPr>
            </w:pPr>
            <w:r w:rsidRPr="00C92462">
              <w:rPr>
                <w:rFonts w:ascii="Arial" w:hAnsi="Arial" w:cs="Arial"/>
              </w:rPr>
              <w:t>NM_001252533.1</w:t>
            </w:r>
          </w:p>
        </w:tc>
        <w:tc>
          <w:tcPr>
            <w:tcW w:w="3656"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GCGAGGCAAAGCCACCTTTA</w:t>
            </w:r>
          </w:p>
        </w:tc>
        <w:tc>
          <w:tcPr>
            <w:tcW w:w="347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CTGTTCGTGCTGTAGCCTCA</w:t>
            </w:r>
          </w:p>
        </w:tc>
        <w:tc>
          <w:tcPr>
            <w:tcW w:w="1204"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60</w:t>
            </w:r>
          </w:p>
        </w:tc>
        <w:tc>
          <w:tcPr>
            <w:tcW w:w="1282"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492</w:t>
            </w:r>
          </w:p>
        </w:tc>
      </w:tr>
      <w:tr w:rsidR="00C92462" w:rsidRPr="00C92462" w:rsidTr="00986122">
        <w:trPr>
          <w:trHeight w:val="694"/>
          <w:jc w:val="center"/>
        </w:trPr>
        <w:tc>
          <w:tcPr>
            <w:tcW w:w="105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bCs/>
              </w:rPr>
            </w:pPr>
            <w:r w:rsidRPr="00C92462">
              <w:rPr>
                <w:rFonts w:ascii="Arial" w:hAnsi="Arial" w:cs="Arial"/>
                <w:bCs/>
              </w:rPr>
              <w:t>Cacna1c</w:t>
            </w:r>
          </w:p>
        </w:tc>
        <w:tc>
          <w:tcPr>
            <w:tcW w:w="1495" w:type="dxa"/>
            <w:tcBorders>
              <w:top w:val="nil"/>
              <w:left w:val="nil"/>
              <w:bottom w:val="nil"/>
              <w:right w:val="nil"/>
            </w:tcBorders>
            <w:vAlign w:val="center"/>
          </w:tcPr>
          <w:p w:rsidR="00BE73EA" w:rsidRPr="00C92462" w:rsidRDefault="00BE73EA" w:rsidP="000E5269">
            <w:pPr>
              <w:spacing w:after="0" w:line="240" w:lineRule="auto"/>
              <w:contextualSpacing/>
              <w:jc w:val="center"/>
              <w:rPr>
                <w:rFonts w:ascii="Arial" w:hAnsi="Arial" w:cs="Arial"/>
              </w:rPr>
            </w:pPr>
            <w:r w:rsidRPr="00C92462">
              <w:rPr>
                <w:rFonts w:ascii="Arial" w:hAnsi="Arial" w:cs="Arial"/>
              </w:rPr>
              <w:t>L-</w:t>
            </w:r>
            <w:r w:rsidR="000A1382" w:rsidRPr="00C92462">
              <w:rPr>
                <w:rFonts w:ascii="Arial" w:hAnsi="Arial" w:cs="Arial"/>
              </w:rPr>
              <w:t>type</w:t>
            </w:r>
            <w:r w:rsidRPr="00C92462">
              <w:rPr>
                <w:rFonts w:ascii="Arial" w:hAnsi="Arial" w:cs="Arial"/>
              </w:rPr>
              <w:t xml:space="preserve"> Ca</w:t>
            </w:r>
            <w:r w:rsidRPr="00C92462">
              <w:rPr>
                <w:rFonts w:ascii="Arial" w:hAnsi="Arial" w:cs="Arial"/>
                <w:vertAlign w:val="superscript"/>
              </w:rPr>
              <w:t>2+</w:t>
            </w:r>
            <w:r w:rsidR="000E5269" w:rsidRPr="00C92462">
              <w:rPr>
                <w:rFonts w:ascii="Arial" w:hAnsi="Arial" w:cs="Arial"/>
                <w:vertAlign w:val="superscript"/>
              </w:rPr>
              <w:t xml:space="preserve"> </w:t>
            </w:r>
            <w:r w:rsidRPr="00C92462">
              <w:rPr>
                <w:rFonts w:ascii="Arial" w:hAnsi="Arial" w:cs="Arial"/>
              </w:rPr>
              <w:t>channel, subunit α1</w:t>
            </w:r>
          </w:p>
        </w:tc>
        <w:tc>
          <w:tcPr>
            <w:tcW w:w="1890" w:type="dxa"/>
            <w:tcBorders>
              <w:top w:val="nil"/>
              <w:left w:val="nil"/>
              <w:bottom w:val="nil"/>
              <w:right w:val="nil"/>
            </w:tcBorders>
            <w:vAlign w:val="center"/>
          </w:tcPr>
          <w:p w:rsidR="00BE73EA" w:rsidRPr="00C92462" w:rsidRDefault="00BE73EA" w:rsidP="00986122">
            <w:pPr>
              <w:spacing w:after="0" w:line="240" w:lineRule="auto"/>
              <w:jc w:val="center"/>
              <w:rPr>
                <w:rFonts w:ascii="Arial" w:hAnsi="Arial" w:cs="Arial"/>
              </w:rPr>
            </w:pPr>
            <w:r w:rsidRPr="00C92462">
              <w:rPr>
                <w:rFonts w:ascii="Arial" w:hAnsi="Arial" w:cs="Arial"/>
              </w:rPr>
              <w:t>NM_009781.4</w:t>
            </w:r>
          </w:p>
        </w:tc>
        <w:tc>
          <w:tcPr>
            <w:tcW w:w="3656"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CCTGCTGGTGGTTAGCGTG</w:t>
            </w:r>
          </w:p>
        </w:tc>
        <w:tc>
          <w:tcPr>
            <w:tcW w:w="347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TCTGCCTCCGTCTGTTTAGAA</w:t>
            </w:r>
          </w:p>
        </w:tc>
        <w:tc>
          <w:tcPr>
            <w:tcW w:w="1204"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60</w:t>
            </w:r>
          </w:p>
        </w:tc>
        <w:tc>
          <w:tcPr>
            <w:tcW w:w="1282"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285</w:t>
            </w:r>
          </w:p>
        </w:tc>
      </w:tr>
      <w:tr w:rsidR="00C92462" w:rsidRPr="00C92462" w:rsidTr="00986122">
        <w:trPr>
          <w:trHeight w:val="694"/>
          <w:jc w:val="center"/>
        </w:trPr>
        <w:tc>
          <w:tcPr>
            <w:tcW w:w="105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bCs/>
              </w:rPr>
            </w:pPr>
            <w:r w:rsidRPr="00C92462">
              <w:rPr>
                <w:rFonts w:ascii="Arial" w:hAnsi="Arial" w:cs="Arial"/>
                <w:bCs/>
              </w:rPr>
              <w:t>Cacna2d1</w:t>
            </w:r>
          </w:p>
        </w:tc>
        <w:tc>
          <w:tcPr>
            <w:tcW w:w="1495" w:type="dxa"/>
            <w:tcBorders>
              <w:top w:val="nil"/>
              <w:left w:val="nil"/>
              <w:bottom w:val="nil"/>
              <w:right w:val="nil"/>
            </w:tcBorders>
            <w:vAlign w:val="center"/>
          </w:tcPr>
          <w:p w:rsidR="00BE73EA" w:rsidRPr="00C92462" w:rsidRDefault="00BE73EA" w:rsidP="000E5269">
            <w:pPr>
              <w:spacing w:after="0" w:line="240" w:lineRule="auto"/>
              <w:contextualSpacing/>
              <w:jc w:val="center"/>
              <w:rPr>
                <w:rFonts w:ascii="Arial" w:hAnsi="Arial" w:cs="Arial"/>
              </w:rPr>
            </w:pPr>
            <w:r w:rsidRPr="00C92462">
              <w:rPr>
                <w:rFonts w:ascii="Arial" w:hAnsi="Arial" w:cs="Arial"/>
              </w:rPr>
              <w:t>L-</w:t>
            </w:r>
            <w:r w:rsidR="000A1382" w:rsidRPr="00C92462">
              <w:rPr>
                <w:rFonts w:ascii="Arial" w:hAnsi="Arial" w:cs="Arial"/>
              </w:rPr>
              <w:t>type</w:t>
            </w:r>
            <w:r w:rsidRPr="00C92462">
              <w:rPr>
                <w:rFonts w:ascii="Arial" w:hAnsi="Arial" w:cs="Arial"/>
              </w:rPr>
              <w:t xml:space="preserve"> Ca</w:t>
            </w:r>
            <w:r w:rsidRPr="00C92462">
              <w:rPr>
                <w:rFonts w:ascii="Arial" w:hAnsi="Arial" w:cs="Arial"/>
                <w:vertAlign w:val="superscript"/>
              </w:rPr>
              <w:t>2+</w:t>
            </w:r>
            <w:r w:rsidR="000E5269" w:rsidRPr="00C92462">
              <w:rPr>
                <w:rFonts w:ascii="Arial" w:hAnsi="Arial" w:cs="Arial"/>
                <w:vertAlign w:val="superscript"/>
              </w:rPr>
              <w:t xml:space="preserve"> </w:t>
            </w:r>
            <w:r w:rsidRPr="00C92462">
              <w:rPr>
                <w:rFonts w:ascii="Arial" w:hAnsi="Arial" w:cs="Arial"/>
              </w:rPr>
              <w:t>channel, subunit 2Δ1</w:t>
            </w:r>
          </w:p>
        </w:tc>
        <w:tc>
          <w:tcPr>
            <w:tcW w:w="1890"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NM_001110843.1</w:t>
            </w:r>
          </w:p>
        </w:tc>
        <w:tc>
          <w:tcPr>
            <w:tcW w:w="3656"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GGCCAGATATTCAGAAACCCTGA</w:t>
            </w:r>
          </w:p>
        </w:tc>
        <w:tc>
          <w:tcPr>
            <w:tcW w:w="3479" w:type="dxa"/>
            <w:tcBorders>
              <w:top w:val="nil"/>
              <w:left w:val="nil"/>
              <w:bottom w:val="nil"/>
              <w:right w:val="nil"/>
            </w:tcBorders>
            <w:shd w:val="clear" w:color="auto" w:fill="auto"/>
            <w:noWrap/>
            <w:tcMar>
              <w:left w:w="28" w:type="dxa"/>
              <w:right w:w="28" w:type="dxa"/>
            </w:tcMar>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TCTCCGGCCTCTTTGGGATA</w:t>
            </w:r>
          </w:p>
        </w:tc>
        <w:tc>
          <w:tcPr>
            <w:tcW w:w="1204"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63</w:t>
            </w:r>
          </w:p>
        </w:tc>
        <w:tc>
          <w:tcPr>
            <w:tcW w:w="1282" w:type="dxa"/>
            <w:tcBorders>
              <w:top w:val="nil"/>
              <w:left w:val="nil"/>
              <w:bottom w:val="nil"/>
              <w:right w:val="nil"/>
            </w:tcBorders>
            <w:vAlign w:val="center"/>
          </w:tcPr>
          <w:p w:rsidR="00BE73EA" w:rsidRPr="00C92462" w:rsidRDefault="00BE73EA" w:rsidP="00986122">
            <w:pPr>
              <w:spacing w:after="0" w:line="240" w:lineRule="auto"/>
              <w:contextualSpacing/>
              <w:jc w:val="center"/>
              <w:rPr>
                <w:rFonts w:ascii="Arial" w:hAnsi="Arial" w:cs="Arial"/>
              </w:rPr>
            </w:pPr>
            <w:r w:rsidRPr="00C92462">
              <w:rPr>
                <w:rFonts w:ascii="Arial" w:hAnsi="Arial" w:cs="Arial"/>
              </w:rPr>
              <w:t>327</w:t>
            </w:r>
          </w:p>
        </w:tc>
      </w:tr>
      <w:tr w:rsidR="00C92462" w:rsidRPr="00C92462" w:rsidTr="00986122">
        <w:trPr>
          <w:trHeight w:val="694"/>
          <w:jc w:val="center"/>
        </w:trPr>
        <w:tc>
          <w:tcPr>
            <w:tcW w:w="1059" w:type="dxa"/>
            <w:tcBorders>
              <w:top w:val="nil"/>
              <w:left w:val="nil"/>
              <w:bottom w:val="nil"/>
              <w:right w:val="nil"/>
            </w:tcBorders>
            <w:shd w:val="clear" w:color="auto" w:fill="auto"/>
            <w:noWrap/>
            <w:tcMar>
              <w:left w:w="28" w:type="dxa"/>
              <w:right w:w="28" w:type="dxa"/>
            </w:tcMar>
            <w:vAlign w:val="center"/>
          </w:tcPr>
          <w:p w:rsidR="00986122" w:rsidRPr="00C92462" w:rsidRDefault="00986122" w:rsidP="00986122">
            <w:pPr>
              <w:spacing w:after="0" w:line="240" w:lineRule="auto"/>
              <w:contextualSpacing/>
              <w:jc w:val="center"/>
              <w:rPr>
                <w:rFonts w:ascii="Arial" w:hAnsi="Arial" w:cs="Arial"/>
                <w:bCs/>
              </w:rPr>
            </w:pPr>
            <w:r w:rsidRPr="00C92462">
              <w:rPr>
                <w:rFonts w:ascii="Arial" w:hAnsi="Arial" w:cs="Arial"/>
                <w:bCs/>
              </w:rPr>
              <w:t>Kcnd2</w:t>
            </w:r>
          </w:p>
        </w:tc>
        <w:tc>
          <w:tcPr>
            <w:tcW w:w="1495" w:type="dxa"/>
            <w:tcBorders>
              <w:top w:val="nil"/>
              <w:left w:val="nil"/>
              <w:bottom w:val="nil"/>
              <w:right w:val="nil"/>
            </w:tcBorders>
            <w:vAlign w:val="center"/>
          </w:tcPr>
          <w:p w:rsidR="00986122" w:rsidRPr="00C92462" w:rsidRDefault="00986122" w:rsidP="00986122">
            <w:pPr>
              <w:spacing w:after="0" w:line="240" w:lineRule="auto"/>
              <w:contextualSpacing/>
              <w:jc w:val="center"/>
              <w:rPr>
                <w:rFonts w:ascii="Arial" w:hAnsi="Arial" w:cs="Arial"/>
              </w:rPr>
            </w:pPr>
            <w:r w:rsidRPr="00C92462">
              <w:rPr>
                <w:rFonts w:ascii="Arial" w:hAnsi="Arial" w:cs="Arial"/>
              </w:rPr>
              <w:t>Kv4.2</w:t>
            </w:r>
          </w:p>
        </w:tc>
        <w:tc>
          <w:tcPr>
            <w:tcW w:w="1890" w:type="dxa"/>
            <w:tcBorders>
              <w:top w:val="nil"/>
              <w:left w:val="nil"/>
              <w:bottom w:val="nil"/>
              <w:right w:val="nil"/>
            </w:tcBorders>
            <w:vAlign w:val="center"/>
          </w:tcPr>
          <w:p w:rsidR="00986122" w:rsidRPr="00C92462" w:rsidRDefault="00986122" w:rsidP="00986122">
            <w:pPr>
              <w:spacing w:after="0" w:line="240" w:lineRule="auto"/>
              <w:contextualSpacing/>
              <w:jc w:val="center"/>
              <w:rPr>
                <w:rFonts w:ascii="Arial" w:hAnsi="Arial" w:cs="Arial"/>
              </w:rPr>
            </w:pPr>
            <w:r w:rsidRPr="00C92462">
              <w:rPr>
                <w:rFonts w:ascii="Arial" w:hAnsi="Arial" w:cs="Arial"/>
              </w:rPr>
              <w:t>NM_012281.2</w:t>
            </w:r>
          </w:p>
        </w:tc>
        <w:tc>
          <w:tcPr>
            <w:tcW w:w="3656" w:type="dxa"/>
            <w:tcBorders>
              <w:top w:val="nil"/>
              <w:left w:val="nil"/>
              <w:bottom w:val="nil"/>
              <w:right w:val="nil"/>
            </w:tcBorders>
            <w:shd w:val="clear" w:color="auto" w:fill="auto"/>
            <w:noWrap/>
            <w:tcMar>
              <w:left w:w="28" w:type="dxa"/>
              <w:right w:w="28" w:type="dxa"/>
            </w:tcMar>
            <w:vAlign w:val="center"/>
          </w:tcPr>
          <w:p w:rsidR="00986122" w:rsidRPr="00C92462" w:rsidRDefault="00986122" w:rsidP="00986122">
            <w:pPr>
              <w:spacing w:after="0" w:line="240" w:lineRule="auto"/>
              <w:contextualSpacing/>
              <w:jc w:val="center"/>
              <w:rPr>
                <w:rFonts w:ascii="Arial" w:hAnsi="Arial" w:cs="Arial"/>
              </w:rPr>
            </w:pPr>
            <w:r w:rsidRPr="00C92462">
              <w:rPr>
                <w:rFonts w:ascii="Arial" w:hAnsi="Arial" w:cs="Arial"/>
              </w:rPr>
              <w:t>CACTCTCAAGGGCTGCGTAT</w:t>
            </w:r>
          </w:p>
        </w:tc>
        <w:tc>
          <w:tcPr>
            <w:tcW w:w="3479" w:type="dxa"/>
            <w:tcBorders>
              <w:top w:val="nil"/>
              <w:left w:val="nil"/>
              <w:bottom w:val="nil"/>
              <w:right w:val="nil"/>
            </w:tcBorders>
            <w:shd w:val="clear" w:color="auto" w:fill="auto"/>
            <w:noWrap/>
            <w:tcMar>
              <w:left w:w="28" w:type="dxa"/>
              <w:right w:w="28" w:type="dxa"/>
            </w:tcMar>
            <w:vAlign w:val="center"/>
          </w:tcPr>
          <w:p w:rsidR="00986122" w:rsidRPr="00C92462" w:rsidRDefault="00986122" w:rsidP="00986122">
            <w:pPr>
              <w:spacing w:after="0" w:line="240" w:lineRule="auto"/>
              <w:contextualSpacing/>
              <w:jc w:val="center"/>
              <w:rPr>
                <w:rFonts w:ascii="Arial" w:hAnsi="Arial" w:cs="Arial"/>
              </w:rPr>
            </w:pPr>
            <w:r w:rsidRPr="00C92462">
              <w:rPr>
                <w:rFonts w:ascii="Arial" w:hAnsi="Arial" w:cs="Arial"/>
              </w:rPr>
              <w:t>TCGTTTGTCTGCTCGTTGGT</w:t>
            </w:r>
          </w:p>
        </w:tc>
        <w:tc>
          <w:tcPr>
            <w:tcW w:w="1204" w:type="dxa"/>
            <w:tcBorders>
              <w:top w:val="nil"/>
              <w:left w:val="nil"/>
              <w:bottom w:val="nil"/>
              <w:right w:val="nil"/>
            </w:tcBorders>
            <w:vAlign w:val="center"/>
          </w:tcPr>
          <w:p w:rsidR="00986122" w:rsidRPr="00C92462" w:rsidRDefault="00986122" w:rsidP="00986122">
            <w:pPr>
              <w:spacing w:after="0" w:line="240" w:lineRule="auto"/>
              <w:contextualSpacing/>
              <w:jc w:val="center"/>
              <w:rPr>
                <w:rFonts w:ascii="Arial" w:hAnsi="Arial" w:cs="Arial"/>
              </w:rPr>
            </w:pPr>
            <w:r w:rsidRPr="00C92462">
              <w:rPr>
                <w:rFonts w:ascii="Arial" w:hAnsi="Arial" w:cs="Arial"/>
              </w:rPr>
              <w:t>60</w:t>
            </w:r>
          </w:p>
        </w:tc>
        <w:tc>
          <w:tcPr>
            <w:tcW w:w="1282" w:type="dxa"/>
            <w:tcBorders>
              <w:top w:val="nil"/>
              <w:left w:val="nil"/>
              <w:bottom w:val="nil"/>
              <w:right w:val="nil"/>
            </w:tcBorders>
            <w:vAlign w:val="center"/>
          </w:tcPr>
          <w:p w:rsidR="00986122" w:rsidRPr="00C92462" w:rsidRDefault="00986122" w:rsidP="00986122">
            <w:pPr>
              <w:spacing w:after="0" w:line="240" w:lineRule="auto"/>
              <w:contextualSpacing/>
              <w:jc w:val="center"/>
              <w:rPr>
                <w:rFonts w:ascii="Arial" w:hAnsi="Arial" w:cs="Arial"/>
              </w:rPr>
            </w:pPr>
            <w:r w:rsidRPr="00C92462">
              <w:rPr>
                <w:rFonts w:ascii="Arial" w:hAnsi="Arial" w:cs="Arial"/>
              </w:rPr>
              <w:t>351</w:t>
            </w:r>
          </w:p>
        </w:tc>
      </w:tr>
      <w:tr w:rsidR="00C92462" w:rsidRPr="00C92462" w:rsidTr="00986122">
        <w:trPr>
          <w:trHeight w:val="694"/>
          <w:jc w:val="center"/>
        </w:trPr>
        <w:tc>
          <w:tcPr>
            <w:tcW w:w="1059" w:type="dxa"/>
            <w:tcBorders>
              <w:top w:val="nil"/>
              <w:left w:val="nil"/>
              <w:right w:val="nil"/>
            </w:tcBorders>
            <w:shd w:val="clear" w:color="auto" w:fill="auto"/>
            <w:noWrap/>
            <w:tcMar>
              <w:left w:w="28" w:type="dxa"/>
              <w:right w:w="28" w:type="dxa"/>
            </w:tcMar>
            <w:vAlign w:val="center"/>
          </w:tcPr>
          <w:p w:rsidR="00DC7824" w:rsidRPr="00C92462" w:rsidRDefault="00DC7824" w:rsidP="00986122">
            <w:pPr>
              <w:spacing w:after="0" w:line="240" w:lineRule="auto"/>
              <w:contextualSpacing/>
              <w:jc w:val="center"/>
              <w:rPr>
                <w:rFonts w:ascii="Arial" w:hAnsi="Arial" w:cs="Arial"/>
                <w:bCs/>
              </w:rPr>
            </w:pPr>
            <w:r w:rsidRPr="00C92462">
              <w:rPr>
                <w:rFonts w:ascii="Arial" w:hAnsi="Arial" w:cs="Arial"/>
                <w:bCs/>
              </w:rPr>
              <w:t>Kcnj5</w:t>
            </w:r>
          </w:p>
        </w:tc>
        <w:tc>
          <w:tcPr>
            <w:tcW w:w="1495" w:type="dxa"/>
            <w:tcBorders>
              <w:top w:val="nil"/>
              <w:left w:val="nil"/>
              <w:right w:val="nil"/>
            </w:tcBorders>
            <w:vAlign w:val="center"/>
          </w:tcPr>
          <w:p w:rsidR="00DC7824" w:rsidRPr="00C92462" w:rsidRDefault="00DC7824" w:rsidP="00986122">
            <w:pPr>
              <w:spacing w:after="0" w:line="240" w:lineRule="auto"/>
              <w:contextualSpacing/>
              <w:jc w:val="center"/>
              <w:rPr>
                <w:rFonts w:ascii="Arial" w:hAnsi="Arial" w:cs="Arial"/>
              </w:rPr>
            </w:pPr>
            <w:r w:rsidRPr="00C92462">
              <w:rPr>
                <w:rFonts w:ascii="Arial" w:hAnsi="Arial" w:cs="Arial"/>
              </w:rPr>
              <w:t>GIRK4 (Kir3.4)</w:t>
            </w:r>
          </w:p>
        </w:tc>
        <w:tc>
          <w:tcPr>
            <w:tcW w:w="1890" w:type="dxa"/>
            <w:tcBorders>
              <w:top w:val="nil"/>
              <w:left w:val="nil"/>
              <w:right w:val="nil"/>
            </w:tcBorders>
            <w:vAlign w:val="center"/>
          </w:tcPr>
          <w:p w:rsidR="00DC7824" w:rsidRPr="00C92462" w:rsidRDefault="00DC7824" w:rsidP="00986122">
            <w:pPr>
              <w:jc w:val="center"/>
              <w:rPr>
                <w:rFonts w:ascii="Arial" w:hAnsi="Arial" w:cs="Arial"/>
              </w:rPr>
            </w:pPr>
            <w:r w:rsidRPr="00C92462">
              <w:rPr>
                <w:rFonts w:ascii="Arial" w:hAnsi="Arial" w:cs="Arial"/>
              </w:rPr>
              <w:t>NM_010605.4</w:t>
            </w:r>
          </w:p>
        </w:tc>
        <w:tc>
          <w:tcPr>
            <w:tcW w:w="3656" w:type="dxa"/>
            <w:tcBorders>
              <w:top w:val="nil"/>
              <w:left w:val="nil"/>
              <w:right w:val="nil"/>
            </w:tcBorders>
            <w:shd w:val="clear" w:color="auto" w:fill="auto"/>
            <w:noWrap/>
            <w:tcMar>
              <w:left w:w="28" w:type="dxa"/>
              <w:right w:w="28" w:type="dxa"/>
            </w:tcMar>
            <w:vAlign w:val="center"/>
          </w:tcPr>
          <w:p w:rsidR="00DC7824" w:rsidRPr="00C92462" w:rsidRDefault="00DC7824" w:rsidP="00986122">
            <w:pPr>
              <w:jc w:val="center"/>
              <w:rPr>
                <w:rFonts w:ascii="Arial" w:hAnsi="Arial" w:cs="Arial"/>
              </w:rPr>
            </w:pPr>
            <w:r w:rsidRPr="00C92462">
              <w:rPr>
                <w:rFonts w:ascii="Arial" w:hAnsi="Arial" w:cs="Arial"/>
              </w:rPr>
              <w:t>ATCTCCAGAAGTTAGCCCCAA</w:t>
            </w:r>
          </w:p>
        </w:tc>
        <w:tc>
          <w:tcPr>
            <w:tcW w:w="3479" w:type="dxa"/>
            <w:tcBorders>
              <w:top w:val="nil"/>
              <w:left w:val="nil"/>
              <w:right w:val="nil"/>
            </w:tcBorders>
            <w:shd w:val="clear" w:color="auto" w:fill="auto"/>
            <w:noWrap/>
            <w:tcMar>
              <w:left w:w="28" w:type="dxa"/>
              <w:right w:w="28" w:type="dxa"/>
            </w:tcMar>
            <w:vAlign w:val="center"/>
          </w:tcPr>
          <w:p w:rsidR="00DC7824" w:rsidRPr="00C92462" w:rsidRDefault="00DC7824" w:rsidP="00986122">
            <w:pPr>
              <w:jc w:val="center"/>
              <w:rPr>
                <w:rFonts w:ascii="Arial" w:hAnsi="Arial" w:cs="Arial"/>
              </w:rPr>
            </w:pPr>
            <w:r w:rsidRPr="00C92462">
              <w:rPr>
                <w:rFonts w:ascii="Arial" w:hAnsi="Arial" w:cs="Arial"/>
              </w:rPr>
              <w:t>CATGCTCCCAAGTACACCCT</w:t>
            </w:r>
          </w:p>
        </w:tc>
        <w:tc>
          <w:tcPr>
            <w:tcW w:w="1204" w:type="dxa"/>
            <w:tcBorders>
              <w:top w:val="nil"/>
              <w:left w:val="nil"/>
              <w:right w:val="nil"/>
            </w:tcBorders>
            <w:vAlign w:val="center"/>
          </w:tcPr>
          <w:p w:rsidR="00DC7824" w:rsidRPr="00C92462" w:rsidRDefault="00DC7824" w:rsidP="00986122">
            <w:pPr>
              <w:spacing w:after="0" w:line="240" w:lineRule="auto"/>
              <w:contextualSpacing/>
              <w:jc w:val="center"/>
              <w:rPr>
                <w:rFonts w:ascii="Arial" w:hAnsi="Arial" w:cs="Arial"/>
              </w:rPr>
            </w:pPr>
            <w:r w:rsidRPr="00C92462">
              <w:rPr>
                <w:rFonts w:ascii="Arial" w:hAnsi="Arial" w:cs="Arial"/>
              </w:rPr>
              <w:t>60</w:t>
            </w:r>
          </w:p>
        </w:tc>
        <w:tc>
          <w:tcPr>
            <w:tcW w:w="1282" w:type="dxa"/>
            <w:tcBorders>
              <w:top w:val="nil"/>
              <w:left w:val="nil"/>
              <w:right w:val="nil"/>
            </w:tcBorders>
            <w:vAlign w:val="center"/>
          </w:tcPr>
          <w:p w:rsidR="00DC7824" w:rsidRPr="00C92462" w:rsidRDefault="00DC7824" w:rsidP="00986122">
            <w:pPr>
              <w:spacing w:after="0" w:line="240" w:lineRule="auto"/>
              <w:contextualSpacing/>
              <w:jc w:val="center"/>
              <w:rPr>
                <w:rFonts w:ascii="Arial" w:hAnsi="Arial" w:cs="Arial"/>
              </w:rPr>
            </w:pPr>
            <w:r w:rsidRPr="00C92462">
              <w:rPr>
                <w:rFonts w:ascii="Arial" w:hAnsi="Arial" w:cs="Arial"/>
              </w:rPr>
              <w:t>105</w:t>
            </w:r>
          </w:p>
        </w:tc>
      </w:tr>
    </w:tbl>
    <w:p w:rsidR="00BE73EA" w:rsidRPr="00C92462" w:rsidRDefault="00BE73EA" w:rsidP="00721AFA">
      <w:pPr>
        <w:tabs>
          <w:tab w:val="right" w:pos="360"/>
          <w:tab w:val="left" w:pos="540"/>
        </w:tabs>
        <w:spacing w:after="0" w:line="240" w:lineRule="auto"/>
        <w:ind w:left="540" w:hanging="540"/>
        <w:jc w:val="both"/>
        <w:rPr>
          <w:rFonts w:ascii="Arial" w:hAnsi="Arial" w:cs="Arial"/>
        </w:rPr>
        <w:sectPr w:rsidR="00BE73EA" w:rsidRPr="00C92462" w:rsidSect="00911BFD">
          <w:pgSz w:w="15840" w:h="12240" w:orient="landscape"/>
          <w:pgMar w:top="1417" w:right="1417" w:bottom="1417" w:left="1134" w:header="720" w:footer="720" w:gutter="0"/>
          <w:cols w:space="720"/>
          <w:docGrid w:linePitch="360"/>
        </w:sectPr>
      </w:pPr>
    </w:p>
    <w:p w:rsidR="00BE73EA" w:rsidRPr="00C92462" w:rsidRDefault="00BE73EA" w:rsidP="00721AFA">
      <w:pPr>
        <w:spacing w:line="480" w:lineRule="auto"/>
        <w:jc w:val="both"/>
        <w:rPr>
          <w:rFonts w:ascii="Arial" w:hAnsi="Arial" w:cs="Arial"/>
        </w:rPr>
      </w:pPr>
      <w:r w:rsidRPr="00C92462">
        <w:rPr>
          <w:rFonts w:ascii="Arial" w:hAnsi="Arial" w:cs="Arial"/>
          <w:b/>
        </w:rPr>
        <w:lastRenderedPageBreak/>
        <w:t>Supplementary Table S2</w:t>
      </w:r>
      <w:r w:rsidRPr="00C92462">
        <w:rPr>
          <w:rFonts w:ascii="Arial" w:hAnsi="Arial" w:cs="Arial"/>
        </w:rPr>
        <w:t>: Taqman</w:t>
      </w:r>
      <w:r w:rsidRPr="00C92462">
        <w:rPr>
          <w:rFonts w:ascii="Arial" w:hAnsi="Arial" w:cs="Arial"/>
          <w:vertAlign w:val="superscript"/>
        </w:rPr>
        <w:t>TM</w:t>
      </w:r>
      <w:r w:rsidRPr="00C92462">
        <w:rPr>
          <w:rFonts w:ascii="Arial" w:hAnsi="Arial" w:cs="Arial"/>
        </w:rPr>
        <w:t xml:space="preserve"> Assays used for miRNA detection.</w:t>
      </w:r>
    </w:p>
    <w:tbl>
      <w:tblPr>
        <w:tblW w:w="4602" w:type="dxa"/>
        <w:jc w:val="center"/>
        <w:tblInd w:w="93" w:type="dxa"/>
        <w:tblLook w:val="04A0" w:firstRow="1" w:lastRow="0" w:firstColumn="1" w:lastColumn="0" w:noHBand="0" w:noVBand="1"/>
      </w:tblPr>
      <w:tblGrid>
        <w:gridCol w:w="1739"/>
        <w:gridCol w:w="1200"/>
        <w:gridCol w:w="1782"/>
      </w:tblGrid>
      <w:tr w:rsidR="00C92462" w:rsidRPr="00C92462" w:rsidTr="00FA47B9">
        <w:trPr>
          <w:trHeight w:val="255"/>
          <w:jc w:val="center"/>
        </w:trPr>
        <w:tc>
          <w:tcPr>
            <w:tcW w:w="1739" w:type="dxa"/>
            <w:tcBorders>
              <w:top w:val="single" w:sz="4" w:space="0" w:color="auto"/>
              <w:bottom w:val="single" w:sz="4" w:space="0" w:color="auto"/>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b/>
                <w:bCs/>
              </w:rPr>
            </w:pPr>
            <w:r w:rsidRPr="00C92462">
              <w:rPr>
                <w:rFonts w:ascii="Arial" w:eastAsia="Times New Roman" w:hAnsi="Arial" w:cs="Arial"/>
                <w:b/>
                <w:bCs/>
              </w:rPr>
              <w:t>Taqman Assay</w:t>
            </w:r>
          </w:p>
        </w:tc>
        <w:tc>
          <w:tcPr>
            <w:tcW w:w="1200" w:type="dxa"/>
            <w:tcBorders>
              <w:top w:val="single" w:sz="4" w:space="0" w:color="auto"/>
              <w:left w:val="nil"/>
              <w:bottom w:val="single" w:sz="4" w:space="0" w:color="auto"/>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b/>
                <w:bCs/>
              </w:rPr>
            </w:pPr>
            <w:r w:rsidRPr="00C92462">
              <w:rPr>
                <w:rFonts w:ascii="Arial" w:eastAsia="Times New Roman" w:hAnsi="Arial" w:cs="Arial"/>
                <w:b/>
                <w:bCs/>
              </w:rPr>
              <w:t>Order ID</w:t>
            </w:r>
          </w:p>
        </w:tc>
        <w:tc>
          <w:tcPr>
            <w:tcW w:w="1663" w:type="dxa"/>
            <w:tcBorders>
              <w:top w:val="single" w:sz="4" w:space="0" w:color="auto"/>
              <w:left w:val="nil"/>
              <w:bottom w:val="single" w:sz="4" w:space="0" w:color="auto"/>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b/>
                <w:bCs/>
              </w:rPr>
            </w:pPr>
            <w:r w:rsidRPr="00C92462">
              <w:rPr>
                <w:rFonts w:ascii="Arial" w:eastAsia="Times New Roman" w:hAnsi="Arial" w:cs="Arial"/>
                <w:b/>
                <w:bCs/>
              </w:rPr>
              <w:t>miRBase Accession Nr</w:t>
            </w:r>
          </w:p>
        </w:tc>
      </w:tr>
      <w:tr w:rsidR="00C92462" w:rsidRPr="00C92462" w:rsidTr="00FA47B9">
        <w:trPr>
          <w:trHeight w:val="255"/>
          <w:jc w:val="center"/>
        </w:trPr>
        <w:tc>
          <w:tcPr>
            <w:tcW w:w="1739" w:type="dxa"/>
            <w:tcBorders>
              <w:top w:val="nil"/>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r w:rsidRPr="00C92462">
              <w:rPr>
                <w:rFonts w:ascii="Arial" w:eastAsia="Times New Roman" w:hAnsi="Arial" w:cs="Arial"/>
              </w:rPr>
              <w:t>hsa-miR-221</w:t>
            </w:r>
          </w:p>
        </w:tc>
        <w:tc>
          <w:tcPr>
            <w:tcW w:w="1200" w:type="dxa"/>
            <w:tcBorders>
              <w:top w:val="nil"/>
              <w:left w:val="nil"/>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r w:rsidRPr="00C92462">
              <w:rPr>
                <w:rFonts w:ascii="Arial" w:eastAsia="Times New Roman" w:hAnsi="Arial" w:cs="Arial"/>
              </w:rPr>
              <w:t>000524</w:t>
            </w:r>
          </w:p>
        </w:tc>
        <w:tc>
          <w:tcPr>
            <w:tcW w:w="1663" w:type="dxa"/>
            <w:tcBorders>
              <w:top w:val="nil"/>
              <w:left w:val="nil"/>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r w:rsidRPr="00C92462">
              <w:rPr>
                <w:rFonts w:ascii="Arial" w:eastAsia="Times New Roman" w:hAnsi="Arial" w:cs="Arial"/>
              </w:rPr>
              <w:t>MIMAT0000278</w:t>
            </w:r>
          </w:p>
        </w:tc>
      </w:tr>
      <w:tr w:rsidR="00C92462" w:rsidRPr="00C92462" w:rsidTr="00FA47B9">
        <w:trPr>
          <w:trHeight w:val="255"/>
          <w:jc w:val="center"/>
        </w:trPr>
        <w:tc>
          <w:tcPr>
            <w:tcW w:w="1739" w:type="dxa"/>
            <w:tcBorders>
              <w:top w:val="nil"/>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r w:rsidRPr="00C92462">
              <w:rPr>
                <w:rFonts w:ascii="Arial" w:eastAsia="Times New Roman" w:hAnsi="Arial" w:cs="Arial"/>
              </w:rPr>
              <w:t>mmu-miR-221*</w:t>
            </w:r>
          </w:p>
        </w:tc>
        <w:tc>
          <w:tcPr>
            <w:tcW w:w="1200" w:type="dxa"/>
            <w:tcBorders>
              <w:top w:val="nil"/>
              <w:left w:val="nil"/>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r w:rsidRPr="00C92462">
              <w:rPr>
                <w:rFonts w:ascii="Arial" w:eastAsia="Times New Roman" w:hAnsi="Arial" w:cs="Arial"/>
              </w:rPr>
              <w:t>464489</w:t>
            </w:r>
          </w:p>
        </w:tc>
        <w:tc>
          <w:tcPr>
            <w:tcW w:w="1663" w:type="dxa"/>
            <w:tcBorders>
              <w:top w:val="nil"/>
              <w:left w:val="nil"/>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r w:rsidRPr="00C92462">
              <w:rPr>
                <w:rFonts w:ascii="Arial" w:eastAsia="Times New Roman" w:hAnsi="Arial" w:cs="Arial"/>
              </w:rPr>
              <w:t>MIMAT0017060</w:t>
            </w:r>
          </w:p>
        </w:tc>
      </w:tr>
      <w:tr w:rsidR="00C92462" w:rsidRPr="00C92462" w:rsidTr="00FA47B9">
        <w:trPr>
          <w:trHeight w:val="300"/>
          <w:jc w:val="center"/>
        </w:trPr>
        <w:tc>
          <w:tcPr>
            <w:tcW w:w="1739" w:type="dxa"/>
            <w:tcBorders>
              <w:top w:val="nil"/>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r w:rsidRPr="00C92462">
              <w:rPr>
                <w:rFonts w:ascii="Arial" w:eastAsia="Times New Roman" w:hAnsi="Arial" w:cs="Arial"/>
              </w:rPr>
              <w:t>hsa-miR-222</w:t>
            </w:r>
          </w:p>
        </w:tc>
        <w:tc>
          <w:tcPr>
            <w:tcW w:w="1200" w:type="dxa"/>
            <w:tcBorders>
              <w:top w:val="nil"/>
              <w:left w:val="nil"/>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r w:rsidRPr="00C92462">
              <w:rPr>
                <w:rFonts w:ascii="Arial" w:eastAsia="Times New Roman" w:hAnsi="Arial" w:cs="Arial"/>
              </w:rPr>
              <w:t>002276</w:t>
            </w:r>
          </w:p>
        </w:tc>
        <w:tc>
          <w:tcPr>
            <w:tcW w:w="1663" w:type="dxa"/>
            <w:tcBorders>
              <w:top w:val="nil"/>
              <w:left w:val="nil"/>
              <w:right w:val="nil"/>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r w:rsidRPr="00C92462">
              <w:rPr>
                <w:rFonts w:ascii="Arial" w:eastAsia="Times New Roman" w:hAnsi="Arial" w:cs="Arial"/>
              </w:rPr>
              <w:t>MIMAT0000670</w:t>
            </w:r>
          </w:p>
        </w:tc>
      </w:tr>
      <w:tr w:rsidR="00BE73EA" w:rsidRPr="00C92462" w:rsidTr="00FA47B9">
        <w:trPr>
          <w:trHeight w:val="255"/>
          <w:jc w:val="center"/>
        </w:trPr>
        <w:tc>
          <w:tcPr>
            <w:tcW w:w="1739" w:type="dxa"/>
            <w:tcBorders>
              <w:bottom w:val="single" w:sz="4" w:space="0" w:color="auto"/>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r w:rsidRPr="00C92462">
              <w:rPr>
                <w:rFonts w:ascii="Arial" w:eastAsia="Times New Roman" w:hAnsi="Arial" w:cs="Arial"/>
              </w:rPr>
              <w:t>U6 snRNA</w:t>
            </w:r>
          </w:p>
        </w:tc>
        <w:tc>
          <w:tcPr>
            <w:tcW w:w="1200" w:type="dxa"/>
            <w:tcBorders>
              <w:left w:val="nil"/>
              <w:bottom w:val="single" w:sz="4" w:space="0" w:color="auto"/>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r w:rsidRPr="00C92462">
              <w:rPr>
                <w:rFonts w:ascii="Arial" w:eastAsia="Times New Roman" w:hAnsi="Arial" w:cs="Arial"/>
              </w:rPr>
              <w:t>001973</w:t>
            </w:r>
          </w:p>
        </w:tc>
        <w:tc>
          <w:tcPr>
            <w:tcW w:w="1663" w:type="dxa"/>
            <w:tcBorders>
              <w:left w:val="nil"/>
              <w:bottom w:val="single" w:sz="4" w:space="0" w:color="auto"/>
            </w:tcBorders>
            <w:shd w:val="clear" w:color="auto" w:fill="auto"/>
            <w:noWrap/>
            <w:vAlign w:val="center"/>
            <w:hideMark/>
          </w:tcPr>
          <w:p w:rsidR="00BE73EA" w:rsidRPr="00C92462" w:rsidRDefault="00BE73EA" w:rsidP="00721AFA">
            <w:pPr>
              <w:spacing w:after="0" w:line="240" w:lineRule="auto"/>
              <w:jc w:val="both"/>
              <w:rPr>
                <w:rFonts w:ascii="Arial" w:eastAsia="Times New Roman" w:hAnsi="Arial" w:cs="Arial"/>
              </w:rPr>
            </w:pPr>
          </w:p>
        </w:tc>
      </w:tr>
    </w:tbl>
    <w:p w:rsidR="00BE73EA" w:rsidRPr="00C92462" w:rsidRDefault="00BE73EA" w:rsidP="00721AFA">
      <w:pPr>
        <w:jc w:val="both"/>
        <w:rPr>
          <w:rFonts w:ascii="Arial" w:hAnsi="Arial" w:cs="Arial"/>
          <w:b/>
        </w:rPr>
      </w:pPr>
    </w:p>
    <w:p w:rsidR="00BE73EA" w:rsidRPr="00C92462" w:rsidRDefault="00BE73EA" w:rsidP="00721AFA">
      <w:pPr>
        <w:jc w:val="both"/>
        <w:rPr>
          <w:rFonts w:ascii="Arial" w:hAnsi="Arial" w:cs="Arial"/>
          <w:b/>
        </w:rPr>
      </w:pPr>
      <w:r w:rsidRPr="00C92462">
        <w:rPr>
          <w:rFonts w:ascii="Arial" w:hAnsi="Arial" w:cs="Arial"/>
          <w:b/>
        </w:rPr>
        <w:br w:type="page"/>
      </w:r>
    </w:p>
    <w:p w:rsidR="00BE73EA" w:rsidRPr="00C92462" w:rsidRDefault="00BE73EA" w:rsidP="00721AFA">
      <w:pPr>
        <w:jc w:val="both"/>
        <w:rPr>
          <w:rFonts w:ascii="Arial" w:hAnsi="Arial" w:cs="Arial"/>
          <w:b/>
        </w:rPr>
      </w:pPr>
      <w:r w:rsidRPr="00C92462">
        <w:rPr>
          <w:rFonts w:ascii="Arial" w:hAnsi="Arial" w:cs="Arial"/>
          <w:b/>
        </w:rPr>
        <w:lastRenderedPageBreak/>
        <w:t xml:space="preserve">Supplementary Table S3: Dual Luciferase </w:t>
      </w:r>
      <w:r w:rsidR="000A1382" w:rsidRPr="00C92462">
        <w:rPr>
          <w:rFonts w:ascii="Arial" w:hAnsi="Arial" w:cs="Arial"/>
          <w:b/>
        </w:rPr>
        <w:t>reporter gene</w:t>
      </w:r>
      <w:r w:rsidRPr="00C92462">
        <w:rPr>
          <w:rFonts w:ascii="Arial" w:hAnsi="Arial" w:cs="Arial"/>
          <w:b/>
        </w:rPr>
        <w:t xml:space="preserve"> constructs obtained from GeneCopoeia containing the 3’-UTRs of the L-type </w:t>
      </w:r>
      <w:r w:rsidR="00392603" w:rsidRPr="00C92462">
        <w:rPr>
          <w:rFonts w:ascii="Arial" w:hAnsi="Arial" w:cs="Arial"/>
          <w:b/>
        </w:rPr>
        <w:t>Ca</w:t>
      </w:r>
      <w:r w:rsidR="00392603" w:rsidRPr="00C92462">
        <w:rPr>
          <w:rFonts w:ascii="Arial" w:hAnsi="Arial" w:cs="Arial"/>
          <w:b/>
          <w:vertAlign w:val="superscript"/>
        </w:rPr>
        <w:t>2+</w:t>
      </w:r>
      <w:r w:rsidR="00392603" w:rsidRPr="00C92462">
        <w:rPr>
          <w:rFonts w:ascii="Arial" w:hAnsi="Arial" w:cs="Arial"/>
          <w:b/>
        </w:rPr>
        <w:t xml:space="preserve"> </w:t>
      </w:r>
      <w:r w:rsidRPr="00C92462">
        <w:rPr>
          <w:rFonts w:ascii="Arial" w:hAnsi="Arial" w:cs="Arial"/>
          <w:b/>
        </w:rPr>
        <w:t>channel subunits with the respective RefSeq gene accession number</w:t>
      </w:r>
      <w:r w:rsidR="001B3863" w:rsidRPr="00C92462">
        <w:rPr>
          <w:rFonts w:ascii="Arial" w:hAnsi="Arial" w:cs="Arial"/>
          <w:b/>
        </w:rPr>
        <w:t>s</w:t>
      </w:r>
      <w:r w:rsidRPr="00C92462">
        <w:rPr>
          <w:rFonts w:ascii="Arial" w:hAnsi="Arial" w:cs="Arial"/>
          <w:b/>
        </w:rPr>
        <w:t>.</w:t>
      </w:r>
    </w:p>
    <w:tbl>
      <w:tblPr>
        <w:tblStyle w:val="Tabellenraster"/>
        <w:tblpPr w:leftFromText="180" w:rightFromText="180" w:vertAnchor="page" w:horzAnchor="margin" w:tblpXSpec="center" w:tblpY="2731"/>
        <w:tblW w:w="0" w:type="auto"/>
        <w:tblLayout w:type="fixed"/>
        <w:tblLook w:val="0000" w:firstRow="0" w:lastRow="0" w:firstColumn="0" w:lastColumn="0" w:noHBand="0" w:noVBand="0"/>
      </w:tblPr>
      <w:tblGrid>
        <w:gridCol w:w="3227"/>
        <w:gridCol w:w="3118"/>
        <w:gridCol w:w="2600"/>
      </w:tblGrid>
      <w:tr w:rsidR="00C92462" w:rsidRPr="00C92462" w:rsidTr="00274264">
        <w:trPr>
          <w:trHeight w:val="290"/>
        </w:trPr>
        <w:tc>
          <w:tcPr>
            <w:tcW w:w="3227" w:type="dxa"/>
            <w:tcBorders>
              <w:left w:val="nil"/>
              <w:right w:val="nil"/>
            </w:tcBorders>
            <w:vAlign w:val="center"/>
          </w:tcPr>
          <w:p w:rsidR="00BE73EA" w:rsidRPr="00C92462" w:rsidRDefault="00BE73EA" w:rsidP="00721AFA">
            <w:pPr>
              <w:autoSpaceDE w:val="0"/>
              <w:autoSpaceDN w:val="0"/>
              <w:adjustRightInd w:val="0"/>
              <w:spacing w:after="120"/>
              <w:jc w:val="both"/>
              <w:rPr>
                <w:rFonts w:ascii="Arial" w:hAnsi="Arial" w:cs="Arial"/>
                <w:b/>
              </w:rPr>
            </w:pPr>
            <w:r w:rsidRPr="00C92462">
              <w:rPr>
                <w:rFonts w:ascii="Arial" w:hAnsi="Arial" w:cs="Arial"/>
                <w:b/>
              </w:rPr>
              <w:t>Reporter construct</w:t>
            </w:r>
          </w:p>
        </w:tc>
        <w:tc>
          <w:tcPr>
            <w:tcW w:w="3118" w:type="dxa"/>
            <w:tcBorders>
              <w:left w:val="nil"/>
              <w:right w:val="nil"/>
            </w:tcBorders>
            <w:vAlign w:val="center"/>
          </w:tcPr>
          <w:p w:rsidR="00BE73EA" w:rsidRPr="00C92462" w:rsidRDefault="00BE73EA" w:rsidP="00721AFA">
            <w:pPr>
              <w:autoSpaceDE w:val="0"/>
              <w:autoSpaceDN w:val="0"/>
              <w:adjustRightInd w:val="0"/>
              <w:spacing w:after="120"/>
              <w:jc w:val="both"/>
              <w:rPr>
                <w:rFonts w:ascii="Arial" w:hAnsi="Arial" w:cs="Arial"/>
                <w:b/>
              </w:rPr>
            </w:pPr>
            <w:r w:rsidRPr="00C92462">
              <w:rPr>
                <w:rFonts w:ascii="Arial" w:hAnsi="Arial" w:cs="Arial"/>
                <w:b/>
              </w:rPr>
              <w:t>Length 3´-UTR</w:t>
            </w:r>
          </w:p>
        </w:tc>
        <w:tc>
          <w:tcPr>
            <w:tcW w:w="2600" w:type="dxa"/>
            <w:tcBorders>
              <w:left w:val="nil"/>
              <w:right w:val="nil"/>
            </w:tcBorders>
            <w:vAlign w:val="center"/>
          </w:tcPr>
          <w:p w:rsidR="00BE73EA" w:rsidRPr="00C92462" w:rsidRDefault="00BE73EA" w:rsidP="00721AFA">
            <w:pPr>
              <w:autoSpaceDE w:val="0"/>
              <w:autoSpaceDN w:val="0"/>
              <w:adjustRightInd w:val="0"/>
              <w:spacing w:after="120"/>
              <w:jc w:val="both"/>
              <w:rPr>
                <w:rFonts w:ascii="Arial" w:hAnsi="Arial" w:cs="Arial"/>
                <w:b/>
              </w:rPr>
            </w:pPr>
            <w:r w:rsidRPr="00C92462">
              <w:rPr>
                <w:rFonts w:ascii="Arial" w:hAnsi="Arial" w:cs="Arial"/>
                <w:b/>
              </w:rPr>
              <w:t>RefSeq</w:t>
            </w:r>
          </w:p>
        </w:tc>
      </w:tr>
      <w:tr w:rsidR="00C92462" w:rsidRPr="00C92462" w:rsidTr="00274264">
        <w:trPr>
          <w:trHeight w:val="290"/>
        </w:trPr>
        <w:tc>
          <w:tcPr>
            <w:tcW w:w="3227" w:type="dxa"/>
            <w:tcBorders>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pEZX-MT06-Cacnb2</w:t>
            </w:r>
          </w:p>
        </w:tc>
        <w:tc>
          <w:tcPr>
            <w:tcW w:w="3118" w:type="dxa"/>
            <w:tcBorders>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1832 bp</w:t>
            </w:r>
          </w:p>
        </w:tc>
        <w:tc>
          <w:tcPr>
            <w:tcW w:w="2600" w:type="dxa"/>
            <w:tcBorders>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NM_001252533.1</w:t>
            </w:r>
          </w:p>
        </w:tc>
      </w:tr>
      <w:tr w:rsidR="00C92462" w:rsidRPr="00C92462" w:rsidTr="00274264">
        <w:trPr>
          <w:trHeight w:val="290"/>
        </w:trPr>
        <w:tc>
          <w:tcPr>
            <w:tcW w:w="3227" w:type="dxa"/>
            <w:tcBorders>
              <w:top w:val="nil"/>
              <w:left w:val="nil"/>
              <w:bottom w:val="nil"/>
              <w:right w:val="nil"/>
            </w:tcBorders>
            <w:vAlign w:val="center"/>
          </w:tcPr>
          <w:p w:rsidR="00BE73EA" w:rsidRPr="00C92462" w:rsidRDefault="00BE73EA" w:rsidP="001B3863">
            <w:pPr>
              <w:autoSpaceDE w:val="0"/>
              <w:autoSpaceDN w:val="0"/>
              <w:adjustRightInd w:val="0"/>
              <w:spacing w:after="120"/>
              <w:jc w:val="both"/>
              <w:rPr>
                <w:rFonts w:ascii="Arial" w:hAnsi="Arial" w:cs="Arial"/>
              </w:rPr>
            </w:pPr>
            <w:r w:rsidRPr="00C92462">
              <w:rPr>
                <w:rFonts w:ascii="Arial" w:hAnsi="Arial" w:cs="Arial"/>
              </w:rPr>
              <w:t>pEZX-MT06-Cacna1c_</w:t>
            </w:r>
            <w:r w:rsidR="001B3863" w:rsidRPr="00C92462">
              <w:rPr>
                <w:rFonts w:ascii="Arial" w:hAnsi="Arial" w:cs="Arial"/>
              </w:rPr>
              <w:t>I</w:t>
            </w:r>
          </w:p>
        </w:tc>
        <w:tc>
          <w:tcPr>
            <w:tcW w:w="3118" w:type="dxa"/>
            <w:tcBorders>
              <w:top w:val="nil"/>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2228 bp ( -16 - 2211 bp )</w:t>
            </w:r>
          </w:p>
        </w:tc>
        <w:tc>
          <w:tcPr>
            <w:tcW w:w="2600" w:type="dxa"/>
            <w:tcBorders>
              <w:top w:val="nil"/>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NM_001159533.2</w:t>
            </w:r>
          </w:p>
        </w:tc>
      </w:tr>
      <w:tr w:rsidR="00C92462" w:rsidRPr="00C92462" w:rsidTr="00274264">
        <w:trPr>
          <w:trHeight w:val="290"/>
        </w:trPr>
        <w:tc>
          <w:tcPr>
            <w:tcW w:w="3227" w:type="dxa"/>
            <w:tcBorders>
              <w:top w:val="nil"/>
              <w:left w:val="nil"/>
              <w:bottom w:val="nil"/>
              <w:right w:val="nil"/>
            </w:tcBorders>
            <w:vAlign w:val="center"/>
          </w:tcPr>
          <w:p w:rsidR="00BE73EA" w:rsidRPr="00C92462" w:rsidRDefault="00BE73EA" w:rsidP="001B3863">
            <w:pPr>
              <w:autoSpaceDE w:val="0"/>
              <w:autoSpaceDN w:val="0"/>
              <w:adjustRightInd w:val="0"/>
              <w:spacing w:after="120"/>
              <w:jc w:val="both"/>
              <w:rPr>
                <w:rFonts w:ascii="Arial" w:hAnsi="Arial" w:cs="Arial"/>
              </w:rPr>
            </w:pPr>
            <w:r w:rsidRPr="00C92462">
              <w:rPr>
                <w:rFonts w:ascii="Arial" w:hAnsi="Arial" w:cs="Arial"/>
              </w:rPr>
              <w:t>pEZX-MT06-Cacna1c_</w:t>
            </w:r>
            <w:r w:rsidR="001B3863" w:rsidRPr="00C92462">
              <w:rPr>
                <w:rFonts w:ascii="Arial" w:hAnsi="Arial" w:cs="Arial"/>
              </w:rPr>
              <w:t>II</w:t>
            </w:r>
          </w:p>
        </w:tc>
        <w:tc>
          <w:tcPr>
            <w:tcW w:w="3118" w:type="dxa"/>
            <w:tcBorders>
              <w:top w:val="nil"/>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2322 bp ( 2143 - 4464 bp )</w:t>
            </w:r>
          </w:p>
        </w:tc>
        <w:tc>
          <w:tcPr>
            <w:tcW w:w="2600" w:type="dxa"/>
            <w:tcBorders>
              <w:top w:val="nil"/>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NM_001159533.2</w:t>
            </w:r>
          </w:p>
        </w:tc>
      </w:tr>
      <w:tr w:rsidR="00C92462" w:rsidRPr="00C92462" w:rsidTr="00274264">
        <w:trPr>
          <w:trHeight w:val="290"/>
        </w:trPr>
        <w:tc>
          <w:tcPr>
            <w:tcW w:w="3227" w:type="dxa"/>
            <w:tcBorders>
              <w:top w:val="nil"/>
              <w:left w:val="nil"/>
              <w:bottom w:val="nil"/>
              <w:right w:val="nil"/>
            </w:tcBorders>
            <w:vAlign w:val="center"/>
          </w:tcPr>
          <w:p w:rsidR="00BE73EA" w:rsidRPr="00C92462" w:rsidRDefault="00BE73EA" w:rsidP="001B3863">
            <w:pPr>
              <w:autoSpaceDE w:val="0"/>
              <w:autoSpaceDN w:val="0"/>
              <w:adjustRightInd w:val="0"/>
              <w:spacing w:after="120"/>
              <w:jc w:val="both"/>
              <w:rPr>
                <w:rFonts w:ascii="Arial" w:hAnsi="Arial" w:cs="Arial"/>
              </w:rPr>
            </w:pPr>
            <w:r w:rsidRPr="00C92462">
              <w:rPr>
                <w:rFonts w:ascii="Arial" w:hAnsi="Arial" w:cs="Arial"/>
              </w:rPr>
              <w:t>pEZX-MT06-Cacna1c_</w:t>
            </w:r>
            <w:r w:rsidR="001B3863" w:rsidRPr="00C92462">
              <w:rPr>
                <w:rFonts w:ascii="Arial" w:hAnsi="Arial" w:cs="Arial"/>
              </w:rPr>
              <w:t>III</w:t>
            </w:r>
          </w:p>
        </w:tc>
        <w:tc>
          <w:tcPr>
            <w:tcW w:w="3118" w:type="dxa"/>
            <w:tcBorders>
              <w:top w:val="nil"/>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2299 bp ( 4393 - 6691 bp )</w:t>
            </w:r>
          </w:p>
        </w:tc>
        <w:tc>
          <w:tcPr>
            <w:tcW w:w="2600" w:type="dxa"/>
            <w:tcBorders>
              <w:top w:val="nil"/>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NM_001159533.2</w:t>
            </w:r>
          </w:p>
        </w:tc>
      </w:tr>
      <w:tr w:rsidR="00C92462" w:rsidRPr="00C92462" w:rsidTr="00274264">
        <w:trPr>
          <w:trHeight w:val="290"/>
        </w:trPr>
        <w:tc>
          <w:tcPr>
            <w:tcW w:w="3227" w:type="dxa"/>
            <w:tcBorders>
              <w:top w:val="nil"/>
              <w:left w:val="nil"/>
              <w:bottom w:val="nil"/>
              <w:right w:val="nil"/>
            </w:tcBorders>
            <w:vAlign w:val="center"/>
          </w:tcPr>
          <w:p w:rsidR="00BE73EA" w:rsidRPr="00C92462" w:rsidRDefault="00BE73EA" w:rsidP="001B3863">
            <w:pPr>
              <w:autoSpaceDE w:val="0"/>
              <w:autoSpaceDN w:val="0"/>
              <w:adjustRightInd w:val="0"/>
              <w:spacing w:after="120"/>
              <w:jc w:val="both"/>
              <w:rPr>
                <w:rFonts w:ascii="Arial" w:hAnsi="Arial" w:cs="Arial"/>
              </w:rPr>
            </w:pPr>
            <w:r w:rsidRPr="00C92462">
              <w:rPr>
                <w:rFonts w:ascii="Arial" w:hAnsi="Arial" w:cs="Arial"/>
              </w:rPr>
              <w:t>pEZX-MT06-Cacna2d1_</w:t>
            </w:r>
            <w:r w:rsidR="001B3863" w:rsidRPr="00C92462">
              <w:rPr>
                <w:rFonts w:ascii="Arial" w:hAnsi="Arial" w:cs="Arial"/>
              </w:rPr>
              <w:t>I</w:t>
            </w:r>
          </w:p>
        </w:tc>
        <w:tc>
          <w:tcPr>
            <w:tcW w:w="3118" w:type="dxa"/>
            <w:tcBorders>
              <w:top w:val="nil"/>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1894 bp ( -1 - 1892 bp )</w:t>
            </w:r>
          </w:p>
        </w:tc>
        <w:tc>
          <w:tcPr>
            <w:tcW w:w="2600" w:type="dxa"/>
            <w:tcBorders>
              <w:top w:val="nil"/>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NM_001110843.1</w:t>
            </w:r>
          </w:p>
        </w:tc>
      </w:tr>
      <w:tr w:rsidR="00C92462" w:rsidRPr="00C92462" w:rsidTr="00986122">
        <w:trPr>
          <w:trHeight w:val="290"/>
        </w:trPr>
        <w:tc>
          <w:tcPr>
            <w:tcW w:w="3227" w:type="dxa"/>
            <w:tcBorders>
              <w:top w:val="nil"/>
              <w:left w:val="nil"/>
              <w:bottom w:val="nil"/>
              <w:right w:val="nil"/>
            </w:tcBorders>
            <w:vAlign w:val="center"/>
          </w:tcPr>
          <w:p w:rsidR="00BE73EA" w:rsidRPr="00C92462" w:rsidRDefault="00BE73EA" w:rsidP="001B3863">
            <w:pPr>
              <w:autoSpaceDE w:val="0"/>
              <w:autoSpaceDN w:val="0"/>
              <w:adjustRightInd w:val="0"/>
              <w:spacing w:after="120"/>
              <w:jc w:val="both"/>
              <w:rPr>
                <w:rFonts w:ascii="Arial" w:hAnsi="Arial" w:cs="Arial"/>
              </w:rPr>
            </w:pPr>
            <w:r w:rsidRPr="00C92462">
              <w:rPr>
                <w:rFonts w:ascii="Arial" w:hAnsi="Arial" w:cs="Arial"/>
              </w:rPr>
              <w:t>pEZX-MT06-Cacna2d1_</w:t>
            </w:r>
            <w:r w:rsidR="001B3863" w:rsidRPr="00C92462">
              <w:rPr>
                <w:rFonts w:ascii="Arial" w:hAnsi="Arial" w:cs="Arial"/>
              </w:rPr>
              <w:t>II</w:t>
            </w:r>
          </w:p>
        </w:tc>
        <w:tc>
          <w:tcPr>
            <w:tcW w:w="3118" w:type="dxa"/>
            <w:tcBorders>
              <w:top w:val="nil"/>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2000 bp ( 1844 - 3843 bp )</w:t>
            </w:r>
          </w:p>
        </w:tc>
        <w:tc>
          <w:tcPr>
            <w:tcW w:w="2600" w:type="dxa"/>
            <w:tcBorders>
              <w:top w:val="nil"/>
              <w:left w:val="nil"/>
              <w:bottom w:val="nil"/>
              <w:right w:val="nil"/>
            </w:tcBorders>
            <w:vAlign w:val="center"/>
          </w:tcPr>
          <w:p w:rsidR="00BE73EA" w:rsidRPr="00C92462" w:rsidRDefault="00BE73EA" w:rsidP="00721AFA">
            <w:pPr>
              <w:autoSpaceDE w:val="0"/>
              <w:autoSpaceDN w:val="0"/>
              <w:adjustRightInd w:val="0"/>
              <w:spacing w:after="120"/>
              <w:jc w:val="both"/>
              <w:rPr>
                <w:rFonts w:ascii="Arial" w:hAnsi="Arial" w:cs="Arial"/>
              </w:rPr>
            </w:pPr>
            <w:r w:rsidRPr="00C92462">
              <w:rPr>
                <w:rFonts w:ascii="Arial" w:hAnsi="Arial" w:cs="Arial"/>
              </w:rPr>
              <w:t>NM_001110843.1</w:t>
            </w:r>
          </w:p>
        </w:tc>
      </w:tr>
      <w:tr w:rsidR="00C92462" w:rsidRPr="00C92462" w:rsidTr="00B0258D">
        <w:trPr>
          <w:trHeight w:val="290"/>
        </w:trPr>
        <w:tc>
          <w:tcPr>
            <w:tcW w:w="3227" w:type="dxa"/>
            <w:tcBorders>
              <w:top w:val="nil"/>
              <w:left w:val="nil"/>
              <w:bottom w:val="nil"/>
              <w:right w:val="nil"/>
            </w:tcBorders>
            <w:vAlign w:val="center"/>
          </w:tcPr>
          <w:p w:rsidR="00986122" w:rsidRPr="00C92462" w:rsidRDefault="00986122" w:rsidP="00986122">
            <w:pPr>
              <w:autoSpaceDE w:val="0"/>
              <w:autoSpaceDN w:val="0"/>
              <w:adjustRightInd w:val="0"/>
              <w:spacing w:after="120"/>
              <w:jc w:val="both"/>
              <w:rPr>
                <w:rFonts w:ascii="Arial" w:hAnsi="Arial" w:cs="Arial"/>
              </w:rPr>
            </w:pPr>
            <w:r w:rsidRPr="00C92462">
              <w:rPr>
                <w:rFonts w:ascii="Arial" w:hAnsi="Arial" w:cs="Arial"/>
              </w:rPr>
              <w:t>pEZX-Kcnd2</w:t>
            </w:r>
          </w:p>
        </w:tc>
        <w:tc>
          <w:tcPr>
            <w:tcW w:w="3118" w:type="dxa"/>
            <w:tcBorders>
              <w:top w:val="nil"/>
              <w:left w:val="nil"/>
              <w:bottom w:val="nil"/>
              <w:right w:val="nil"/>
            </w:tcBorders>
            <w:vAlign w:val="center"/>
          </w:tcPr>
          <w:p w:rsidR="00986122" w:rsidRPr="00C92462" w:rsidRDefault="00986122" w:rsidP="00986122">
            <w:pPr>
              <w:autoSpaceDE w:val="0"/>
              <w:autoSpaceDN w:val="0"/>
              <w:adjustRightInd w:val="0"/>
              <w:spacing w:after="120"/>
              <w:jc w:val="both"/>
              <w:rPr>
                <w:rFonts w:ascii="Arial" w:hAnsi="Arial" w:cs="Arial"/>
              </w:rPr>
            </w:pPr>
            <w:r w:rsidRPr="00C92462">
              <w:rPr>
                <w:rFonts w:ascii="Arial" w:hAnsi="Arial" w:cs="Arial"/>
              </w:rPr>
              <w:t>2462 bp</w:t>
            </w:r>
          </w:p>
        </w:tc>
        <w:tc>
          <w:tcPr>
            <w:tcW w:w="2600" w:type="dxa"/>
            <w:tcBorders>
              <w:top w:val="nil"/>
              <w:left w:val="nil"/>
              <w:bottom w:val="nil"/>
              <w:right w:val="nil"/>
            </w:tcBorders>
            <w:vAlign w:val="center"/>
          </w:tcPr>
          <w:p w:rsidR="00986122" w:rsidRPr="00C92462" w:rsidRDefault="00986122" w:rsidP="00986122">
            <w:pPr>
              <w:autoSpaceDE w:val="0"/>
              <w:autoSpaceDN w:val="0"/>
              <w:adjustRightInd w:val="0"/>
              <w:spacing w:after="120"/>
              <w:jc w:val="both"/>
              <w:rPr>
                <w:rFonts w:ascii="Arial" w:hAnsi="Arial" w:cs="Arial"/>
              </w:rPr>
            </w:pPr>
            <w:r w:rsidRPr="00C92462">
              <w:rPr>
                <w:rFonts w:ascii="Arial" w:hAnsi="Arial" w:cs="Arial"/>
              </w:rPr>
              <w:t>NM_019697.3</w:t>
            </w:r>
          </w:p>
        </w:tc>
      </w:tr>
      <w:tr w:rsidR="00C92462" w:rsidRPr="00C92462" w:rsidTr="00B0258D">
        <w:trPr>
          <w:trHeight w:val="290"/>
        </w:trPr>
        <w:tc>
          <w:tcPr>
            <w:tcW w:w="3227" w:type="dxa"/>
            <w:tcBorders>
              <w:top w:val="nil"/>
              <w:left w:val="nil"/>
              <w:right w:val="nil"/>
            </w:tcBorders>
            <w:vAlign w:val="center"/>
          </w:tcPr>
          <w:p w:rsidR="00986122" w:rsidRPr="00C92462" w:rsidRDefault="00986122" w:rsidP="00986122">
            <w:pPr>
              <w:autoSpaceDE w:val="0"/>
              <w:autoSpaceDN w:val="0"/>
              <w:adjustRightInd w:val="0"/>
              <w:spacing w:after="120"/>
              <w:jc w:val="both"/>
              <w:rPr>
                <w:rFonts w:ascii="Arial" w:hAnsi="Arial" w:cs="Arial"/>
              </w:rPr>
            </w:pPr>
            <w:r w:rsidRPr="00C92462">
              <w:rPr>
                <w:rFonts w:ascii="Arial" w:hAnsi="Arial" w:cs="Arial"/>
              </w:rPr>
              <w:t>pEZX-Kcnj5</w:t>
            </w:r>
          </w:p>
        </w:tc>
        <w:tc>
          <w:tcPr>
            <w:tcW w:w="3118" w:type="dxa"/>
            <w:tcBorders>
              <w:top w:val="nil"/>
              <w:left w:val="nil"/>
              <w:right w:val="nil"/>
            </w:tcBorders>
            <w:vAlign w:val="center"/>
          </w:tcPr>
          <w:p w:rsidR="00986122" w:rsidRPr="00C92462" w:rsidRDefault="00986122" w:rsidP="00986122">
            <w:pPr>
              <w:autoSpaceDE w:val="0"/>
              <w:autoSpaceDN w:val="0"/>
              <w:adjustRightInd w:val="0"/>
              <w:spacing w:after="120"/>
              <w:jc w:val="both"/>
              <w:rPr>
                <w:rFonts w:ascii="Arial" w:hAnsi="Arial" w:cs="Arial"/>
              </w:rPr>
            </w:pPr>
            <w:r w:rsidRPr="00C92462">
              <w:rPr>
                <w:rFonts w:ascii="Arial" w:hAnsi="Arial" w:cs="Arial"/>
              </w:rPr>
              <w:t>2797 bp</w:t>
            </w:r>
          </w:p>
        </w:tc>
        <w:tc>
          <w:tcPr>
            <w:tcW w:w="2600" w:type="dxa"/>
            <w:tcBorders>
              <w:top w:val="nil"/>
              <w:left w:val="nil"/>
              <w:right w:val="nil"/>
            </w:tcBorders>
            <w:vAlign w:val="center"/>
          </w:tcPr>
          <w:p w:rsidR="00986122" w:rsidRPr="00C92462" w:rsidRDefault="00986122" w:rsidP="00986122">
            <w:pPr>
              <w:autoSpaceDE w:val="0"/>
              <w:autoSpaceDN w:val="0"/>
              <w:adjustRightInd w:val="0"/>
              <w:spacing w:after="120"/>
              <w:jc w:val="both"/>
              <w:rPr>
                <w:rFonts w:ascii="Arial" w:hAnsi="Arial" w:cs="Arial"/>
              </w:rPr>
            </w:pPr>
            <w:r w:rsidRPr="00C92462">
              <w:rPr>
                <w:rFonts w:ascii="Arial" w:hAnsi="Arial" w:cs="Arial"/>
              </w:rPr>
              <w:t>NM_010605.4</w:t>
            </w:r>
          </w:p>
        </w:tc>
      </w:tr>
    </w:tbl>
    <w:p w:rsidR="00485B9D" w:rsidRPr="00C92462" w:rsidRDefault="00485B9D" w:rsidP="00721AFA">
      <w:pPr>
        <w:jc w:val="both"/>
        <w:rPr>
          <w:rFonts w:ascii="Arial" w:hAnsi="Arial" w:cs="Arial"/>
        </w:rPr>
      </w:pPr>
    </w:p>
    <w:p w:rsidR="00AC4A3D" w:rsidRPr="00C92462" w:rsidRDefault="00AC4A3D">
      <w:pPr>
        <w:rPr>
          <w:rFonts w:ascii="Arial" w:hAnsi="Arial" w:cs="Arial"/>
          <w:b/>
        </w:rPr>
      </w:pPr>
      <w:r w:rsidRPr="00C92462">
        <w:rPr>
          <w:rFonts w:ascii="Arial" w:hAnsi="Arial" w:cs="Arial"/>
          <w:b/>
        </w:rPr>
        <w:br w:type="page"/>
      </w:r>
    </w:p>
    <w:p w:rsidR="00485B9D" w:rsidRPr="00C92462" w:rsidRDefault="00485B9D" w:rsidP="00485B9D"/>
    <w:p w:rsidR="00AC4A3D" w:rsidRPr="00C92462" w:rsidRDefault="00AC4A3D" w:rsidP="00AC4A3D">
      <w:pPr>
        <w:jc w:val="both"/>
        <w:rPr>
          <w:rFonts w:ascii="Arial" w:hAnsi="Arial" w:cs="Arial"/>
        </w:rPr>
      </w:pPr>
      <w:r w:rsidRPr="00C92462">
        <w:rPr>
          <w:rFonts w:ascii="Arial" w:hAnsi="Arial" w:cs="Arial"/>
          <w:b/>
        </w:rPr>
        <w:t xml:space="preserve">Supplementary Figure </w:t>
      </w:r>
      <w:r w:rsidR="009D5A75" w:rsidRPr="00C92462">
        <w:rPr>
          <w:rFonts w:ascii="Arial" w:hAnsi="Arial" w:cs="Arial"/>
          <w:b/>
        </w:rPr>
        <w:t>S1</w:t>
      </w:r>
      <w:r w:rsidRPr="00C92462">
        <w:rPr>
          <w:rFonts w:ascii="Arial" w:hAnsi="Arial" w:cs="Arial"/>
          <w:b/>
        </w:rPr>
        <w:t>: Current density curve for mi</w:t>
      </w:r>
      <w:r w:rsidR="001B3863" w:rsidRPr="00C92462">
        <w:rPr>
          <w:rFonts w:ascii="Arial" w:hAnsi="Arial" w:cs="Arial"/>
          <w:b/>
        </w:rPr>
        <w:t>R</w:t>
      </w:r>
      <w:r w:rsidRPr="00C92462">
        <w:rPr>
          <w:rFonts w:ascii="Arial" w:hAnsi="Arial" w:cs="Arial"/>
          <w:b/>
        </w:rPr>
        <w:t>-221</w:t>
      </w:r>
      <w:r w:rsidR="001B3863" w:rsidRPr="00C92462">
        <w:rPr>
          <w:rFonts w:ascii="Arial" w:hAnsi="Arial" w:cs="Arial"/>
          <w:b/>
        </w:rPr>
        <w:t>, miR-222</w:t>
      </w:r>
      <w:r w:rsidRPr="00C92462">
        <w:rPr>
          <w:rFonts w:ascii="Arial" w:hAnsi="Arial" w:cs="Arial"/>
          <w:b/>
        </w:rPr>
        <w:t xml:space="preserve"> and scramble transfected HL-1 cells</w:t>
      </w:r>
      <w:r w:rsidRPr="00C92462">
        <w:rPr>
          <w:rFonts w:ascii="Arial" w:hAnsi="Arial" w:cs="Arial"/>
        </w:rPr>
        <w:t xml:space="preserve">. </w:t>
      </w:r>
      <w:r w:rsidR="000E417F" w:rsidRPr="00C92462">
        <w:rPr>
          <w:rFonts w:ascii="Arial" w:hAnsi="Arial" w:cs="Arial"/>
          <w:b/>
        </w:rPr>
        <w:t>a)</w:t>
      </w:r>
      <w:r w:rsidR="000E417F" w:rsidRPr="00C92462">
        <w:rPr>
          <w:rFonts w:ascii="Arial" w:hAnsi="Arial" w:cs="Arial"/>
        </w:rPr>
        <w:t xml:space="preserve"> </w:t>
      </w:r>
      <w:r w:rsidRPr="00C92462">
        <w:rPr>
          <w:rFonts w:ascii="Arial" w:hAnsi="Arial" w:cs="Arial"/>
        </w:rPr>
        <w:t>HL-1 cells were transfected either with miR</w:t>
      </w:r>
      <w:r w:rsidRPr="00C92462">
        <w:rPr>
          <w:rFonts w:ascii="Arial" w:hAnsi="Arial" w:cs="Arial"/>
        </w:rPr>
        <w:noBreakHyphen/>
        <w:t>221</w:t>
      </w:r>
      <w:r w:rsidR="000E417F" w:rsidRPr="00C92462">
        <w:rPr>
          <w:rFonts w:ascii="Arial" w:hAnsi="Arial" w:cs="Arial"/>
        </w:rPr>
        <w:t xml:space="preserve"> or scramble-miRNA (10 µg/ml, N = </w:t>
      </w:r>
      <w:r w:rsidR="0067512B" w:rsidRPr="00C92462">
        <w:rPr>
          <w:rFonts w:ascii="Arial" w:hAnsi="Arial" w:cs="Arial"/>
        </w:rPr>
        <w:t>4</w:t>
      </w:r>
      <w:r w:rsidR="000E417F" w:rsidRPr="00C92462">
        <w:rPr>
          <w:rFonts w:ascii="Arial" w:hAnsi="Arial" w:cs="Arial"/>
        </w:rPr>
        <w:t>-</w:t>
      </w:r>
      <w:r w:rsidR="0067512B" w:rsidRPr="00C92462">
        <w:rPr>
          <w:rFonts w:ascii="Arial" w:hAnsi="Arial" w:cs="Arial"/>
        </w:rPr>
        <w:t>5</w:t>
      </w:r>
      <w:r w:rsidR="000E417F" w:rsidRPr="00C92462">
        <w:rPr>
          <w:rFonts w:ascii="Arial" w:hAnsi="Arial" w:cs="Arial"/>
        </w:rPr>
        <w:t xml:space="preserve"> cells/group) or </w:t>
      </w:r>
      <w:r w:rsidR="000E417F" w:rsidRPr="00C92462">
        <w:rPr>
          <w:rFonts w:ascii="Arial" w:hAnsi="Arial" w:cs="Arial"/>
          <w:b/>
        </w:rPr>
        <w:t>b)</w:t>
      </w:r>
      <w:r w:rsidR="000E417F" w:rsidRPr="00C92462">
        <w:rPr>
          <w:rFonts w:ascii="Arial" w:hAnsi="Arial" w:cs="Arial"/>
        </w:rPr>
        <w:t xml:space="preserve"> </w:t>
      </w:r>
      <w:r w:rsidR="001B3863" w:rsidRPr="00C92462">
        <w:rPr>
          <w:rFonts w:ascii="Arial" w:hAnsi="Arial" w:cs="Arial"/>
        </w:rPr>
        <w:t>miR-222</w:t>
      </w:r>
      <w:r w:rsidRPr="00C92462">
        <w:rPr>
          <w:rFonts w:ascii="Arial" w:hAnsi="Arial" w:cs="Arial"/>
        </w:rPr>
        <w:t xml:space="preserve"> or scramble-miRNA (10 µg/ml</w:t>
      </w:r>
      <w:r w:rsidR="000E417F" w:rsidRPr="00C92462">
        <w:rPr>
          <w:rFonts w:ascii="Arial" w:hAnsi="Arial" w:cs="Arial"/>
        </w:rPr>
        <w:t xml:space="preserve"> N = </w:t>
      </w:r>
      <w:r w:rsidR="0067512B" w:rsidRPr="00C92462">
        <w:rPr>
          <w:rFonts w:ascii="Arial" w:hAnsi="Arial" w:cs="Arial"/>
        </w:rPr>
        <w:t>8</w:t>
      </w:r>
      <w:r w:rsidR="000E417F" w:rsidRPr="00C92462">
        <w:rPr>
          <w:rFonts w:ascii="Arial" w:hAnsi="Arial" w:cs="Arial"/>
        </w:rPr>
        <w:t>-</w:t>
      </w:r>
      <w:r w:rsidR="0067512B" w:rsidRPr="00C92462">
        <w:rPr>
          <w:rFonts w:ascii="Arial" w:hAnsi="Arial" w:cs="Arial"/>
        </w:rPr>
        <w:t>9</w:t>
      </w:r>
      <w:r w:rsidR="000E417F" w:rsidRPr="00C92462">
        <w:rPr>
          <w:rFonts w:ascii="Arial" w:hAnsi="Arial" w:cs="Arial"/>
        </w:rPr>
        <w:t xml:space="preserve"> cells/group</w:t>
      </w:r>
      <w:r w:rsidRPr="00C92462">
        <w:rPr>
          <w:rFonts w:ascii="Arial" w:hAnsi="Arial" w:cs="Arial"/>
        </w:rPr>
        <w:t xml:space="preserve">) for 48h before current recordings </w:t>
      </w:r>
      <w:r w:rsidR="000A1382" w:rsidRPr="00C92462">
        <w:rPr>
          <w:rFonts w:ascii="Arial" w:hAnsi="Arial" w:cs="Arial"/>
        </w:rPr>
        <w:t>was</w:t>
      </w:r>
      <w:r w:rsidRPr="00C92462">
        <w:rPr>
          <w:rFonts w:ascii="Arial" w:hAnsi="Arial" w:cs="Arial"/>
        </w:rPr>
        <w:t xml:space="preserve"> performed in the whole</w:t>
      </w:r>
      <w:r w:rsidR="001B3863" w:rsidRPr="00C92462">
        <w:rPr>
          <w:rFonts w:ascii="Arial" w:hAnsi="Arial" w:cs="Arial"/>
        </w:rPr>
        <w:t xml:space="preserve"> </w:t>
      </w:r>
      <w:r w:rsidRPr="00C92462">
        <w:rPr>
          <w:rFonts w:ascii="Arial" w:hAnsi="Arial" w:cs="Arial"/>
        </w:rPr>
        <w:t>cell configuration of the patch</w:t>
      </w:r>
      <w:r w:rsidR="001B3863" w:rsidRPr="00C92462">
        <w:rPr>
          <w:rFonts w:ascii="Arial" w:hAnsi="Arial" w:cs="Arial"/>
        </w:rPr>
        <w:t xml:space="preserve"> </w:t>
      </w:r>
      <w:r w:rsidRPr="00C92462">
        <w:rPr>
          <w:rFonts w:ascii="Arial" w:hAnsi="Arial" w:cs="Arial"/>
        </w:rPr>
        <w:t>clamp technique. By integrating the capacitive current at the end of a 10 ms long voltage step (-80 mV to -70 mV) the input capacitance of the cells was obtained. This value was normalized to the peak amplitude of the inward current to obtain the current density (pA/pF) in order to compensate for differences in cell size. To measure solely L-Type Ca</w:t>
      </w:r>
      <w:r w:rsidRPr="00C92462">
        <w:rPr>
          <w:rFonts w:ascii="Arial" w:hAnsi="Arial" w:cs="Arial"/>
          <w:vertAlign w:val="superscript"/>
        </w:rPr>
        <w:t>2+</w:t>
      </w:r>
      <w:r w:rsidRPr="00C92462">
        <w:rPr>
          <w:rFonts w:ascii="Arial" w:hAnsi="Arial" w:cs="Arial"/>
        </w:rPr>
        <w:t xml:space="preserve">-currents we used a holding potential of </w:t>
      </w:r>
      <w:r w:rsidR="001B3863" w:rsidRPr="00C92462">
        <w:rPr>
          <w:rFonts w:ascii="Arial" w:hAnsi="Arial" w:cs="Arial"/>
        </w:rPr>
        <w:t xml:space="preserve">-40 mV </w:t>
      </w:r>
      <w:r w:rsidR="000E417F" w:rsidRPr="00C92462">
        <w:rPr>
          <w:rFonts w:ascii="Arial" w:hAnsi="Arial" w:cs="Arial"/>
        </w:rPr>
        <w:t>(miR-22</w:t>
      </w:r>
      <w:r w:rsidR="00274A81" w:rsidRPr="00C92462">
        <w:rPr>
          <w:rFonts w:ascii="Arial" w:hAnsi="Arial" w:cs="Arial"/>
        </w:rPr>
        <w:t>1</w:t>
      </w:r>
      <w:r w:rsidR="000E417F" w:rsidRPr="00C92462">
        <w:rPr>
          <w:rFonts w:ascii="Arial" w:hAnsi="Arial" w:cs="Arial"/>
        </w:rPr>
        <w:t xml:space="preserve"> and corresponding scramble transfected cells) </w:t>
      </w:r>
      <w:r w:rsidR="001B3863" w:rsidRPr="00C92462">
        <w:rPr>
          <w:rFonts w:ascii="Arial" w:hAnsi="Arial" w:cs="Arial"/>
        </w:rPr>
        <w:t xml:space="preserve">or </w:t>
      </w:r>
      <w:r w:rsidRPr="00C92462">
        <w:rPr>
          <w:rFonts w:ascii="Arial" w:hAnsi="Arial" w:cs="Arial"/>
        </w:rPr>
        <w:t>-35 mV</w:t>
      </w:r>
      <w:r w:rsidR="000E417F" w:rsidRPr="00C92462">
        <w:rPr>
          <w:rFonts w:ascii="Arial" w:hAnsi="Arial" w:cs="Arial"/>
        </w:rPr>
        <w:t xml:space="preserve"> (miR-22</w:t>
      </w:r>
      <w:r w:rsidR="00274A81" w:rsidRPr="00C92462">
        <w:rPr>
          <w:rFonts w:ascii="Arial" w:hAnsi="Arial" w:cs="Arial"/>
        </w:rPr>
        <w:t>2</w:t>
      </w:r>
      <w:r w:rsidR="000E417F" w:rsidRPr="00C92462">
        <w:rPr>
          <w:rFonts w:ascii="Arial" w:hAnsi="Arial" w:cs="Arial"/>
        </w:rPr>
        <w:t xml:space="preserve"> and corresponding scramble transfected cells)</w:t>
      </w:r>
      <w:r w:rsidRPr="00C92462">
        <w:rPr>
          <w:rFonts w:ascii="Arial" w:hAnsi="Arial" w:cs="Arial"/>
        </w:rPr>
        <w:t xml:space="preserve">. HL-1 cells were depolarized every 8 s for 100 ms from </w:t>
      </w:r>
      <w:r w:rsidR="005E60AD" w:rsidRPr="00C92462">
        <w:rPr>
          <w:rFonts w:ascii="Arial" w:hAnsi="Arial" w:cs="Arial"/>
        </w:rPr>
        <w:t xml:space="preserve">the </w:t>
      </w:r>
      <w:r w:rsidRPr="00C92462">
        <w:rPr>
          <w:rFonts w:ascii="Arial" w:hAnsi="Arial" w:cs="Arial"/>
        </w:rPr>
        <w:t>holding potential to various test potentials (-30 mV to 60 mV in 10 mV increments). As the current density for L-Type Ca</w:t>
      </w:r>
      <w:r w:rsidRPr="00C92462">
        <w:rPr>
          <w:rFonts w:ascii="Arial" w:hAnsi="Arial" w:cs="Arial"/>
          <w:vertAlign w:val="superscript"/>
        </w:rPr>
        <w:t>2+</w:t>
      </w:r>
      <w:r w:rsidR="000E5269" w:rsidRPr="00C92462">
        <w:rPr>
          <w:rFonts w:ascii="Arial" w:hAnsi="Arial" w:cs="Arial"/>
          <w:vertAlign w:val="superscript"/>
        </w:rPr>
        <w:t xml:space="preserve"> </w:t>
      </w:r>
      <w:r w:rsidRPr="00C92462">
        <w:rPr>
          <w:rFonts w:ascii="Arial" w:hAnsi="Arial" w:cs="Arial"/>
        </w:rPr>
        <w:t>channel was reduced by miR-221</w:t>
      </w:r>
      <w:r w:rsidR="005E60AD" w:rsidRPr="00C92462">
        <w:rPr>
          <w:rFonts w:ascii="Arial" w:hAnsi="Arial" w:cs="Arial"/>
        </w:rPr>
        <w:t xml:space="preserve"> and miR-222</w:t>
      </w:r>
      <w:r w:rsidRPr="00C92462">
        <w:rPr>
          <w:rFonts w:ascii="Arial" w:hAnsi="Arial" w:cs="Arial"/>
        </w:rPr>
        <w:t xml:space="preserve"> in HL-1 compared to scramble, but the current density – voltage relationship was the same, in following experiments only the peak current was determined. N =4-5 cells/group, *p&lt;0.05 miR-221 </w:t>
      </w:r>
      <w:r w:rsidR="000A1382" w:rsidRPr="00C92462">
        <w:rPr>
          <w:rFonts w:ascii="Arial" w:hAnsi="Arial" w:cs="Arial"/>
        </w:rPr>
        <w:t>compared</w:t>
      </w:r>
      <w:r w:rsidRPr="00C92462">
        <w:rPr>
          <w:rFonts w:ascii="Arial" w:hAnsi="Arial" w:cs="Arial"/>
        </w:rPr>
        <w:t xml:space="preserve"> to scramble.</w:t>
      </w:r>
    </w:p>
    <w:p w:rsidR="00AC4A3D" w:rsidRPr="00C92462" w:rsidRDefault="000E417F" w:rsidP="00AC4A3D">
      <w:pPr>
        <w:jc w:val="center"/>
        <w:rPr>
          <w:rFonts w:ascii="Arial" w:hAnsi="Arial" w:cs="Arial"/>
        </w:rPr>
      </w:pPr>
      <w:r w:rsidRPr="00C92462">
        <w:rPr>
          <w:rFonts w:ascii="Arial" w:hAnsi="Arial" w:cs="Arial"/>
          <w:noProof/>
        </w:rPr>
        <w:drawing>
          <wp:anchor distT="0" distB="0" distL="114300" distR="114300" simplePos="0" relativeHeight="251658240" behindDoc="0" locked="0" layoutInCell="1" allowOverlap="1" wp14:anchorId="79B04FD7" wp14:editId="7BF3EA55">
            <wp:simplePos x="0" y="0"/>
            <wp:positionH relativeFrom="column">
              <wp:posOffset>403860</wp:posOffset>
            </wp:positionH>
            <wp:positionV relativeFrom="paragraph">
              <wp:posOffset>1270</wp:posOffset>
            </wp:positionV>
            <wp:extent cx="5166360" cy="2377440"/>
            <wp:effectExtent l="0" t="0" r="0" b="381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66360" cy="2377440"/>
                    </a:xfrm>
                    <a:prstGeom prst="rect">
                      <a:avLst/>
                    </a:prstGeom>
                    <a:noFill/>
                  </pic:spPr>
                </pic:pic>
              </a:graphicData>
            </a:graphic>
            <wp14:sizeRelH relativeFrom="page">
              <wp14:pctWidth>0</wp14:pctWidth>
            </wp14:sizeRelH>
            <wp14:sizeRelV relativeFrom="page">
              <wp14:pctHeight>0</wp14:pctHeight>
            </wp14:sizeRelV>
          </wp:anchor>
        </w:drawing>
      </w:r>
    </w:p>
    <w:p w:rsidR="000F521B" w:rsidRPr="00C92462" w:rsidRDefault="000F521B">
      <w:pPr>
        <w:rPr>
          <w:rFonts w:ascii="Arial" w:hAnsi="Arial" w:cs="Arial"/>
          <w:b/>
        </w:rPr>
      </w:pPr>
      <w:r w:rsidRPr="00C92462">
        <w:rPr>
          <w:rFonts w:ascii="Arial" w:hAnsi="Arial" w:cs="Arial"/>
          <w:b/>
        </w:rPr>
        <w:br w:type="page"/>
      </w:r>
    </w:p>
    <w:p w:rsidR="000F521B" w:rsidRPr="00C92462" w:rsidRDefault="000F521B" w:rsidP="000F521B">
      <w:pPr>
        <w:rPr>
          <w:rFonts w:ascii="Arial" w:hAnsi="Arial" w:cs="Arial"/>
          <w:b/>
        </w:rPr>
      </w:pPr>
    </w:p>
    <w:p w:rsidR="000F521B" w:rsidRPr="00C92462" w:rsidRDefault="000F521B" w:rsidP="000F521B">
      <w:pPr>
        <w:jc w:val="both"/>
        <w:rPr>
          <w:rFonts w:ascii="Arial" w:hAnsi="Arial" w:cs="Arial"/>
        </w:rPr>
      </w:pPr>
      <w:r w:rsidRPr="00C92462">
        <w:rPr>
          <w:rFonts w:ascii="Arial" w:hAnsi="Arial" w:cs="Arial"/>
          <w:b/>
        </w:rPr>
        <w:t xml:space="preserve">Supplementary Figure </w:t>
      </w:r>
      <w:r w:rsidR="009D5A75" w:rsidRPr="00C92462">
        <w:rPr>
          <w:rFonts w:ascii="Arial" w:hAnsi="Arial" w:cs="Arial"/>
          <w:b/>
        </w:rPr>
        <w:t>S2</w:t>
      </w:r>
      <w:r w:rsidRPr="00C92462">
        <w:rPr>
          <w:rFonts w:ascii="Arial" w:hAnsi="Arial" w:cs="Arial"/>
          <w:b/>
        </w:rPr>
        <w:t>: Validation of Fluxor Assay for GIRK1/4.</w:t>
      </w:r>
      <w:r w:rsidRPr="00C92462">
        <w:rPr>
          <w:rFonts w:ascii="Arial" w:hAnsi="Arial" w:cs="Arial"/>
        </w:rPr>
        <w:t xml:space="preserve"> Thallium ion </w:t>
      </w:r>
      <w:r w:rsidR="009D5A75" w:rsidRPr="00C92462">
        <w:rPr>
          <w:rFonts w:ascii="Arial" w:hAnsi="Arial" w:cs="Arial"/>
        </w:rPr>
        <w:t xml:space="preserve">flux </w:t>
      </w:r>
      <w:r w:rsidRPr="00C92462">
        <w:rPr>
          <w:rFonts w:ascii="Arial" w:hAnsi="Arial" w:cs="Arial"/>
        </w:rPr>
        <w:t xml:space="preserve">was measured in HL-1 cells with or without carbachol (10µM) and tertiapin q (100 nM). Fluorescence intensity was normalized to </w:t>
      </w:r>
      <w:r w:rsidR="000A1382" w:rsidRPr="00C92462">
        <w:rPr>
          <w:rFonts w:ascii="Arial" w:hAnsi="Arial" w:cs="Arial"/>
        </w:rPr>
        <w:t>time point</w:t>
      </w:r>
      <w:r w:rsidRPr="00C92462">
        <w:rPr>
          <w:rFonts w:ascii="Arial" w:hAnsi="Arial" w:cs="Arial"/>
        </w:rPr>
        <w:t xml:space="preserve"> 0 (A) and to the mean fluorescence ratio (F/F</w:t>
      </w:r>
      <w:r w:rsidRPr="00C92462">
        <w:rPr>
          <w:rFonts w:ascii="Arial" w:hAnsi="Arial" w:cs="Arial"/>
          <w:vertAlign w:val="subscript"/>
        </w:rPr>
        <w:t>0</w:t>
      </w:r>
      <w:r w:rsidRPr="00C92462">
        <w:rPr>
          <w:rFonts w:ascii="Arial" w:hAnsi="Arial" w:cs="Arial"/>
        </w:rPr>
        <w:t xml:space="preserve">) of the controls (B), thereby demonstrating that the carbachol induced thallium </w:t>
      </w:r>
      <w:r w:rsidR="009D5A75" w:rsidRPr="00C92462">
        <w:rPr>
          <w:rFonts w:ascii="Arial" w:hAnsi="Arial" w:cs="Arial"/>
        </w:rPr>
        <w:t xml:space="preserve">flux </w:t>
      </w:r>
      <w:r w:rsidRPr="00C92462">
        <w:rPr>
          <w:rFonts w:ascii="Arial" w:hAnsi="Arial" w:cs="Arial"/>
        </w:rPr>
        <w:t>is tertiapin q sensitive and therefore GIRK dependent. (N=4 experiments/group, n=3 wells/experiment)</w:t>
      </w:r>
    </w:p>
    <w:p w:rsidR="000F521B" w:rsidRPr="00C92462" w:rsidRDefault="000F521B" w:rsidP="000F521B">
      <w:r w:rsidRPr="00C92462">
        <w:rPr>
          <w:noProof/>
        </w:rPr>
        <w:drawing>
          <wp:inline distT="0" distB="0" distL="0" distR="0" wp14:anchorId="2B675201" wp14:editId="35C1C0D6">
            <wp:extent cx="5897880" cy="2505456"/>
            <wp:effectExtent l="0" t="0" r="762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97880" cy="2505456"/>
                    </a:xfrm>
                    <a:prstGeom prst="rect">
                      <a:avLst/>
                    </a:prstGeom>
                    <a:noFill/>
                    <a:ln>
                      <a:noFill/>
                    </a:ln>
                  </pic:spPr>
                </pic:pic>
              </a:graphicData>
            </a:graphic>
          </wp:inline>
        </w:drawing>
      </w:r>
    </w:p>
    <w:p w:rsidR="00485B9D" w:rsidRPr="00C92462" w:rsidRDefault="00485B9D" w:rsidP="00485B9D">
      <w:r w:rsidRPr="00C92462">
        <w:br w:type="page"/>
      </w:r>
    </w:p>
    <w:p w:rsidR="00485B9D" w:rsidRPr="00C92462" w:rsidRDefault="00485B9D" w:rsidP="00485B9D">
      <w:pPr>
        <w:jc w:val="both"/>
        <w:rPr>
          <w:rFonts w:ascii="Arial" w:hAnsi="Arial" w:cs="Arial"/>
        </w:rPr>
      </w:pPr>
      <w:r w:rsidRPr="00C92462">
        <w:rPr>
          <w:rFonts w:ascii="Arial" w:hAnsi="Arial" w:cs="Arial"/>
          <w:b/>
        </w:rPr>
        <w:lastRenderedPageBreak/>
        <w:t>Supplementary Figure S</w:t>
      </w:r>
      <w:r w:rsidR="00AC4A3D" w:rsidRPr="00C92462">
        <w:rPr>
          <w:rFonts w:ascii="Arial" w:hAnsi="Arial" w:cs="Arial"/>
          <w:b/>
        </w:rPr>
        <w:t>3</w:t>
      </w:r>
      <w:r w:rsidRPr="00C92462">
        <w:rPr>
          <w:rFonts w:ascii="Arial" w:hAnsi="Arial" w:cs="Arial"/>
          <w:b/>
        </w:rPr>
        <w:t xml:space="preserve">: Lung weight/tibia length and interstitial fibrosis in the pharmacological models. </w:t>
      </w:r>
      <w:r w:rsidRPr="00C92462">
        <w:rPr>
          <w:rFonts w:ascii="Arial" w:hAnsi="Arial" w:cs="Arial"/>
        </w:rPr>
        <w:t xml:space="preserve">Lung weight/ tibia length was not different in angiotensin II (AII, a) or isoprenaline (Iso, b) treated animals compared to respective untreated animals. While in AII treated animals no increase in </w:t>
      </w:r>
      <w:r w:rsidR="000A1382" w:rsidRPr="00C92462">
        <w:rPr>
          <w:rFonts w:ascii="Arial" w:hAnsi="Arial" w:cs="Arial"/>
        </w:rPr>
        <w:t>S</w:t>
      </w:r>
      <w:r w:rsidRPr="00C92462">
        <w:rPr>
          <w:rFonts w:ascii="Arial" w:hAnsi="Arial" w:cs="Arial"/>
        </w:rPr>
        <w:t xml:space="preserve">irius red stained tissue (% interstitial fibrosis, c) could be observed, there was a </w:t>
      </w:r>
      <w:r w:rsidR="000A1382" w:rsidRPr="00C92462">
        <w:rPr>
          <w:rFonts w:ascii="Arial" w:hAnsi="Arial" w:cs="Arial"/>
        </w:rPr>
        <w:t>significant</w:t>
      </w:r>
      <w:r w:rsidRPr="00C92462">
        <w:rPr>
          <w:rFonts w:ascii="Arial" w:hAnsi="Arial" w:cs="Arial"/>
        </w:rPr>
        <w:t xml:space="preserve"> increase due to isoprenaline treatment (d). (AII: N= 12-15 animals/group, iso: 5-6 animals/group)</w:t>
      </w:r>
    </w:p>
    <w:p w:rsidR="00485B9D" w:rsidRPr="00C92462" w:rsidRDefault="000A1382" w:rsidP="002B0CD3">
      <w:pPr>
        <w:jc w:val="center"/>
      </w:pPr>
      <w:r w:rsidRPr="00C92462">
        <w:rPr>
          <w:noProof/>
        </w:rPr>
        <w:drawing>
          <wp:inline distT="0" distB="0" distL="0" distR="0" wp14:anchorId="6715AE5A" wp14:editId="45CE93A7">
            <wp:extent cx="2551176" cy="2889504"/>
            <wp:effectExtent l="0" t="0" r="1905" b="635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51176" cy="2889504"/>
                    </a:xfrm>
                    <a:prstGeom prst="rect">
                      <a:avLst/>
                    </a:prstGeom>
                    <a:noFill/>
                  </pic:spPr>
                </pic:pic>
              </a:graphicData>
            </a:graphic>
          </wp:inline>
        </w:drawing>
      </w:r>
    </w:p>
    <w:p w:rsidR="00485B9D" w:rsidRPr="00C92462" w:rsidRDefault="00485B9D" w:rsidP="00485B9D">
      <w:pPr>
        <w:jc w:val="center"/>
      </w:pPr>
    </w:p>
    <w:p w:rsidR="00BE73EA" w:rsidRPr="00C92462" w:rsidRDefault="00BE73EA" w:rsidP="00721AFA">
      <w:pPr>
        <w:jc w:val="both"/>
        <w:rPr>
          <w:rFonts w:ascii="Arial" w:hAnsi="Arial" w:cs="Arial"/>
        </w:rPr>
      </w:pPr>
      <w:r w:rsidRPr="00C92462">
        <w:rPr>
          <w:rFonts w:ascii="Arial" w:hAnsi="Arial" w:cs="Arial"/>
        </w:rPr>
        <w:br w:type="page"/>
      </w:r>
    </w:p>
    <w:p w:rsidR="00BE73EA" w:rsidRPr="00C92462" w:rsidRDefault="00BE73EA" w:rsidP="00721AFA">
      <w:pPr>
        <w:jc w:val="both"/>
        <w:rPr>
          <w:rFonts w:ascii="Arial" w:hAnsi="Arial" w:cs="Arial"/>
          <w:b/>
        </w:rPr>
      </w:pPr>
      <w:r w:rsidRPr="00C92462">
        <w:rPr>
          <w:rFonts w:ascii="Arial" w:hAnsi="Arial" w:cs="Arial"/>
          <w:b/>
        </w:rPr>
        <w:lastRenderedPageBreak/>
        <w:t>Extended</w:t>
      </w:r>
    </w:p>
    <w:p w:rsidR="00BE73EA" w:rsidRPr="00C92462" w:rsidRDefault="00BE73EA" w:rsidP="00721AFA">
      <w:pPr>
        <w:spacing w:after="120" w:line="360" w:lineRule="auto"/>
        <w:jc w:val="both"/>
        <w:rPr>
          <w:rFonts w:ascii="Arial" w:hAnsi="Arial" w:cs="Arial"/>
          <w:b/>
        </w:rPr>
      </w:pPr>
      <w:r w:rsidRPr="00C92462">
        <w:rPr>
          <w:rFonts w:ascii="Arial" w:hAnsi="Arial" w:cs="Arial"/>
          <w:b/>
        </w:rPr>
        <w:t>Material and Methods</w:t>
      </w:r>
    </w:p>
    <w:p w:rsidR="00BE73EA" w:rsidRPr="00C92462" w:rsidRDefault="00BE73EA" w:rsidP="00721AFA">
      <w:pPr>
        <w:spacing w:after="120" w:line="360" w:lineRule="auto"/>
        <w:jc w:val="both"/>
        <w:rPr>
          <w:rFonts w:ascii="Arial" w:hAnsi="Arial" w:cs="Arial"/>
          <w:b/>
        </w:rPr>
      </w:pPr>
      <w:r w:rsidRPr="00C92462">
        <w:rPr>
          <w:rFonts w:ascii="Arial" w:hAnsi="Arial" w:cs="Arial"/>
          <w:b/>
        </w:rPr>
        <w:t>Ethics statement</w:t>
      </w:r>
    </w:p>
    <w:p w:rsidR="00BE73EA" w:rsidRPr="00C92462" w:rsidRDefault="00BE73EA" w:rsidP="00721AFA">
      <w:pPr>
        <w:spacing w:after="120" w:line="360" w:lineRule="auto"/>
        <w:jc w:val="both"/>
        <w:rPr>
          <w:rFonts w:ascii="Arial" w:hAnsi="Arial" w:cs="Arial"/>
        </w:rPr>
      </w:pPr>
      <w:r w:rsidRPr="00C92462">
        <w:rPr>
          <w:rFonts w:ascii="Arial" w:hAnsi="Arial" w:cs="Arial"/>
        </w:rPr>
        <w:t>All mouse experiments described in this manuscript were approved by the local government (Landesverwaltungsamt Sachsen-Anhalt, Germany, permit number</w:t>
      </w:r>
      <w:proofErr w:type="gramStart"/>
      <w:r w:rsidRPr="00C92462">
        <w:rPr>
          <w:rFonts w:ascii="Arial" w:hAnsi="Arial" w:cs="Arial"/>
        </w:rPr>
        <w:t>:42502</w:t>
      </w:r>
      <w:proofErr w:type="gramEnd"/>
      <w:r w:rsidRPr="00C92462">
        <w:rPr>
          <w:rFonts w:ascii="Arial" w:hAnsi="Arial" w:cs="Arial"/>
        </w:rPr>
        <w:t>-2-1124 and -1201 MLU) and were performed according to the guidelines of the directive 2010/63/EU of the European Parliament on the protection of animals used for scientific purposes.</w:t>
      </w:r>
    </w:p>
    <w:p w:rsidR="00BE73EA" w:rsidRPr="00C92462" w:rsidRDefault="00BE73EA" w:rsidP="00721AFA">
      <w:pPr>
        <w:spacing w:after="120" w:line="360" w:lineRule="auto"/>
        <w:jc w:val="both"/>
        <w:rPr>
          <w:rFonts w:ascii="Arial" w:hAnsi="Arial" w:cs="Arial"/>
          <w:b/>
        </w:rPr>
      </w:pPr>
      <w:r w:rsidRPr="00C92462">
        <w:rPr>
          <w:rFonts w:ascii="Arial" w:hAnsi="Arial" w:cs="Arial"/>
          <w:b/>
        </w:rPr>
        <w:t>Animal models</w:t>
      </w:r>
    </w:p>
    <w:p w:rsidR="00BE73EA" w:rsidRPr="00C92462" w:rsidRDefault="00BE73EA" w:rsidP="00721AFA">
      <w:pPr>
        <w:spacing w:after="120" w:line="360" w:lineRule="auto"/>
        <w:jc w:val="both"/>
        <w:rPr>
          <w:rFonts w:ascii="Arial" w:hAnsi="Arial" w:cs="Arial"/>
        </w:rPr>
      </w:pPr>
      <w:r w:rsidRPr="00C92462">
        <w:rPr>
          <w:rFonts w:ascii="Arial" w:hAnsi="Arial" w:cs="Arial"/>
        </w:rPr>
        <w:t xml:space="preserve">Mice were kept in the facilities of the University of Halle-Wittenberg at a room temperature of 20 ± 1°C and with a 12 h/12 h light/dark cycle. Generation, genotyping and the cardiovascular phenotype of EGFR KO animals were described </w:t>
      </w:r>
      <w:r w:rsidR="000A1382" w:rsidRPr="00C92462">
        <w:rPr>
          <w:rFonts w:ascii="Arial" w:hAnsi="Arial" w:cs="Arial"/>
        </w:rPr>
        <w:t>before</w:t>
      </w:r>
      <w:r w:rsidR="000A1382" w:rsidRPr="00C92462">
        <w:rPr>
          <w:rFonts w:ascii="Arial" w:hAnsi="Arial" w:cs="Arial"/>
          <w:noProof/>
        </w:rPr>
        <w:t xml:space="preserve"> [</w:t>
      </w:r>
      <w:r w:rsidRPr="00C92462">
        <w:rPr>
          <w:rFonts w:ascii="Arial" w:hAnsi="Arial" w:cs="Arial"/>
          <w:noProof/>
        </w:rPr>
        <w:t>5]</w:t>
      </w:r>
      <w:r w:rsidRPr="00C92462">
        <w:rPr>
          <w:rFonts w:ascii="Arial" w:hAnsi="Arial" w:cs="Arial"/>
        </w:rPr>
        <w:t>. Mice with a deletion of the EGFR in VSMC and a strong reduction in cardiomyocytes are termed either EGFR</w:t>
      </w:r>
      <w:r w:rsidRPr="00C92462">
        <w:rPr>
          <w:rStyle w:val="Hervorhebung"/>
          <w:rFonts w:ascii="Arial" w:hAnsi="Arial" w:cs="Arial"/>
          <w:vertAlign w:val="superscript"/>
        </w:rPr>
        <w:t>Δ/ΔVSMC&amp;CM</w:t>
      </w:r>
      <w:r w:rsidRPr="00C92462">
        <w:rPr>
          <w:rFonts w:ascii="Arial" w:hAnsi="Arial" w:cs="Arial"/>
        </w:rPr>
        <w:t xml:space="preserve"> or knockout [KO]. Prior to angiotensin II [AII] or isoprenaline [iso] treatment, animals where observed for 7 days and weight was measured daily. </w:t>
      </w:r>
    </w:p>
    <w:p w:rsidR="00BE73EA" w:rsidRPr="00C92462" w:rsidRDefault="00BE73EA" w:rsidP="00721AFA">
      <w:pPr>
        <w:spacing w:after="120" w:line="360" w:lineRule="auto"/>
        <w:jc w:val="both"/>
        <w:rPr>
          <w:rFonts w:ascii="Arial" w:hAnsi="Arial" w:cs="Arial"/>
        </w:rPr>
      </w:pPr>
      <w:r w:rsidRPr="00C92462">
        <w:rPr>
          <w:rFonts w:ascii="Arial" w:hAnsi="Arial" w:cs="Arial"/>
        </w:rPr>
        <w:t xml:space="preserve">For angiotensin II (AII, 1000 ng/kg BW/min over three weeks) or isoprenaline (iso, 30 mg/kg/day or two weeks) treatment animals were anaesthetized with isoflurane (~2% v/v in 100% O2, 1 l/min) and Alzet minipumps (1004) were implanted subcutaneously in the back of the animals. 5-10 animals per group were included into the study. Carprofen (5-10 mg/kg BW, Rimadyl, Pfizer, New York, USA) was injected subcutaneously immediately before pump implantation. If necessary, pain relief was repeated every twelve hours. Mice were sacrificed by cervical dislocation in isoflurane </w:t>
      </w:r>
      <w:r w:rsidR="000A1382" w:rsidRPr="00C92462">
        <w:rPr>
          <w:rFonts w:ascii="Arial" w:hAnsi="Arial" w:cs="Arial"/>
        </w:rPr>
        <w:t>anesthesia</w:t>
      </w:r>
      <w:r w:rsidRPr="00C92462">
        <w:rPr>
          <w:rFonts w:ascii="Arial" w:hAnsi="Arial" w:cs="Arial"/>
        </w:rPr>
        <w:t>.</w:t>
      </w:r>
    </w:p>
    <w:p w:rsidR="00BE73EA" w:rsidRPr="00C92462" w:rsidRDefault="00BE73EA" w:rsidP="00721AFA">
      <w:pPr>
        <w:spacing w:after="120" w:line="360" w:lineRule="auto"/>
        <w:jc w:val="both"/>
        <w:rPr>
          <w:rFonts w:ascii="Arial" w:hAnsi="Arial" w:cs="Arial"/>
          <w:b/>
        </w:rPr>
      </w:pPr>
      <w:r w:rsidRPr="00C92462">
        <w:rPr>
          <w:rFonts w:ascii="Arial" w:hAnsi="Arial" w:cs="Arial"/>
          <w:b/>
        </w:rPr>
        <w:t>Harvesting of organs, cardiomyocytes and cardiac fibroblasts</w:t>
      </w:r>
    </w:p>
    <w:p w:rsidR="00BE73EA" w:rsidRPr="00C92462" w:rsidRDefault="00BE73EA" w:rsidP="00721AFA">
      <w:pPr>
        <w:spacing w:after="120" w:line="360" w:lineRule="auto"/>
        <w:jc w:val="both"/>
        <w:rPr>
          <w:rFonts w:ascii="Arial" w:hAnsi="Arial" w:cs="Arial"/>
        </w:rPr>
      </w:pPr>
      <w:r w:rsidRPr="00C92462">
        <w:rPr>
          <w:rFonts w:ascii="Arial" w:hAnsi="Arial" w:cs="Arial"/>
        </w:rPr>
        <w:t xml:space="preserve">Mice were sacrificed after </w:t>
      </w:r>
      <w:r w:rsidR="000A1382" w:rsidRPr="00C92462">
        <w:rPr>
          <w:rFonts w:ascii="Arial" w:hAnsi="Arial" w:cs="Arial"/>
        </w:rPr>
        <w:t>anesthesia</w:t>
      </w:r>
      <w:r w:rsidRPr="00C92462">
        <w:rPr>
          <w:rFonts w:ascii="Arial" w:hAnsi="Arial" w:cs="Arial"/>
        </w:rPr>
        <w:t xml:space="preserve"> with isoflurane as described above</w:t>
      </w:r>
      <w:r w:rsidRPr="00C92462">
        <w:rPr>
          <w:rFonts w:ascii="Arial" w:hAnsi="Arial" w:cs="Arial"/>
          <w:i/>
        </w:rPr>
        <w:t xml:space="preserve">. </w:t>
      </w:r>
      <w:r w:rsidRPr="00C92462">
        <w:rPr>
          <w:rFonts w:ascii="Arial" w:hAnsi="Arial" w:cs="Arial"/>
        </w:rPr>
        <w:t xml:space="preserve">Immediately after death heart, aorta, lung and kidney were removed, cleaned from connective tissue and weighed. Tibia length was measured for </w:t>
      </w:r>
      <w:r w:rsidR="000A1382" w:rsidRPr="00C92462">
        <w:rPr>
          <w:rFonts w:ascii="Arial" w:hAnsi="Arial" w:cs="Arial"/>
        </w:rPr>
        <w:t>normalization</w:t>
      </w:r>
      <w:r w:rsidRPr="00C92462">
        <w:rPr>
          <w:rFonts w:ascii="Arial" w:hAnsi="Arial" w:cs="Arial"/>
        </w:rPr>
        <w:t xml:space="preserve"> of organ weights. Furthermore, organs were immediately frozen in liquid nitrogen and a part of the heart was stored in 4.5% paraformaldehyde for fixation. Hearts selected for preparation of cardiomyocytes and cardiac fibroblasts where perfused with digestion buffers as described </w:t>
      </w:r>
      <w:r w:rsidR="000A1382" w:rsidRPr="00C92462">
        <w:rPr>
          <w:rFonts w:ascii="Arial" w:hAnsi="Arial" w:cs="Arial"/>
        </w:rPr>
        <w:t>before</w:t>
      </w:r>
      <w:r w:rsidR="000A1382" w:rsidRPr="00C92462">
        <w:rPr>
          <w:rFonts w:ascii="Arial" w:hAnsi="Arial" w:cs="Arial"/>
          <w:noProof/>
        </w:rPr>
        <w:t xml:space="preserve"> [</w:t>
      </w:r>
      <w:r w:rsidRPr="00C92462">
        <w:rPr>
          <w:rFonts w:ascii="Arial" w:hAnsi="Arial" w:cs="Arial"/>
          <w:noProof/>
        </w:rPr>
        <w:t>3]</w:t>
      </w:r>
      <w:r w:rsidRPr="00C92462">
        <w:rPr>
          <w:rFonts w:ascii="Arial" w:hAnsi="Arial" w:cs="Arial"/>
        </w:rPr>
        <w:t>. Freshly isolated cardiomyocytes were directly frozen in liquid nitrogen and cardiac fibroblasts were cultured to increase the amount of cells.</w:t>
      </w:r>
    </w:p>
    <w:p w:rsidR="00BE73EA" w:rsidRPr="00C92462" w:rsidRDefault="00BE73EA" w:rsidP="00721AFA">
      <w:pPr>
        <w:spacing w:after="120" w:line="360" w:lineRule="auto"/>
        <w:jc w:val="both"/>
        <w:rPr>
          <w:rFonts w:ascii="Arial" w:hAnsi="Arial" w:cs="Arial"/>
        </w:rPr>
      </w:pPr>
    </w:p>
    <w:p w:rsidR="00BE73EA" w:rsidRPr="00C92462" w:rsidRDefault="00BE73EA" w:rsidP="00721AFA">
      <w:pPr>
        <w:spacing w:after="120" w:line="360" w:lineRule="auto"/>
        <w:jc w:val="both"/>
        <w:rPr>
          <w:rFonts w:ascii="Arial" w:hAnsi="Arial" w:cs="Arial"/>
        </w:rPr>
      </w:pPr>
    </w:p>
    <w:p w:rsidR="00BE73EA" w:rsidRPr="00C92462" w:rsidRDefault="00BE73EA" w:rsidP="00721AFA">
      <w:pPr>
        <w:spacing w:after="120" w:line="360" w:lineRule="auto"/>
        <w:jc w:val="both"/>
        <w:rPr>
          <w:rFonts w:ascii="Arial" w:hAnsi="Arial" w:cs="Arial"/>
          <w:b/>
        </w:rPr>
      </w:pPr>
      <w:r w:rsidRPr="00C92462">
        <w:rPr>
          <w:rFonts w:ascii="Arial" w:hAnsi="Arial" w:cs="Arial"/>
          <w:b/>
        </w:rPr>
        <w:lastRenderedPageBreak/>
        <w:t>Microscopic analysis of the hearts</w:t>
      </w:r>
    </w:p>
    <w:p w:rsidR="00BE73EA" w:rsidRPr="00C92462" w:rsidRDefault="00BE73EA" w:rsidP="00721AFA">
      <w:pPr>
        <w:spacing w:after="120" w:line="360" w:lineRule="auto"/>
        <w:jc w:val="both"/>
        <w:rPr>
          <w:rFonts w:ascii="Arial" w:hAnsi="Arial" w:cs="Arial"/>
        </w:rPr>
      </w:pPr>
      <w:r w:rsidRPr="00C92462">
        <w:rPr>
          <w:rFonts w:ascii="Arial" w:hAnsi="Arial" w:cs="Arial"/>
        </w:rPr>
        <w:t xml:space="preserve">The degree of interstitial fibrosis in hearts was determined by evaluation of Sirius Red stained area from at least 10 microscopic fields per animal, utilizing a point counting </w:t>
      </w:r>
      <w:r w:rsidR="000A1382" w:rsidRPr="00C92462">
        <w:rPr>
          <w:rFonts w:ascii="Arial" w:hAnsi="Arial" w:cs="Arial"/>
        </w:rPr>
        <w:t>technique</w:t>
      </w:r>
      <w:r w:rsidR="000A1382" w:rsidRPr="00C92462">
        <w:rPr>
          <w:rFonts w:ascii="Arial" w:hAnsi="Arial" w:cs="Arial"/>
          <w:noProof/>
        </w:rPr>
        <w:t xml:space="preserve"> [</w:t>
      </w:r>
      <w:r w:rsidRPr="00C92462">
        <w:rPr>
          <w:rFonts w:ascii="Arial" w:hAnsi="Arial" w:cs="Arial"/>
          <w:noProof/>
        </w:rPr>
        <w:t>6]</w:t>
      </w:r>
      <w:r w:rsidRPr="00C92462">
        <w:rPr>
          <w:rFonts w:ascii="Arial" w:hAnsi="Arial" w:cs="Arial"/>
        </w:rPr>
        <w:t xml:space="preserve">. To analyze cardiomyocyte diameter </w:t>
      </w:r>
      <w:r w:rsidR="000A1382" w:rsidRPr="00C92462">
        <w:rPr>
          <w:rFonts w:ascii="Arial" w:hAnsi="Arial" w:cs="Arial"/>
        </w:rPr>
        <w:t>hematoxylin</w:t>
      </w:r>
      <w:r w:rsidRPr="00C92462">
        <w:rPr>
          <w:rFonts w:ascii="Arial" w:hAnsi="Arial" w:cs="Arial"/>
        </w:rPr>
        <w:t xml:space="preserve">/eosin stained </w:t>
      </w:r>
      <w:r w:rsidR="000A1382" w:rsidRPr="00C92462">
        <w:rPr>
          <w:rFonts w:ascii="Arial" w:hAnsi="Arial" w:cs="Arial"/>
        </w:rPr>
        <w:t>cross-sections</w:t>
      </w:r>
      <w:r w:rsidRPr="00C92462">
        <w:rPr>
          <w:rFonts w:ascii="Arial" w:hAnsi="Arial" w:cs="Arial"/>
        </w:rPr>
        <w:t xml:space="preserve"> of the left chamber were used. At least 100 cardiomyocytes were analyzed per mouse.</w:t>
      </w:r>
    </w:p>
    <w:p w:rsidR="00BE73EA" w:rsidRPr="00C92462" w:rsidRDefault="00BE73EA" w:rsidP="00721AFA">
      <w:pPr>
        <w:spacing w:after="120" w:line="360" w:lineRule="auto"/>
        <w:jc w:val="both"/>
        <w:rPr>
          <w:rFonts w:ascii="Arial" w:hAnsi="Arial" w:cs="Arial"/>
          <w:b/>
        </w:rPr>
      </w:pPr>
      <w:r w:rsidRPr="00C92462">
        <w:rPr>
          <w:rFonts w:ascii="Arial" w:hAnsi="Arial" w:cs="Arial"/>
          <w:b/>
        </w:rPr>
        <w:t>Electrocardiography</w:t>
      </w:r>
    </w:p>
    <w:p w:rsidR="00BE73EA" w:rsidRPr="00C92462" w:rsidRDefault="00BE73EA" w:rsidP="00721AFA">
      <w:pPr>
        <w:spacing w:after="120" w:line="360" w:lineRule="auto"/>
        <w:jc w:val="both"/>
        <w:rPr>
          <w:rFonts w:ascii="Arial" w:hAnsi="Arial" w:cs="Arial"/>
          <w:b/>
        </w:rPr>
      </w:pPr>
      <w:r w:rsidRPr="00C92462">
        <w:rPr>
          <w:rFonts w:ascii="Arial" w:hAnsi="Arial" w:cs="Arial"/>
        </w:rPr>
        <w:t>Animals were anesthetized with isoflurane 2% (1L/min O2) and electrocardiography recordings were obtained for at least ten minutes employing AD Instruments LabChart equipment and an Einthoven I limb lead recording. The following parameters were analyzed for standard ECG evaluation: PR interval (measured from the beginning of the P wave to the start of the chamber complex, a measure for the conduction time), P duration (time from start to end of the P wave, a measure for the dispersion of the excitation in the atria), QRS interval (time from start to end of the chamber excitation, a measure for the dispersion of the excitation in the chambers) and QTc interval (time from start of the chamber excitation to the end of the chamber repolarization, heart rate corrected according to Bazette, QTc = QT interval/</w:t>
      </w:r>
      <w:r w:rsidRPr="00C92462">
        <w:rPr>
          <w:rFonts w:ascii="Arial" w:hAnsi="Arial" w:cs="Arial"/>
        </w:rPr>
        <w:sym w:font="Symbol" w:char="F0D6"/>
      </w:r>
      <w:r w:rsidRPr="00C92462">
        <w:rPr>
          <w:rFonts w:ascii="Arial" w:hAnsi="Arial" w:cs="Arial"/>
        </w:rPr>
        <w:t xml:space="preserve">RR-interval). Heart rate variability was analyzed in the above mentioned ECG as described </w:t>
      </w:r>
      <w:r w:rsidR="000A1382" w:rsidRPr="00C92462">
        <w:rPr>
          <w:rFonts w:ascii="Arial" w:hAnsi="Arial" w:cs="Arial"/>
        </w:rPr>
        <w:t>before</w:t>
      </w:r>
      <w:r w:rsidR="000A1382" w:rsidRPr="00C92462">
        <w:rPr>
          <w:rFonts w:ascii="Arial" w:hAnsi="Arial" w:cs="Arial"/>
          <w:noProof/>
        </w:rPr>
        <w:t xml:space="preserve"> [</w:t>
      </w:r>
      <w:r w:rsidRPr="00C92462">
        <w:rPr>
          <w:rFonts w:ascii="Arial" w:hAnsi="Arial" w:cs="Arial"/>
          <w:noProof/>
        </w:rPr>
        <w:t>7]</w:t>
      </w:r>
      <w:r w:rsidRPr="00C92462">
        <w:rPr>
          <w:rFonts w:ascii="Arial" w:hAnsi="Arial" w:cs="Arial"/>
        </w:rPr>
        <w:t xml:space="preserve"> with ΔNN=6ms. The following parameters were analyzed: SDNN (standard deviation of RR interval of normal-to-normal intervals, a representation of overall heart rate variability), SD delta NN (standard deviation of averages of normal R-R intervals), RMSSD (Square root of the mean of the sum of the squares of differences between adjacent NN intervals).</w:t>
      </w:r>
    </w:p>
    <w:p w:rsidR="00BE73EA" w:rsidRPr="00C92462" w:rsidRDefault="00BE73EA" w:rsidP="00721AFA">
      <w:pPr>
        <w:spacing w:after="120" w:line="360" w:lineRule="auto"/>
        <w:jc w:val="both"/>
        <w:rPr>
          <w:rFonts w:ascii="Arial" w:hAnsi="Arial" w:cs="Arial"/>
          <w:b/>
        </w:rPr>
      </w:pPr>
      <w:r w:rsidRPr="00C92462">
        <w:rPr>
          <w:rFonts w:ascii="Arial" w:hAnsi="Arial" w:cs="Arial"/>
          <w:b/>
        </w:rPr>
        <w:t xml:space="preserve">RNA isolation and concentration determination </w:t>
      </w:r>
    </w:p>
    <w:p w:rsidR="00BE73EA" w:rsidRPr="00C92462" w:rsidRDefault="00BE73EA" w:rsidP="00721AFA">
      <w:pPr>
        <w:spacing w:after="120" w:line="360" w:lineRule="auto"/>
        <w:jc w:val="both"/>
        <w:rPr>
          <w:rFonts w:ascii="Arial" w:hAnsi="Arial" w:cs="Arial"/>
          <w:b/>
        </w:rPr>
      </w:pPr>
      <w:r w:rsidRPr="00C92462">
        <w:rPr>
          <w:rFonts w:ascii="Arial" w:hAnsi="Arial" w:cs="Arial"/>
        </w:rPr>
        <w:t xml:space="preserve">Total RNA was isolated using the InviTrap spin tissue RNA mini kit (STRATEC Molecular GmbH, Berlin, Germany) by following their instructions. RNA concentration was measured by NanoVue Plus spectrophotometer (GE Healthcare, Berlin Germany). For RNA seq, total RNA was isolated by TRIzol Reagent (Invitrogen Life Technologies, Darmstadt, Germany). RNA was precipitated twice with ethanol and the quality was analyzed on a 2100 Bioanalyzer (Agilent). All samples had a RNA Integrity Number (RIN) above 7 (RIN 10 indicates maximum quality of the samples). </w:t>
      </w:r>
    </w:p>
    <w:p w:rsidR="00BE73EA" w:rsidRPr="00C92462" w:rsidRDefault="00BE73EA" w:rsidP="00721AFA">
      <w:pPr>
        <w:spacing w:after="120" w:line="360" w:lineRule="auto"/>
        <w:jc w:val="both"/>
        <w:rPr>
          <w:rFonts w:ascii="Arial" w:hAnsi="Arial" w:cs="Arial"/>
          <w:b/>
        </w:rPr>
      </w:pPr>
      <w:r w:rsidRPr="00C92462">
        <w:rPr>
          <w:rFonts w:ascii="Arial" w:hAnsi="Arial" w:cs="Arial"/>
          <w:b/>
        </w:rPr>
        <w:t>cDNA preparation</w:t>
      </w:r>
    </w:p>
    <w:p w:rsidR="00BE73EA" w:rsidRPr="00C92462" w:rsidRDefault="00BE73EA" w:rsidP="00721AFA">
      <w:pPr>
        <w:spacing w:after="120" w:line="360" w:lineRule="auto"/>
        <w:jc w:val="both"/>
        <w:rPr>
          <w:rFonts w:ascii="Arial" w:hAnsi="Arial" w:cs="Arial"/>
        </w:rPr>
      </w:pPr>
      <w:r w:rsidRPr="00C92462">
        <w:rPr>
          <w:rFonts w:ascii="Arial" w:hAnsi="Arial" w:cs="Arial"/>
        </w:rPr>
        <w:t>To remove genomic DNA contamination, one µg of total RNA was treated with 2.8 units of DNase I (RNase-free) (New England Biolabs, Frankfurt am Main, Germany) at 37°C for one hour, followed by enzyme inactivation at 75°C for 10 min. Reverse transcription (RT) reaction of DNase I-treated total RNA was performed with random primers</w:t>
      </w:r>
      <w:r w:rsidRPr="00C92462" w:rsidDel="00D97928">
        <w:rPr>
          <w:rFonts w:ascii="Arial" w:hAnsi="Arial" w:cs="Arial"/>
        </w:rPr>
        <w:t xml:space="preserve"> </w:t>
      </w:r>
      <w:r w:rsidRPr="00C92462">
        <w:rPr>
          <w:rFonts w:ascii="Arial" w:hAnsi="Arial" w:cs="Arial"/>
        </w:rPr>
        <w:t xml:space="preserve">using SuperScript II reverse </w:t>
      </w:r>
      <w:r w:rsidRPr="00C92462">
        <w:rPr>
          <w:rFonts w:ascii="Arial" w:hAnsi="Arial" w:cs="Arial"/>
        </w:rPr>
        <w:lastRenderedPageBreak/>
        <w:t xml:space="preserve">transcriptase (Invitrogen, Life Technologies, Darmstadt, Germany), according to the kit’s manual. </w:t>
      </w:r>
    </w:p>
    <w:p w:rsidR="00BE73EA" w:rsidRPr="00C92462" w:rsidRDefault="00BE73EA" w:rsidP="00721AFA">
      <w:pPr>
        <w:spacing w:after="120" w:line="360" w:lineRule="auto"/>
        <w:jc w:val="both"/>
        <w:rPr>
          <w:rFonts w:ascii="Arial" w:hAnsi="Arial" w:cs="Arial"/>
          <w:b/>
        </w:rPr>
      </w:pPr>
      <w:r w:rsidRPr="00C92462">
        <w:rPr>
          <w:rFonts w:ascii="Arial" w:hAnsi="Arial" w:cs="Arial"/>
          <w:b/>
        </w:rPr>
        <w:t>Real-time RT-PCR</w:t>
      </w:r>
    </w:p>
    <w:p w:rsidR="00BE73EA" w:rsidRPr="00C92462" w:rsidRDefault="00BE73EA" w:rsidP="00721AFA">
      <w:pPr>
        <w:spacing w:after="120" w:line="360" w:lineRule="auto"/>
        <w:jc w:val="both"/>
        <w:rPr>
          <w:rFonts w:ascii="Arial" w:hAnsi="Arial" w:cs="Arial"/>
          <w:b/>
        </w:rPr>
      </w:pPr>
      <w:r w:rsidRPr="00C92462">
        <w:rPr>
          <w:rFonts w:ascii="Arial" w:hAnsi="Arial" w:cs="Arial"/>
        </w:rPr>
        <w:t>To confirm differential expression of genes 1 µl cDNA was used in real-time RT-PCR (CFX96 Touch Real-Time PCR Detection System, BioRad, Munich, Germany or 7900HT Fast Real-time PCR system, Applied Biosystems, via Thermo Fisher Scientific, Karlsruhe, Germany). After initial denaturing at 95°C for 10 min, cDNA was amplified by 40 cycles of 95°C for 15 sec, 60°C for 30 sec, 72°C for 20 sec, followed by 72°C for 5 min to allow complete extension. Gene expression was normalized to the expression levels of eukaryotic 18S rRNA or Gapdh. Sequence of primers, as well as annealing temperature and RefSeq accession number/id are given in Supplementary table S1.</w:t>
      </w:r>
    </w:p>
    <w:p w:rsidR="00BE73EA" w:rsidRPr="00C92462" w:rsidRDefault="00BE73EA" w:rsidP="00721AFA">
      <w:pPr>
        <w:spacing w:after="120" w:line="360" w:lineRule="auto"/>
        <w:jc w:val="both"/>
        <w:rPr>
          <w:rFonts w:ascii="Arial" w:hAnsi="Arial" w:cs="Arial"/>
          <w:b/>
        </w:rPr>
      </w:pPr>
      <w:r w:rsidRPr="00C92462">
        <w:rPr>
          <w:rFonts w:ascii="Arial" w:hAnsi="Arial" w:cs="Arial"/>
          <w:b/>
        </w:rPr>
        <w:t>Droplet Digital PCR</w:t>
      </w:r>
    </w:p>
    <w:p w:rsidR="00BE73EA" w:rsidRPr="00C92462" w:rsidRDefault="00BE73EA" w:rsidP="00721AFA">
      <w:pPr>
        <w:spacing w:after="120" w:line="360" w:lineRule="auto"/>
        <w:jc w:val="both"/>
        <w:rPr>
          <w:rFonts w:ascii="Arial" w:hAnsi="Arial" w:cs="Arial"/>
          <w:b/>
        </w:rPr>
      </w:pPr>
      <w:r w:rsidRPr="00C92462">
        <w:rPr>
          <w:rFonts w:ascii="Arial" w:hAnsi="Arial" w:cs="Arial"/>
        </w:rPr>
        <w:t xml:space="preserve">To determine the absolute amount of RNA, Droplet Digital PCR (ddPCR) was performed using the QX200 system of BioRad (Munich, Germany). </w:t>
      </w:r>
      <w:proofErr w:type="gramStart"/>
      <w:r w:rsidRPr="00C92462">
        <w:rPr>
          <w:rFonts w:ascii="Arial" w:hAnsi="Arial" w:cs="Arial"/>
        </w:rPr>
        <w:t>cDNA</w:t>
      </w:r>
      <w:proofErr w:type="gramEnd"/>
      <w:r w:rsidRPr="00C92462">
        <w:rPr>
          <w:rFonts w:ascii="Arial" w:hAnsi="Arial" w:cs="Arial"/>
        </w:rPr>
        <w:t xml:space="preserve"> was prepared as described above and used in ddPCR at the same conditions as in </w:t>
      </w:r>
      <w:r w:rsidR="000A1382" w:rsidRPr="00C92462">
        <w:rPr>
          <w:rFonts w:ascii="Arial" w:hAnsi="Arial" w:cs="Arial"/>
        </w:rPr>
        <w:t>real-time</w:t>
      </w:r>
      <w:r w:rsidRPr="00C92462">
        <w:rPr>
          <w:rFonts w:ascii="Arial" w:hAnsi="Arial" w:cs="Arial"/>
        </w:rPr>
        <w:t xml:space="preserve"> RT-PCR. </w:t>
      </w:r>
    </w:p>
    <w:p w:rsidR="00BE73EA" w:rsidRPr="00C92462" w:rsidRDefault="00BE73EA" w:rsidP="00721AFA">
      <w:pPr>
        <w:spacing w:after="120" w:line="360" w:lineRule="auto"/>
        <w:jc w:val="both"/>
        <w:rPr>
          <w:rFonts w:ascii="Arial" w:hAnsi="Arial" w:cs="Arial"/>
          <w:b/>
        </w:rPr>
      </w:pPr>
      <w:r w:rsidRPr="00C92462">
        <w:rPr>
          <w:rFonts w:ascii="Arial" w:hAnsi="Arial" w:cs="Arial"/>
          <w:b/>
        </w:rPr>
        <w:t>TaqMan PCR</w:t>
      </w:r>
    </w:p>
    <w:p w:rsidR="00BE73EA" w:rsidRPr="00C92462" w:rsidRDefault="00BE73EA" w:rsidP="00721AFA">
      <w:pPr>
        <w:spacing w:after="120" w:line="360" w:lineRule="auto"/>
        <w:jc w:val="both"/>
        <w:rPr>
          <w:rFonts w:ascii="Arial" w:hAnsi="Arial" w:cs="Arial"/>
        </w:rPr>
      </w:pPr>
      <w:r w:rsidRPr="00C92462">
        <w:rPr>
          <w:rFonts w:ascii="Arial" w:hAnsi="Arial" w:cs="Arial"/>
        </w:rPr>
        <w:t>For the TaqMan PCR, cDNA was prepared as above. A primer pair and a FAM-labeled probe specific for either miR-221 or miR-222 was used simultaneously with a primer pair and a HEX-labeled probe specific for U6 and TaqMan™ Universal PCR Master Mix, no AmpErase™ UNG (Applied Biosystems, via Thermo Fisher Scientific, Karlsruhe, Germany). Thermal conditions: initial 95°C for 10 min followed by 40 cycles of 95°C for 15 sec and 59°C for 60 sec. The list of TaqMan™ assays purchased from Applied Biosystems is given in supplementary table S2.</w:t>
      </w:r>
    </w:p>
    <w:p w:rsidR="00BE73EA" w:rsidRPr="00C92462" w:rsidRDefault="00BE73EA" w:rsidP="00721AFA">
      <w:pPr>
        <w:spacing w:after="120" w:line="360" w:lineRule="auto"/>
        <w:jc w:val="both"/>
        <w:rPr>
          <w:rFonts w:ascii="Arial" w:hAnsi="Arial" w:cs="Arial"/>
          <w:b/>
        </w:rPr>
      </w:pPr>
      <w:r w:rsidRPr="00C92462">
        <w:rPr>
          <w:rFonts w:ascii="Arial" w:hAnsi="Arial" w:cs="Arial"/>
          <w:b/>
        </w:rPr>
        <w:t>Next generation sequencing of mRNA and cluster analysis</w:t>
      </w:r>
    </w:p>
    <w:p w:rsidR="00BE73EA" w:rsidRPr="00C92462" w:rsidRDefault="00BE73EA" w:rsidP="00721AFA">
      <w:pPr>
        <w:spacing w:after="120" w:line="360" w:lineRule="auto"/>
        <w:jc w:val="both"/>
        <w:rPr>
          <w:rFonts w:ascii="Arial" w:hAnsi="Arial" w:cs="Arial"/>
        </w:rPr>
      </w:pPr>
      <w:r w:rsidRPr="00C92462">
        <w:rPr>
          <w:rFonts w:ascii="Arial" w:hAnsi="Arial" w:cs="Arial"/>
        </w:rPr>
        <w:t xml:space="preserve">Total RNA was isolated as described above. Sequencing was performed with an Illumina HiScanSQ at the Core Unit DNA Technologies of the Medical Faculty, University Leipzig (Liebigstraße 21, 04103 Leipzig, Germany). Libraries were prepared with indexed adapters, and clusters were generated on the cluster flow cells. cDNA fragments were hybridized to the lawn of complementary primers followed by „bridge amplification“. Paired-end sequencing was performed by synthesis (SBS) via reversible terminator-based method. A quality check was performed on raw data (fastQC) before quality trimming (cutadapt) and adapter clipping. Mapping was performed by TopHat2, using Bowtie2 and Samtools. Subsequently, quality was checked again prior to counting and annotation (R). </w:t>
      </w:r>
    </w:p>
    <w:p w:rsidR="00BE73EA" w:rsidRPr="00C92462" w:rsidRDefault="00BE73EA" w:rsidP="00721AFA">
      <w:pPr>
        <w:spacing w:after="120" w:line="360" w:lineRule="auto"/>
        <w:jc w:val="both"/>
        <w:rPr>
          <w:rFonts w:ascii="Arial" w:hAnsi="Arial" w:cs="Arial"/>
        </w:rPr>
      </w:pPr>
      <w:r w:rsidRPr="00C92462">
        <w:rPr>
          <w:rFonts w:ascii="Arial" w:hAnsi="Arial" w:cs="Arial"/>
        </w:rPr>
        <w:lastRenderedPageBreak/>
        <w:t xml:space="preserve">In order to analyze the data, we created two-dimensional groups of significant changes according to fold change FC and abundance (fragments per million; FPM) for upregulated and downregulated genes. </w:t>
      </w:r>
      <w:proofErr w:type="gramStart"/>
      <w:r w:rsidRPr="00C92462">
        <w:rPr>
          <w:rFonts w:ascii="Arial" w:hAnsi="Arial" w:cs="Arial"/>
        </w:rPr>
        <w:t>mRNA</w:t>
      </w:r>
      <w:proofErr w:type="gramEnd"/>
      <w:r w:rsidRPr="00C92462">
        <w:rPr>
          <w:rFonts w:ascii="Arial" w:hAnsi="Arial" w:cs="Arial"/>
        </w:rPr>
        <w:t xml:space="preserve"> enrichment analysis was performed by </w:t>
      </w:r>
      <w:r w:rsidR="000A1382" w:rsidRPr="00C92462">
        <w:rPr>
          <w:rFonts w:ascii="Arial" w:hAnsi="Arial" w:cs="Arial"/>
        </w:rPr>
        <w:t>g:Profiler</w:t>
      </w:r>
      <w:r w:rsidR="000A1382" w:rsidRPr="00C92462">
        <w:rPr>
          <w:rFonts w:ascii="Arial" w:hAnsi="Arial" w:cs="Arial"/>
          <w:noProof/>
        </w:rPr>
        <w:t xml:space="preserve"> [</w:t>
      </w:r>
      <w:r w:rsidRPr="00C92462">
        <w:rPr>
          <w:rFonts w:ascii="Arial" w:hAnsi="Arial" w:cs="Arial"/>
          <w:noProof/>
        </w:rPr>
        <w:t>4]</w:t>
      </w:r>
      <w:r w:rsidRPr="00C92462">
        <w:rPr>
          <w:rFonts w:ascii="Arial" w:hAnsi="Arial" w:cs="Arial"/>
        </w:rPr>
        <w:t xml:space="preserve"> and </w:t>
      </w:r>
      <w:r w:rsidR="000A1382" w:rsidRPr="00C92462">
        <w:rPr>
          <w:rFonts w:ascii="Arial" w:hAnsi="Arial" w:cs="Arial"/>
        </w:rPr>
        <w:t>Gorilla</w:t>
      </w:r>
      <w:r w:rsidR="000A1382" w:rsidRPr="00C92462">
        <w:rPr>
          <w:rFonts w:ascii="Arial" w:hAnsi="Arial" w:cs="Arial"/>
          <w:noProof/>
        </w:rPr>
        <w:t xml:space="preserve"> [</w:t>
      </w:r>
      <w:r w:rsidRPr="00C92462">
        <w:rPr>
          <w:rFonts w:ascii="Arial" w:hAnsi="Arial" w:cs="Arial"/>
          <w:noProof/>
        </w:rPr>
        <w:t>2]</w:t>
      </w:r>
      <w:r w:rsidRPr="00C92462">
        <w:rPr>
          <w:rFonts w:ascii="Arial" w:hAnsi="Arial" w:cs="Arial"/>
        </w:rPr>
        <w:t xml:space="preserve">. Additional analysis of TF-site enrichment within promotors of DE mRNA groups (regions -950 to +50 and -450 to +50) was performed with </w:t>
      </w:r>
      <w:r w:rsidR="000A1382" w:rsidRPr="00C92462">
        <w:rPr>
          <w:rFonts w:ascii="Arial" w:hAnsi="Arial" w:cs="Arial"/>
        </w:rPr>
        <w:t xml:space="preserve">Pscan </w:t>
      </w:r>
      <w:r w:rsidRPr="00C92462">
        <w:rPr>
          <w:rFonts w:ascii="Arial" w:hAnsi="Arial" w:cs="Arial"/>
          <w:noProof/>
        </w:rPr>
        <w:t>[9]</w:t>
      </w:r>
      <w:r w:rsidRPr="00C92462">
        <w:rPr>
          <w:rFonts w:ascii="Arial" w:hAnsi="Arial" w:cs="Arial"/>
        </w:rPr>
        <w:t>. Analysis was corrected for multiple testing as described for the corresponding tools.</w:t>
      </w:r>
    </w:p>
    <w:p w:rsidR="00BE73EA" w:rsidRPr="00C92462" w:rsidRDefault="00BE73EA" w:rsidP="00721AFA">
      <w:pPr>
        <w:spacing w:after="120" w:line="360" w:lineRule="auto"/>
        <w:jc w:val="both"/>
        <w:rPr>
          <w:rFonts w:ascii="Arial" w:hAnsi="Arial" w:cs="Arial"/>
        </w:rPr>
      </w:pPr>
      <w:r w:rsidRPr="00C92462">
        <w:rPr>
          <w:rFonts w:ascii="Arial" w:hAnsi="Arial" w:cs="Arial"/>
          <w:b/>
        </w:rPr>
        <w:t>Next generation sequencing of microRNA</w:t>
      </w:r>
    </w:p>
    <w:p w:rsidR="00BE73EA" w:rsidRPr="00C92462" w:rsidRDefault="00BE73EA" w:rsidP="00721AFA">
      <w:pPr>
        <w:spacing w:after="120" w:line="360" w:lineRule="auto"/>
        <w:jc w:val="both"/>
        <w:rPr>
          <w:rFonts w:ascii="Arial" w:hAnsi="Arial" w:cs="Arial"/>
        </w:rPr>
      </w:pPr>
      <w:r w:rsidRPr="00C92462">
        <w:rPr>
          <w:rFonts w:ascii="Arial" w:hAnsi="Arial" w:cs="Arial"/>
        </w:rPr>
        <w:t xml:space="preserve">Total RNA was isolated as described above. Sequencing was performed as described </w:t>
      </w:r>
      <w:r w:rsidR="000A1382" w:rsidRPr="00C92462">
        <w:rPr>
          <w:rFonts w:ascii="Arial" w:hAnsi="Arial" w:cs="Arial"/>
        </w:rPr>
        <w:t>previously</w:t>
      </w:r>
      <w:r w:rsidR="000A1382" w:rsidRPr="00C92462">
        <w:rPr>
          <w:rFonts w:ascii="Arial" w:hAnsi="Arial" w:cs="Arial"/>
          <w:noProof/>
        </w:rPr>
        <w:t xml:space="preserve"> [</w:t>
      </w:r>
      <w:r w:rsidRPr="00C92462">
        <w:rPr>
          <w:rFonts w:ascii="Arial" w:hAnsi="Arial" w:cs="Arial"/>
          <w:noProof/>
        </w:rPr>
        <w:t>1]</w:t>
      </w:r>
      <w:r w:rsidRPr="00C92462">
        <w:rPr>
          <w:rFonts w:ascii="Arial" w:hAnsi="Arial" w:cs="Arial"/>
        </w:rPr>
        <w:t xml:space="preserve"> at the Core Unit DNA Technologies of the Medical Faculty, University Leipzig (Liebigstraße 21, 04103 Leipzig, Germany). 500 ng of RNA from each sample was used in the small RNA protocol with the TruSeq™ Small RNA sample prepkit v2 (Illumina) following the instructions of the manufacturer. The barcoded libraries were size restricted between 140 and 165 base pairs for additional enrichment of miRs, purified and quantified using the Library Quantification Kit-Illumina/Universal (KAPA Biosystems, Woburn, MA, USA) according to the instructions of the manufacturer. Sequencing of 50 base pairs was performed with an Illumina HighScan-SQ sequencer using version </w:t>
      </w:r>
      <w:proofErr w:type="gramStart"/>
      <w:r w:rsidRPr="00C92462">
        <w:rPr>
          <w:rFonts w:ascii="Arial" w:hAnsi="Arial" w:cs="Arial"/>
        </w:rPr>
        <w:t>3 chemistry</w:t>
      </w:r>
      <w:proofErr w:type="gramEnd"/>
      <w:r w:rsidRPr="00C92462">
        <w:rPr>
          <w:rFonts w:ascii="Arial" w:hAnsi="Arial" w:cs="Arial"/>
        </w:rPr>
        <w:t xml:space="preserve"> and </w:t>
      </w:r>
      <w:r w:rsidR="000A1382" w:rsidRPr="00C92462">
        <w:rPr>
          <w:rFonts w:ascii="Arial" w:hAnsi="Arial" w:cs="Arial"/>
        </w:rPr>
        <w:t>flow cell</w:t>
      </w:r>
      <w:r w:rsidRPr="00C92462">
        <w:rPr>
          <w:rFonts w:ascii="Arial" w:hAnsi="Arial" w:cs="Arial"/>
        </w:rPr>
        <w:t xml:space="preserve"> following the instructions of the manufacturer. The R packages DESeq2 and EdgeR were used for normalization and to calculate differential expression of miRs.</w:t>
      </w:r>
    </w:p>
    <w:p w:rsidR="00BE73EA" w:rsidRPr="00C92462" w:rsidRDefault="00BE73EA" w:rsidP="00721AFA">
      <w:pPr>
        <w:spacing w:after="120" w:line="360" w:lineRule="auto"/>
        <w:jc w:val="both"/>
        <w:rPr>
          <w:rFonts w:ascii="Arial" w:hAnsi="Arial" w:cs="Arial"/>
          <w:b/>
        </w:rPr>
      </w:pPr>
      <w:r w:rsidRPr="00C92462">
        <w:rPr>
          <w:rFonts w:ascii="Arial" w:hAnsi="Arial" w:cs="Arial"/>
          <w:b/>
        </w:rPr>
        <w:t>HL1 cell line</w:t>
      </w:r>
    </w:p>
    <w:p w:rsidR="00BE73EA" w:rsidRPr="00C92462" w:rsidRDefault="00BE73EA" w:rsidP="00721AFA">
      <w:pPr>
        <w:spacing w:line="360" w:lineRule="auto"/>
        <w:jc w:val="both"/>
        <w:rPr>
          <w:rFonts w:ascii="Arial" w:hAnsi="Arial" w:cs="Arial"/>
        </w:rPr>
      </w:pPr>
      <w:r w:rsidRPr="00C92462">
        <w:rPr>
          <w:rFonts w:ascii="Arial" w:hAnsi="Arial" w:cs="Arial"/>
        </w:rPr>
        <w:t>HL-1 cells were maintained in Claycomb medium (Sigma, Munich, Germany) with the following supplements: 10% FCS (Biochrom, Berlin, Germany), 2 mM L-glutamine (Sigma</w:t>
      </w:r>
      <w:r w:rsidRPr="00C92462" w:rsidDel="00CF25C4">
        <w:rPr>
          <w:rFonts w:ascii="Arial" w:hAnsi="Arial" w:cs="Arial"/>
        </w:rPr>
        <w:t xml:space="preserve"> </w:t>
      </w:r>
      <w:r w:rsidRPr="00C92462">
        <w:rPr>
          <w:rFonts w:ascii="Arial" w:hAnsi="Arial" w:cs="Arial"/>
        </w:rPr>
        <w:t xml:space="preserve">), 100 µM noradrenaline (Sigma), 100 U/ml penicillin and 100 µg/ml streptomycin (Sigma). Cells were </w:t>
      </w:r>
      <w:r w:rsidR="000A1382" w:rsidRPr="00C92462">
        <w:rPr>
          <w:rFonts w:ascii="Arial" w:hAnsi="Arial" w:cs="Arial"/>
        </w:rPr>
        <w:t>sub cultured</w:t>
      </w:r>
      <w:r w:rsidRPr="00C92462">
        <w:rPr>
          <w:rFonts w:ascii="Arial" w:hAnsi="Arial" w:cs="Arial"/>
        </w:rPr>
        <w:t xml:space="preserve"> at confluency and medium was changed twice a week.</w:t>
      </w:r>
    </w:p>
    <w:p w:rsidR="00BE73EA" w:rsidRPr="00C92462" w:rsidRDefault="00BE73EA" w:rsidP="00721AFA">
      <w:pPr>
        <w:spacing w:after="120" w:line="360" w:lineRule="auto"/>
        <w:jc w:val="both"/>
        <w:rPr>
          <w:rFonts w:ascii="Arial" w:hAnsi="Arial" w:cs="Arial"/>
          <w:b/>
        </w:rPr>
      </w:pPr>
      <w:r w:rsidRPr="00C92462">
        <w:rPr>
          <w:rFonts w:ascii="Arial" w:hAnsi="Arial" w:cs="Arial"/>
          <w:b/>
        </w:rPr>
        <w:t>Transfection</w:t>
      </w:r>
    </w:p>
    <w:p w:rsidR="00BE73EA" w:rsidRPr="00C92462" w:rsidRDefault="00BE73EA" w:rsidP="00721AFA">
      <w:pPr>
        <w:spacing w:after="120" w:line="360" w:lineRule="auto"/>
        <w:jc w:val="both"/>
        <w:rPr>
          <w:rFonts w:ascii="Arial" w:hAnsi="Arial" w:cs="Arial"/>
        </w:rPr>
      </w:pPr>
      <w:r w:rsidRPr="00C92462">
        <w:rPr>
          <w:rFonts w:ascii="Arial" w:hAnsi="Arial" w:cs="Arial"/>
        </w:rPr>
        <w:t>HL-1 cells were transfected with 30 nM of miRCURY LNA miR-221 mimics or mimic negative control (Exiqon) using 5 µl Lipofectamine (Thermo Fisher Scientific) in 1.5 ml DMEM (Biochrom; without FCS) following manufacturer´s instructions. After 24 h the medium was changed and cells were kept on Claycomb medium with supplements for further 48 h.</w:t>
      </w:r>
    </w:p>
    <w:p w:rsidR="00BE73EA" w:rsidRPr="00C92462" w:rsidRDefault="00BE73EA" w:rsidP="00721AFA">
      <w:pPr>
        <w:spacing w:after="120" w:line="360" w:lineRule="auto"/>
        <w:jc w:val="both"/>
        <w:rPr>
          <w:rFonts w:ascii="Arial" w:hAnsi="Arial" w:cs="Arial"/>
          <w:b/>
        </w:rPr>
      </w:pPr>
      <w:r w:rsidRPr="00C92462">
        <w:rPr>
          <w:rFonts w:ascii="Arial" w:hAnsi="Arial" w:cs="Arial"/>
          <w:b/>
        </w:rPr>
        <w:t>Western Blot</w:t>
      </w:r>
    </w:p>
    <w:p w:rsidR="00BE73EA" w:rsidRPr="00C92462" w:rsidRDefault="00BE73EA" w:rsidP="00721AFA">
      <w:pPr>
        <w:spacing w:after="120" w:line="360" w:lineRule="auto"/>
        <w:jc w:val="both"/>
        <w:rPr>
          <w:rFonts w:ascii="Arial" w:eastAsia="Times New Roman" w:hAnsi="Arial" w:cs="Arial"/>
        </w:rPr>
      </w:pPr>
      <w:r w:rsidRPr="00C92462">
        <w:rPr>
          <w:rFonts w:ascii="Arial" w:hAnsi="Arial" w:cs="Arial"/>
        </w:rPr>
        <w:t xml:space="preserve">For Western Blot analysis HL-1 </w:t>
      </w:r>
      <w:r w:rsidRPr="00C92462">
        <w:rPr>
          <w:rFonts w:ascii="Arial" w:eastAsia="Times New Roman" w:hAnsi="Arial" w:cs="Arial"/>
        </w:rPr>
        <w:t>cells were washed with PBS and lysed in RIPA buffer</w:t>
      </w:r>
      <w:r w:rsidRPr="00C92462">
        <w:rPr>
          <w:rFonts w:ascii="Arial" w:hAnsi="Arial" w:cs="Arial"/>
        </w:rPr>
        <w:t xml:space="preserve"> and sonicated (UP100H; Hielscher, Teltow, Germany). Cell lysates were matched for protein content. After separation the proteins were transferred to a PVDF membrane (Thermo Fisher Scientific, </w:t>
      </w:r>
      <w:r w:rsidRPr="00C92462">
        <w:rPr>
          <w:rFonts w:ascii="Arial" w:hAnsi="Arial" w:cs="Arial"/>
        </w:rPr>
        <w:lastRenderedPageBreak/>
        <w:t xml:space="preserve">Waltham, USA) for p27 or a nitrocellulose membrane (GE Healthcare, Buckinghamshire, UK) for GIRK1, GIRK4, </w:t>
      </w:r>
      <w:r w:rsidR="000A1382" w:rsidRPr="00C92462">
        <w:rPr>
          <w:rFonts w:ascii="Arial" w:hAnsi="Arial" w:cs="Arial"/>
        </w:rPr>
        <w:t>and HSP90</w:t>
      </w:r>
      <w:r w:rsidRPr="00C92462">
        <w:rPr>
          <w:rFonts w:ascii="Arial" w:hAnsi="Arial" w:cs="Arial"/>
        </w:rPr>
        <w:t xml:space="preserve">. The membrane was incubated with primary antibodies (p27: 1:500, ab137736, Abcam, Cambridge, UK; GIRK1: 1:1000, ab129182, Abcam, Cambridge, UK; GIRK4: 1:750, ab113699, Abcam, Cambridge, UK; HSP90: 1:1000, </w:t>
      </w:r>
      <w:r w:rsidRPr="00C92462">
        <w:rPr>
          <w:rFonts w:ascii="Arial" w:eastAsia="Times New Roman" w:hAnsi="Arial" w:cs="Arial"/>
        </w:rPr>
        <w:t>4874, Cell Signaling Technology, Danvers, USA</w:t>
      </w:r>
      <w:r w:rsidRPr="00C92462">
        <w:rPr>
          <w:rFonts w:ascii="Arial" w:hAnsi="Arial" w:cs="Arial"/>
        </w:rPr>
        <w:t xml:space="preserve">) at 4°C overnight. </w:t>
      </w:r>
      <w:r w:rsidRPr="00C92462">
        <w:rPr>
          <w:rFonts w:ascii="Arial" w:eastAsia="Times New Roman" w:hAnsi="Arial" w:cs="Arial"/>
        </w:rPr>
        <w:t xml:space="preserve">The bound primary antibody was visualized using horseradish peroxidase-conjugated secondary IgG (anti-rabbit, 1:10,000/1:20,000 </w:t>
      </w:r>
      <w:r w:rsidR="000A1382" w:rsidRPr="00C92462">
        <w:rPr>
          <w:rFonts w:ascii="Arial" w:eastAsia="Times New Roman" w:hAnsi="Arial" w:cs="Arial"/>
        </w:rPr>
        <w:t>for</w:t>
      </w:r>
      <w:r w:rsidRPr="00C92462">
        <w:rPr>
          <w:rFonts w:ascii="Arial" w:eastAsia="Times New Roman" w:hAnsi="Arial" w:cs="Arial"/>
        </w:rPr>
        <w:t xml:space="preserve"> GIRK1/4 &amp; HSP90, Rockland, Limerick, USA) and the ECL system (Amersham, Freiburg, Germany). Densitometry analysis was performed with Quantity One software (Biorad, Munich, Germany).</w:t>
      </w:r>
    </w:p>
    <w:p w:rsidR="00BE73EA" w:rsidRPr="00C92462" w:rsidRDefault="00BE73EA" w:rsidP="00721AFA">
      <w:pPr>
        <w:spacing w:after="120" w:line="360" w:lineRule="auto"/>
        <w:jc w:val="both"/>
        <w:rPr>
          <w:rFonts w:ascii="Arial" w:hAnsi="Arial" w:cs="Arial"/>
          <w:b/>
          <w:bCs/>
        </w:rPr>
      </w:pPr>
      <w:r w:rsidRPr="00C92462">
        <w:rPr>
          <w:rFonts w:ascii="Arial" w:hAnsi="Arial" w:cs="Arial"/>
          <w:b/>
          <w:bCs/>
        </w:rPr>
        <w:t>Electrophysiology</w:t>
      </w:r>
    </w:p>
    <w:p w:rsidR="00BE73EA" w:rsidRPr="00C92462" w:rsidRDefault="00BE73EA" w:rsidP="00721AFA">
      <w:pPr>
        <w:autoSpaceDE w:val="0"/>
        <w:autoSpaceDN w:val="0"/>
        <w:adjustRightInd w:val="0"/>
        <w:spacing w:after="120" w:line="360" w:lineRule="auto"/>
        <w:jc w:val="both"/>
        <w:rPr>
          <w:rFonts w:ascii="Arial" w:hAnsi="Arial" w:cs="Arial"/>
        </w:rPr>
      </w:pPr>
      <w:r w:rsidRPr="00C92462">
        <w:rPr>
          <w:rFonts w:ascii="Arial" w:hAnsi="Arial" w:cs="Arial"/>
        </w:rPr>
        <w:t>Single HL-1 cells were plated for 24 hours on gelatin/fibronectin-coated 35 mm Petri dishes in 2 ml of Claycomb medium. The cells were then serum starved for one day before miR</w:t>
      </w:r>
      <w:r w:rsidRPr="00C92462">
        <w:rPr>
          <w:rFonts w:ascii="Arial" w:hAnsi="Arial" w:cs="Arial"/>
        </w:rPr>
        <w:noBreakHyphen/>
        <w:t>221/-222 (10 µg/ml) was added to the medium. 48h after drug application current recordings were performed in the whole-cell configuration of the patch-clamp technique using an Axopatch 200A patch-clamp amplifier (Axon Instruments, Inc., Burlingame, CA, USA). Patch pipettes were fabricated from thick wall (2 mm OD) borosilicate glass capillaries (Hilgenberg, Malsfeld, Germany) and filled with an internal solution of the following composition (in mmol/L): 130 CsCl, 20 TEACl, 10 EGTA, 5 Na</w:t>
      </w:r>
      <w:r w:rsidRPr="00C92462">
        <w:rPr>
          <w:rFonts w:ascii="Arial" w:hAnsi="Arial" w:cs="Arial"/>
          <w:vertAlign w:val="subscript"/>
        </w:rPr>
        <w:t>2</w:t>
      </w:r>
      <w:r w:rsidRPr="00C92462">
        <w:rPr>
          <w:rFonts w:ascii="Arial" w:hAnsi="Arial" w:cs="Arial"/>
        </w:rPr>
        <w:t>ATP, 6 MgCl</w:t>
      </w:r>
      <w:r w:rsidRPr="00C92462">
        <w:rPr>
          <w:rFonts w:ascii="Arial" w:hAnsi="Arial" w:cs="Arial"/>
          <w:vertAlign w:val="subscript"/>
        </w:rPr>
        <w:t>2</w:t>
      </w:r>
      <w:r w:rsidRPr="00C92462">
        <w:rPr>
          <w:rFonts w:ascii="Arial" w:hAnsi="Arial" w:cs="Arial"/>
        </w:rPr>
        <w:t>, 10 HEPES (pH was adjusted with CsOH to 7.2). Electrical resistances of the fire polished electrodes were 3</w:t>
      </w:r>
      <w:r w:rsidRPr="00C92462">
        <w:rPr>
          <w:rFonts w:ascii="Arial" w:hAnsi="Arial" w:cs="Arial"/>
        </w:rPr>
        <w:noBreakHyphen/>
        <w:t xml:space="preserve">4 MΩ when filled with internal solution. L-type </w:t>
      </w:r>
      <w:r w:rsidR="00392603" w:rsidRPr="00C92462">
        <w:rPr>
          <w:rFonts w:ascii="Arial" w:hAnsi="Arial" w:cs="Arial"/>
        </w:rPr>
        <w:t>Ca</w:t>
      </w:r>
      <w:r w:rsidR="00392603" w:rsidRPr="00C92462">
        <w:rPr>
          <w:rFonts w:ascii="Arial" w:hAnsi="Arial" w:cs="Arial"/>
          <w:vertAlign w:val="superscript"/>
        </w:rPr>
        <w:t>2+</w:t>
      </w:r>
      <w:r w:rsidR="00392603" w:rsidRPr="00C92462">
        <w:rPr>
          <w:rFonts w:ascii="Arial" w:hAnsi="Arial" w:cs="Arial"/>
        </w:rPr>
        <w:t xml:space="preserve"> </w:t>
      </w:r>
      <w:r w:rsidRPr="00C92462">
        <w:rPr>
          <w:rFonts w:ascii="Arial" w:hAnsi="Arial" w:cs="Arial"/>
        </w:rPr>
        <w:t>currents were recorded in a Na</w:t>
      </w:r>
      <w:r w:rsidRPr="00C92462">
        <w:rPr>
          <w:rFonts w:ascii="Arial" w:hAnsi="Arial" w:cs="Arial"/>
          <w:vertAlign w:val="superscript"/>
        </w:rPr>
        <w:t>+</w:t>
      </w:r>
      <w:r w:rsidRPr="00C92462">
        <w:rPr>
          <w:rFonts w:ascii="Arial" w:hAnsi="Arial" w:cs="Arial"/>
        </w:rPr>
        <w:t>- free and K</w:t>
      </w:r>
      <w:r w:rsidRPr="00C92462">
        <w:rPr>
          <w:rFonts w:ascii="Arial" w:hAnsi="Arial" w:cs="Arial"/>
          <w:vertAlign w:val="superscript"/>
        </w:rPr>
        <w:t>+</w:t>
      </w:r>
      <w:r w:rsidRPr="00C92462">
        <w:rPr>
          <w:rFonts w:ascii="Arial" w:hAnsi="Arial" w:cs="Arial"/>
        </w:rPr>
        <w:t>-free bath solution containing (in mmol/L): 150 Tris-Cl, 10 CaCl</w:t>
      </w:r>
      <w:r w:rsidRPr="00C92462">
        <w:rPr>
          <w:rFonts w:ascii="Arial" w:hAnsi="Arial" w:cs="Arial"/>
          <w:vertAlign w:val="subscript"/>
        </w:rPr>
        <w:t>2</w:t>
      </w:r>
      <w:r w:rsidRPr="00C92462">
        <w:rPr>
          <w:rFonts w:ascii="Arial" w:hAnsi="Arial" w:cs="Arial"/>
        </w:rPr>
        <w:t>, 10 glucose, 10 HEPES (pH was adjusted with Tris-OH to 7.4). Current signals were sampled at 16 to 40 kHz and low pass filtered at 5 kHz with a four-pole Bessel filter and stored for off-line analysis (ISO2, MFK, Germany). Series resistance was partially compensated (&gt;70%). By integrating the capacitive current at the end of a 10 ms long voltage step (-80 mV to -70 mV) the input capacitance of the cells was obtained. This value was normalized to the peak amplitude of the inward current to obtain the current density (pA/pF) in order to compensate for differences in cell size. All experiments were carried out at room temperature (20-24°C). HL-1 cells express both T-type and L-type Ca</w:t>
      </w:r>
      <w:r w:rsidRPr="00C92462">
        <w:rPr>
          <w:rFonts w:ascii="Arial" w:hAnsi="Arial" w:cs="Arial"/>
          <w:vertAlign w:val="superscript"/>
        </w:rPr>
        <w:t>2+</w:t>
      </w:r>
      <w:r w:rsidRPr="00C92462">
        <w:rPr>
          <w:rFonts w:ascii="Arial" w:hAnsi="Arial" w:cs="Arial"/>
        </w:rPr>
        <w:t xml:space="preserve"> </w:t>
      </w:r>
      <w:r w:rsidR="000A1382" w:rsidRPr="00C92462">
        <w:rPr>
          <w:rFonts w:ascii="Arial" w:hAnsi="Arial" w:cs="Arial"/>
        </w:rPr>
        <w:t>currents</w:t>
      </w:r>
      <w:r w:rsidR="000A1382" w:rsidRPr="00C92462">
        <w:rPr>
          <w:rFonts w:ascii="Arial" w:hAnsi="Arial" w:cs="Arial"/>
          <w:noProof/>
        </w:rPr>
        <w:t xml:space="preserve"> [</w:t>
      </w:r>
      <w:r w:rsidRPr="00C92462">
        <w:rPr>
          <w:rFonts w:ascii="Arial" w:hAnsi="Arial" w:cs="Arial"/>
          <w:noProof/>
        </w:rPr>
        <w:t>8]</w:t>
      </w:r>
      <w:r w:rsidRPr="00C92462">
        <w:rPr>
          <w:rFonts w:ascii="Arial" w:hAnsi="Arial" w:cs="Arial"/>
        </w:rPr>
        <w:t xml:space="preserve">. Since in this study we sought to investigate the effect of miR-221/-222 solely on the activity of L-type </w:t>
      </w:r>
      <w:r w:rsidR="00392603" w:rsidRPr="00C92462">
        <w:rPr>
          <w:rFonts w:ascii="Arial" w:hAnsi="Arial" w:cs="Arial"/>
        </w:rPr>
        <w:t>Ca</w:t>
      </w:r>
      <w:r w:rsidR="00392603" w:rsidRPr="00C92462">
        <w:rPr>
          <w:rFonts w:ascii="Arial" w:hAnsi="Arial" w:cs="Arial"/>
          <w:vertAlign w:val="superscript"/>
        </w:rPr>
        <w:t>2+</w:t>
      </w:r>
      <w:r w:rsidR="00392603" w:rsidRPr="00C92462">
        <w:rPr>
          <w:rFonts w:ascii="Arial" w:hAnsi="Arial" w:cs="Arial"/>
        </w:rPr>
        <w:t xml:space="preserve"> </w:t>
      </w:r>
      <w:r w:rsidRPr="00C92462">
        <w:rPr>
          <w:rFonts w:ascii="Arial" w:hAnsi="Arial" w:cs="Arial"/>
        </w:rPr>
        <w:t>channels, we used a voltage clamp protocol to separate the two currents from each other. T-type Ca</w:t>
      </w:r>
      <w:r w:rsidRPr="00C92462">
        <w:rPr>
          <w:rFonts w:ascii="Arial" w:hAnsi="Arial" w:cs="Arial"/>
          <w:vertAlign w:val="superscript"/>
        </w:rPr>
        <w:t>2+</w:t>
      </w:r>
      <w:r w:rsidRPr="00C92462">
        <w:rPr>
          <w:rFonts w:ascii="Arial" w:hAnsi="Arial" w:cs="Arial"/>
        </w:rPr>
        <w:t>-channels - recorded with 10 mmol/L Ca</w:t>
      </w:r>
      <w:r w:rsidRPr="00C92462">
        <w:rPr>
          <w:rFonts w:ascii="Arial" w:hAnsi="Arial" w:cs="Arial"/>
          <w:vertAlign w:val="superscript"/>
        </w:rPr>
        <w:t>2+</w:t>
      </w:r>
      <w:r w:rsidRPr="00C92462">
        <w:rPr>
          <w:rFonts w:ascii="Arial" w:hAnsi="Arial" w:cs="Arial"/>
        </w:rPr>
        <w:t xml:space="preserve"> as the charge carrier- were inactivated by using a holding potential of -35 mV without affecting the availability of L-type Ca</w:t>
      </w:r>
      <w:r w:rsidRPr="00C92462">
        <w:rPr>
          <w:rFonts w:ascii="Arial" w:hAnsi="Arial" w:cs="Arial"/>
          <w:vertAlign w:val="superscript"/>
        </w:rPr>
        <w:t>2+</w:t>
      </w:r>
      <w:r w:rsidRPr="00C92462">
        <w:rPr>
          <w:rFonts w:ascii="Arial" w:hAnsi="Arial" w:cs="Arial"/>
        </w:rPr>
        <w:t>channels. In order to obtain the maximal peak inward current (peakI</w:t>
      </w:r>
      <w:r w:rsidRPr="00C92462">
        <w:rPr>
          <w:rFonts w:ascii="Arial" w:hAnsi="Arial" w:cs="Arial"/>
          <w:vertAlign w:val="subscript"/>
        </w:rPr>
        <w:t>Ca,L</w:t>
      </w:r>
      <w:r w:rsidRPr="00C92462">
        <w:rPr>
          <w:rFonts w:ascii="Arial" w:hAnsi="Arial" w:cs="Arial"/>
        </w:rPr>
        <w:t xml:space="preserve">), HL-1 cells were depolarized every 8 s for 100 ms from a holding potential of -35 mV to various test potentials (+15 mV to 30 mV in 5 mV increments). </w:t>
      </w:r>
    </w:p>
    <w:p w:rsidR="00BE73EA" w:rsidRPr="00C92462" w:rsidRDefault="00BE73EA" w:rsidP="00721AFA">
      <w:pPr>
        <w:autoSpaceDE w:val="0"/>
        <w:autoSpaceDN w:val="0"/>
        <w:adjustRightInd w:val="0"/>
        <w:spacing w:after="120" w:line="360" w:lineRule="auto"/>
        <w:jc w:val="both"/>
        <w:rPr>
          <w:rFonts w:ascii="Arial" w:hAnsi="Arial" w:cs="Arial"/>
          <w:b/>
        </w:rPr>
      </w:pPr>
      <w:r w:rsidRPr="00C92462">
        <w:rPr>
          <w:rFonts w:ascii="Arial" w:hAnsi="Arial" w:cs="Arial"/>
          <w:b/>
        </w:rPr>
        <w:lastRenderedPageBreak/>
        <w:t>Incubation with angiotensin II</w:t>
      </w:r>
    </w:p>
    <w:p w:rsidR="00BE73EA" w:rsidRPr="00C92462" w:rsidRDefault="00BE73EA" w:rsidP="00721AFA">
      <w:pPr>
        <w:autoSpaceDE w:val="0"/>
        <w:autoSpaceDN w:val="0"/>
        <w:adjustRightInd w:val="0"/>
        <w:spacing w:after="120" w:line="360" w:lineRule="auto"/>
        <w:jc w:val="both"/>
        <w:rPr>
          <w:rFonts w:ascii="Arial" w:hAnsi="Arial" w:cs="Arial"/>
        </w:rPr>
      </w:pPr>
      <w:r w:rsidRPr="00C92462">
        <w:rPr>
          <w:rFonts w:ascii="Arial" w:hAnsi="Arial" w:cs="Arial"/>
        </w:rPr>
        <w:t xml:space="preserve">HEK-293 cells were transfected on 10mm Petri dishes with 2 µg pAT1R (human angiotensin II receptor type 1) (or empty vector control) for 24h. After transfection cells were splitted (to three 3.5mm Petri dishes each) and incubated with 100 nM angiotensin II (Sigma) or control for further 48h. </w:t>
      </w:r>
      <w:proofErr w:type="gramStart"/>
      <w:r w:rsidRPr="00C92462">
        <w:rPr>
          <w:rFonts w:ascii="Arial" w:hAnsi="Arial" w:cs="Arial"/>
        </w:rPr>
        <w:t>miR</w:t>
      </w:r>
      <w:proofErr w:type="gramEnd"/>
      <w:r w:rsidRPr="00C92462">
        <w:rPr>
          <w:rFonts w:ascii="Arial" w:hAnsi="Arial" w:cs="Arial"/>
        </w:rPr>
        <w:t xml:space="preserve"> expression was </w:t>
      </w:r>
      <w:r w:rsidR="000A1382" w:rsidRPr="00C92462">
        <w:rPr>
          <w:rFonts w:ascii="Arial" w:hAnsi="Arial" w:cs="Arial"/>
        </w:rPr>
        <w:t>analyzed</w:t>
      </w:r>
      <w:r w:rsidRPr="00C92462">
        <w:rPr>
          <w:rFonts w:ascii="Arial" w:hAnsi="Arial" w:cs="Arial"/>
        </w:rPr>
        <w:t xml:space="preserve"> by qRT-PCR using Taqman microRNA Assays as described above.</w:t>
      </w:r>
    </w:p>
    <w:p w:rsidR="00BE73EA" w:rsidRPr="00C92462" w:rsidRDefault="00BE73EA" w:rsidP="00721AFA">
      <w:pPr>
        <w:spacing w:after="120" w:line="360" w:lineRule="auto"/>
        <w:jc w:val="both"/>
        <w:rPr>
          <w:rFonts w:ascii="Arial" w:hAnsi="Arial" w:cs="Arial"/>
          <w:b/>
        </w:rPr>
      </w:pPr>
      <w:r w:rsidRPr="00C92462">
        <w:rPr>
          <w:rFonts w:ascii="Arial" w:hAnsi="Arial" w:cs="Arial"/>
          <w:b/>
        </w:rPr>
        <w:t>Statistical analysis</w:t>
      </w:r>
    </w:p>
    <w:p w:rsidR="00BE73EA" w:rsidRPr="00C92462" w:rsidRDefault="00BE73EA" w:rsidP="00721AFA">
      <w:pPr>
        <w:spacing w:line="360" w:lineRule="auto"/>
        <w:jc w:val="both"/>
        <w:rPr>
          <w:rFonts w:ascii="Arial" w:hAnsi="Arial" w:cs="Arial"/>
        </w:rPr>
      </w:pPr>
      <w:r w:rsidRPr="00C92462">
        <w:rPr>
          <w:rFonts w:ascii="Arial" w:hAnsi="Arial" w:cs="Arial"/>
        </w:rPr>
        <w:t xml:space="preserve">Data are presented as mean </w:t>
      </w:r>
      <w:r w:rsidRPr="00C92462">
        <w:rPr>
          <w:rFonts w:ascii="Arial" w:hAnsi="Arial" w:cs="Arial"/>
        </w:rPr>
        <w:sym w:font="Symbol" w:char="F0B1"/>
      </w:r>
      <w:r w:rsidRPr="00C92462">
        <w:rPr>
          <w:rFonts w:ascii="Arial" w:hAnsi="Arial" w:cs="Arial"/>
        </w:rPr>
        <w:t xml:space="preserve"> standard error of mean. </w:t>
      </w:r>
      <w:r w:rsidRPr="00C92462">
        <w:rPr>
          <w:rFonts w:ascii="Arial" w:eastAsia="Times New Roman" w:hAnsi="Arial" w:cs="Arial"/>
          <w:lang w:eastAsia="en-GB"/>
        </w:rPr>
        <w:t>Anova followed by post hoc testing, Student´s T-Test or Mann-Whitney Rank Sum Test were used as applicable according to pre-test data analysis by SigmaPlot 12.5. A p-value &lt;0.05 was considered significant. Biometrical planning was performed with α = 0.05 and β = 0.8, resulting in sample sizes between 5 and 15 samples/group depending on the experimental setting.</w:t>
      </w:r>
    </w:p>
    <w:p w:rsidR="00BE73EA" w:rsidRPr="00C92462" w:rsidRDefault="00BE73EA" w:rsidP="00721AFA">
      <w:pPr>
        <w:jc w:val="both"/>
        <w:rPr>
          <w:rFonts w:ascii="Arial" w:hAnsi="Arial" w:cs="Arial"/>
        </w:rPr>
      </w:pPr>
    </w:p>
    <w:p w:rsidR="00BE73EA" w:rsidRPr="00C92462" w:rsidRDefault="00BE73EA" w:rsidP="00721AFA">
      <w:pPr>
        <w:jc w:val="both"/>
        <w:rPr>
          <w:rFonts w:ascii="Arial" w:hAnsi="Arial" w:cs="Arial"/>
        </w:rPr>
      </w:pPr>
    </w:p>
    <w:p w:rsidR="00BE73EA" w:rsidRPr="00C92462" w:rsidRDefault="00BE73EA" w:rsidP="00721AFA">
      <w:pPr>
        <w:jc w:val="both"/>
        <w:rPr>
          <w:rFonts w:ascii="Arial" w:hAnsi="Arial" w:cs="Arial"/>
        </w:rPr>
      </w:pPr>
    </w:p>
    <w:p w:rsidR="00BE73EA" w:rsidRPr="00C92462" w:rsidRDefault="00BE73EA" w:rsidP="00721AFA">
      <w:pPr>
        <w:jc w:val="both"/>
        <w:rPr>
          <w:rFonts w:ascii="Arial" w:hAnsi="Arial" w:cs="Arial"/>
        </w:rPr>
      </w:pPr>
    </w:p>
    <w:p w:rsidR="002B6784" w:rsidRPr="00C92462" w:rsidRDefault="002B6784">
      <w:pPr>
        <w:rPr>
          <w:rFonts w:ascii="Arial" w:hAnsi="Arial" w:cs="Arial"/>
        </w:rPr>
      </w:pPr>
      <w:r w:rsidRPr="00C92462">
        <w:rPr>
          <w:rFonts w:ascii="Arial" w:hAnsi="Arial" w:cs="Arial"/>
        </w:rPr>
        <w:br w:type="page"/>
      </w:r>
    </w:p>
    <w:p w:rsidR="00BE73EA" w:rsidRPr="00C92462" w:rsidRDefault="00BE73EA" w:rsidP="00721AFA">
      <w:pPr>
        <w:jc w:val="both"/>
        <w:rPr>
          <w:rFonts w:ascii="Arial" w:hAnsi="Arial" w:cs="Arial"/>
        </w:rPr>
      </w:pPr>
    </w:p>
    <w:p w:rsidR="00BE73EA" w:rsidRPr="00C92462" w:rsidRDefault="00BE73EA" w:rsidP="00721AFA">
      <w:pPr>
        <w:jc w:val="center"/>
        <w:rPr>
          <w:rFonts w:ascii="Arial" w:hAnsi="Arial" w:cs="Arial"/>
          <w:noProof/>
        </w:rPr>
      </w:pPr>
      <w:r w:rsidRPr="00C92462">
        <w:rPr>
          <w:rFonts w:ascii="Arial" w:hAnsi="Arial" w:cs="Arial"/>
          <w:noProof/>
        </w:rPr>
        <w:t>Reference List</w:t>
      </w:r>
    </w:p>
    <w:p w:rsidR="00BE73EA" w:rsidRPr="00C92462" w:rsidRDefault="00BE73EA" w:rsidP="00721AFA">
      <w:pPr>
        <w:jc w:val="both"/>
        <w:rPr>
          <w:rFonts w:ascii="Arial" w:hAnsi="Arial" w:cs="Arial"/>
          <w:noProof/>
        </w:rPr>
      </w:pPr>
    </w:p>
    <w:p w:rsidR="00BE73EA" w:rsidRPr="00C92462" w:rsidRDefault="00BE73EA" w:rsidP="00721AFA">
      <w:pPr>
        <w:tabs>
          <w:tab w:val="right" w:pos="360"/>
          <w:tab w:val="left" w:pos="540"/>
        </w:tabs>
        <w:spacing w:after="240" w:line="240" w:lineRule="auto"/>
        <w:ind w:left="540" w:hanging="540"/>
        <w:jc w:val="both"/>
        <w:rPr>
          <w:rFonts w:ascii="Arial" w:hAnsi="Arial" w:cs="Arial"/>
          <w:noProof/>
        </w:rPr>
      </w:pPr>
      <w:r w:rsidRPr="00C92462">
        <w:rPr>
          <w:rFonts w:ascii="Arial" w:hAnsi="Arial" w:cs="Arial"/>
          <w:noProof/>
        </w:rPr>
        <w:tab/>
        <w:t xml:space="preserve">1. </w:t>
      </w:r>
      <w:r w:rsidRPr="00C92462">
        <w:rPr>
          <w:rFonts w:ascii="Arial" w:hAnsi="Arial" w:cs="Arial"/>
          <w:noProof/>
        </w:rPr>
        <w:tab/>
        <w:t>Braun J, Misiak D, Busch B, Krohn K, Hüttelmaier S (2014) Rapid identification of regulatory microRNAs by miTRAP (miRNA trapping by RNA in vitro affinity purification). Nucleic Acids Res 42:e66</w:t>
      </w:r>
    </w:p>
    <w:p w:rsidR="00BE73EA" w:rsidRPr="00C92462" w:rsidRDefault="00BE73EA" w:rsidP="00721AFA">
      <w:pPr>
        <w:tabs>
          <w:tab w:val="right" w:pos="360"/>
          <w:tab w:val="left" w:pos="540"/>
        </w:tabs>
        <w:spacing w:after="240" w:line="240" w:lineRule="auto"/>
        <w:ind w:left="540" w:hanging="540"/>
        <w:jc w:val="both"/>
        <w:rPr>
          <w:rFonts w:ascii="Arial" w:hAnsi="Arial" w:cs="Arial"/>
          <w:noProof/>
        </w:rPr>
      </w:pPr>
      <w:r w:rsidRPr="00C92462">
        <w:rPr>
          <w:rFonts w:ascii="Arial" w:hAnsi="Arial" w:cs="Arial"/>
          <w:noProof/>
        </w:rPr>
        <w:tab/>
        <w:t xml:space="preserve">2. </w:t>
      </w:r>
      <w:r w:rsidRPr="00C92462">
        <w:rPr>
          <w:rFonts w:ascii="Arial" w:hAnsi="Arial" w:cs="Arial"/>
          <w:noProof/>
        </w:rPr>
        <w:tab/>
        <w:t>Eden E, Navon R, Steinfeld I, Lipson D, Yakhini Z (2009) GOrilla: a tool for discovery and visualization of enriched GO terms in ranked gene lists. BMC Bioinformatics 10:48</w:t>
      </w:r>
    </w:p>
    <w:p w:rsidR="00BE73EA" w:rsidRPr="00C92462" w:rsidRDefault="00BE73EA" w:rsidP="00721AFA">
      <w:pPr>
        <w:tabs>
          <w:tab w:val="right" w:pos="360"/>
          <w:tab w:val="left" w:pos="540"/>
        </w:tabs>
        <w:spacing w:after="240" w:line="240" w:lineRule="auto"/>
        <w:ind w:left="540" w:hanging="540"/>
        <w:jc w:val="both"/>
        <w:rPr>
          <w:rFonts w:ascii="Arial" w:hAnsi="Arial" w:cs="Arial"/>
          <w:noProof/>
        </w:rPr>
      </w:pPr>
      <w:r w:rsidRPr="00C92462">
        <w:rPr>
          <w:rFonts w:ascii="Arial" w:hAnsi="Arial" w:cs="Arial"/>
          <w:noProof/>
        </w:rPr>
        <w:tab/>
        <w:t xml:space="preserve">3. </w:t>
      </w:r>
      <w:r w:rsidRPr="00C92462">
        <w:rPr>
          <w:rFonts w:ascii="Arial" w:hAnsi="Arial" w:cs="Arial"/>
          <w:noProof/>
        </w:rPr>
        <w:tab/>
        <w:t>Kamkin A, Kiseleva I, Isenberg G (2003) Ion selectivity of stretch-activated cation currents in mouse ventricular myocytes. Pflugers Arch 446:220-231</w:t>
      </w:r>
    </w:p>
    <w:p w:rsidR="00BE73EA" w:rsidRPr="00C92462" w:rsidRDefault="00BE73EA" w:rsidP="00721AFA">
      <w:pPr>
        <w:tabs>
          <w:tab w:val="right" w:pos="360"/>
          <w:tab w:val="left" w:pos="540"/>
        </w:tabs>
        <w:spacing w:after="240" w:line="240" w:lineRule="auto"/>
        <w:ind w:left="540" w:hanging="540"/>
        <w:jc w:val="both"/>
        <w:rPr>
          <w:rFonts w:ascii="Arial" w:hAnsi="Arial" w:cs="Arial"/>
          <w:noProof/>
        </w:rPr>
      </w:pPr>
      <w:r w:rsidRPr="00C92462">
        <w:rPr>
          <w:rFonts w:ascii="Arial" w:hAnsi="Arial" w:cs="Arial"/>
          <w:noProof/>
        </w:rPr>
        <w:tab/>
        <w:t xml:space="preserve">4. </w:t>
      </w:r>
      <w:r w:rsidRPr="00C92462">
        <w:rPr>
          <w:rFonts w:ascii="Arial" w:hAnsi="Arial" w:cs="Arial"/>
          <w:noProof/>
        </w:rPr>
        <w:tab/>
        <w:t xml:space="preserve">Reimand J, Arak T, Adler P, Kolberg L, Reisberg S, Peterson H, Vilo J (2016) </w:t>
      </w:r>
      <w:r w:rsidR="00F14148" w:rsidRPr="00C92462">
        <w:rPr>
          <w:rFonts w:ascii="Arial" w:hAnsi="Arial" w:cs="Arial"/>
          <w:noProof/>
        </w:rPr>
        <w:t>g:Profiler-a web server for functional interpretation of gene lists (2016 update).</w:t>
      </w:r>
      <w:r w:rsidRPr="00C92462">
        <w:rPr>
          <w:rFonts w:ascii="Arial" w:hAnsi="Arial" w:cs="Arial"/>
          <w:noProof/>
        </w:rPr>
        <w:t xml:space="preserve"> (2016 update). Nucleic Acids Res 44:W83-W89</w:t>
      </w:r>
    </w:p>
    <w:p w:rsidR="00BE73EA" w:rsidRPr="00C92462" w:rsidRDefault="00BE73EA" w:rsidP="00721AFA">
      <w:pPr>
        <w:tabs>
          <w:tab w:val="right" w:pos="360"/>
          <w:tab w:val="left" w:pos="540"/>
        </w:tabs>
        <w:spacing w:after="240" w:line="240" w:lineRule="auto"/>
        <w:ind w:left="540" w:hanging="540"/>
        <w:jc w:val="both"/>
        <w:rPr>
          <w:rFonts w:ascii="Arial" w:hAnsi="Arial" w:cs="Arial"/>
          <w:noProof/>
        </w:rPr>
      </w:pPr>
      <w:r w:rsidRPr="00C92462">
        <w:rPr>
          <w:rFonts w:ascii="Arial" w:hAnsi="Arial" w:cs="Arial"/>
          <w:noProof/>
        </w:rPr>
        <w:tab/>
        <w:t xml:space="preserve">5. </w:t>
      </w:r>
      <w:r w:rsidRPr="00C92462">
        <w:rPr>
          <w:rFonts w:ascii="Arial" w:hAnsi="Arial" w:cs="Arial"/>
          <w:noProof/>
        </w:rPr>
        <w:tab/>
        <w:t>Schreier B, Rabe S, Schneider B, Bretschneider M, Rupp S, Ruhs S, Neumann J, Rueckschloss U, Sibilia M, Gotthardt M, Grossmann C, Gekle M (2013) Loss of Epidermal Growth Factor Receptor in Vascular Smooth Muscle Cells and Cardiomyocytes Causes Arterial Hypotension and Cardiac Hypertrophy. Hypertension 61:333-340</w:t>
      </w:r>
    </w:p>
    <w:p w:rsidR="00BE73EA" w:rsidRPr="00C92462" w:rsidRDefault="00BE73EA" w:rsidP="00721AFA">
      <w:pPr>
        <w:tabs>
          <w:tab w:val="right" w:pos="360"/>
          <w:tab w:val="left" w:pos="540"/>
        </w:tabs>
        <w:spacing w:after="240" w:line="240" w:lineRule="auto"/>
        <w:ind w:left="540" w:hanging="540"/>
        <w:jc w:val="both"/>
        <w:rPr>
          <w:rFonts w:ascii="Arial" w:hAnsi="Arial" w:cs="Arial"/>
          <w:noProof/>
        </w:rPr>
      </w:pPr>
      <w:r w:rsidRPr="00C92462">
        <w:rPr>
          <w:rFonts w:ascii="Arial" w:hAnsi="Arial" w:cs="Arial"/>
          <w:noProof/>
        </w:rPr>
        <w:tab/>
        <w:t xml:space="preserve">6. </w:t>
      </w:r>
      <w:r w:rsidRPr="00C92462">
        <w:rPr>
          <w:rFonts w:ascii="Arial" w:hAnsi="Arial" w:cs="Arial"/>
          <w:noProof/>
        </w:rPr>
        <w:tab/>
        <w:t>Schreier B, Rabe S, Schneider B, Ruhs S, Grossmann C, Hauptmann S, Blessing M, Neumann J, Gekle M (2011) Aldosterone/NaCl-induced renal and cardiac fibrosis is modulated by TGF-beta responsiveness of T cells. Hypertens Res 34:623-629</w:t>
      </w:r>
    </w:p>
    <w:p w:rsidR="00BE73EA" w:rsidRPr="00C92462" w:rsidRDefault="00BE73EA" w:rsidP="00721AFA">
      <w:pPr>
        <w:tabs>
          <w:tab w:val="right" w:pos="360"/>
          <w:tab w:val="left" w:pos="540"/>
        </w:tabs>
        <w:spacing w:after="240" w:line="240" w:lineRule="auto"/>
        <w:ind w:left="540" w:hanging="540"/>
        <w:jc w:val="both"/>
        <w:rPr>
          <w:rFonts w:ascii="Arial" w:hAnsi="Arial" w:cs="Arial"/>
          <w:noProof/>
        </w:rPr>
      </w:pPr>
      <w:r w:rsidRPr="00C92462">
        <w:rPr>
          <w:rFonts w:ascii="Arial" w:hAnsi="Arial" w:cs="Arial"/>
          <w:noProof/>
        </w:rPr>
        <w:tab/>
        <w:t xml:space="preserve">7. </w:t>
      </w:r>
      <w:r w:rsidRPr="00C92462">
        <w:rPr>
          <w:rFonts w:ascii="Arial" w:hAnsi="Arial" w:cs="Arial"/>
          <w:noProof/>
        </w:rPr>
        <w:tab/>
        <w:t>Schreier B, Rabe S, Winter S, Ruhs S, Mildenberger S, Schneider B, Sibilia M, Gotthardt M, Kempe S, Mader K, Grossmann C, Gekle M (2014) Moderate inappropriately high aldosterone/NaCl constellation in mice: cardiovascular effects and the role of cardiovascular epidermal growth factor receptor. Sci Rep 4:7430</w:t>
      </w:r>
    </w:p>
    <w:p w:rsidR="00BE73EA" w:rsidRPr="00C92462" w:rsidRDefault="00BE73EA" w:rsidP="00721AFA">
      <w:pPr>
        <w:tabs>
          <w:tab w:val="right" w:pos="360"/>
          <w:tab w:val="left" w:pos="540"/>
        </w:tabs>
        <w:spacing w:after="240" w:line="240" w:lineRule="auto"/>
        <w:ind w:left="540" w:hanging="540"/>
        <w:jc w:val="both"/>
        <w:rPr>
          <w:rFonts w:ascii="Arial" w:hAnsi="Arial" w:cs="Arial"/>
          <w:noProof/>
        </w:rPr>
      </w:pPr>
      <w:r w:rsidRPr="00C92462">
        <w:rPr>
          <w:rFonts w:ascii="Arial" w:hAnsi="Arial" w:cs="Arial"/>
          <w:noProof/>
        </w:rPr>
        <w:tab/>
        <w:t xml:space="preserve">8. </w:t>
      </w:r>
      <w:r w:rsidRPr="00C92462">
        <w:rPr>
          <w:rFonts w:ascii="Arial" w:hAnsi="Arial" w:cs="Arial"/>
          <w:noProof/>
        </w:rPr>
        <w:tab/>
        <w:t xml:space="preserve">Xia M, Salata JJ, Figueroa DJ, Lawlor AM, Liang HA, Liu Y, Connolly TM (2004) Functional expression of L- and T-type Ca2+ channels in murine HL-1 cells. </w:t>
      </w:r>
      <w:r w:rsidR="00EB729E" w:rsidRPr="00C92462">
        <w:rPr>
          <w:rFonts w:ascii="Arial" w:hAnsi="Arial" w:cs="Arial"/>
          <w:noProof/>
        </w:rPr>
        <w:t>J Mol Cell Cardiol</w:t>
      </w:r>
      <w:r w:rsidRPr="00C92462">
        <w:rPr>
          <w:rFonts w:ascii="Arial" w:hAnsi="Arial" w:cs="Arial"/>
          <w:noProof/>
        </w:rPr>
        <w:t xml:space="preserve"> 36:111-119</w:t>
      </w:r>
    </w:p>
    <w:p w:rsidR="00BE73EA" w:rsidRPr="00C92462" w:rsidRDefault="00BE73EA" w:rsidP="00721AFA">
      <w:pPr>
        <w:tabs>
          <w:tab w:val="right" w:pos="360"/>
          <w:tab w:val="left" w:pos="540"/>
        </w:tabs>
        <w:spacing w:after="0" w:line="240" w:lineRule="auto"/>
        <w:ind w:left="540" w:hanging="540"/>
        <w:jc w:val="both"/>
        <w:rPr>
          <w:rFonts w:ascii="Arial" w:hAnsi="Arial" w:cs="Arial"/>
          <w:noProof/>
        </w:rPr>
      </w:pPr>
      <w:r w:rsidRPr="00C92462">
        <w:rPr>
          <w:rFonts w:ascii="Arial" w:hAnsi="Arial" w:cs="Arial"/>
          <w:noProof/>
        </w:rPr>
        <w:tab/>
        <w:t xml:space="preserve">9. </w:t>
      </w:r>
      <w:r w:rsidRPr="00C92462">
        <w:rPr>
          <w:rFonts w:ascii="Arial" w:hAnsi="Arial" w:cs="Arial"/>
          <w:noProof/>
        </w:rPr>
        <w:tab/>
        <w:t>Zambelli F, Pesole G, Pavesi G (2009) Pscan: finding over-represented transcription factor binding site motifs in sequences from co-regulated or co-expressed genes. Nucleic Acids Res 37:W247-W252</w:t>
      </w:r>
    </w:p>
    <w:p w:rsidR="00BE73EA" w:rsidRPr="00C92462" w:rsidRDefault="00BE73EA" w:rsidP="00721AFA">
      <w:pPr>
        <w:tabs>
          <w:tab w:val="right" w:pos="360"/>
          <w:tab w:val="left" w:pos="540"/>
        </w:tabs>
        <w:spacing w:after="0" w:line="240" w:lineRule="auto"/>
        <w:ind w:left="540" w:hanging="540"/>
        <w:jc w:val="both"/>
        <w:rPr>
          <w:rFonts w:ascii="Arial" w:hAnsi="Arial" w:cs="Arial"/>
          <w:noProof/>
        </w:rPr>
      </w:pPr>
    </w:p>
    <w:p w:rsidR="00BE73EA" w:rsidRPr="00C92462" w:rsidRDefault="00BE73EA" w:rsidP="00721AFA">
      <w:pPr>
        <w:jc w:val="both"/>
        <w:rPr>
          <w:rFonts w:ascii="Arial" w:hAnsi="Arial" w:cs="Arial"/>
        </w:rPr>
      </w:pPr>
    </w:p>
    <w:bookmarkEnd w:id="0"/>
    <w:p w:rsidR="00115513" w:rsidRPr="00C92462" w:rsidRDefault="00C92462"/>
    <w:sectPr w:rsidR="00115513" w:rsidRPr="00C92462">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GB" w:vendorID="64" w:dllVersion="131078" w:nlCheck="1" w:checkStyle="1"/>
  <w:activeWritingStyle w:appName="MSWord" w:lang="en-US" w:vendorID="64" w:dllVersion="131078" w:nlCheck="1" w:checkStyle="1"/>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0&lt;/Enabled&gt;&lt;ScanUnformatted&gt;1&lt;/ScanUnformatted&gt;&lt;ScanChanges&gt;1&lt;/ScanChanges&gt;&lt;/ENInstantFormat&gt;"/>
  </w:docVars>
  <w:rsids>
    <w:rsidRoot w:val="00BE73EA"/>
    <w:rsid w:val="00002E85"/>
    <w:rsid w:val="0001077C"/>
    <w:rsid w:val="000A1382"/>
    <w:rsid w:val="000E417F"/>
    <w:rsid w:val="000E5269"/>
    <w:rsid w:val="000F521B"/>
    <w:rsid w:val="001B3863"/>
    <w:rsid w:val="00274A81"/>
    <w:rsid w:val="002B0CD3"/>
    <w:rsid w:val="002B6784"/>
    <w:rsid w:val="00371734"/>
    <w:rsid w:val="00392603"/>
    <w:rsid w:val="00485B9D"/>
    <w:rsid w:val="00490026"/>
    <w:rsid w:val="004F38B8"/>
    <w:rsid w:val="005E60AD"/>
    <w:rsid w:val="005F1DF9"/>
    <w:rsid w:val="0067512B"/>
    <w:rsid w:val="006C1103"/>
    <w:rsid w:val="00823A61"/>
    <w:rsid w:val="008260BF"/>
    <w:rsid w:val="008B2764"/>
    <w:rsid w:val="00986122"/>
    <w:rsid w:val="009D5A75"/>
    <w:rsid w:val="009E7010"/>
    <w:rsid w:val="00A43833"/>
    <w:rsid w:val="00AB0177"/>
    <w:rsid w:val="00AC4A3D"/>
    <w:rsid w:val="00AE43E7"/>
    <w:rsid w:val="00B21A51"/>
    <w:rsid w:val="00B27DDE"/>
    <w:rsid w:val="00B45D9D"/>
    <w:rsid w:val="00B642D2"/>
    <w:rsid w:val="00BE73EA"/>
    <w:rsid w:val="00C92462"/>
    <w:rsid w:val="00D41FF1"/>
    <w:rsid w:val="00DC7824"/>
    <w:rsid w:val="00EB729E"/>
    <w:rsid w:val="00F14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E73E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E7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unhideWhenUsed/>
    <w:rsid w:val="00BE73EA"/>
    <w:rPr>
      <w:color w:val="0000FF"/>
      <w:u w:val="single"/>
    </w:rPr>
  </w:style>
  <w:style w:type="character" w:styleId="Hervorhebung">
    <w:name w:val="Emphasis"/>
    <w:basedOn w:val="Absatz-Standardschriftart"/>
    <w:uiPriority w:val="20"/>
    <w:qFormat/>
    <w:rsid w:val="00BE73EA"/>
    <w:rPr>
      <w:i/>
      <w:iCs/>
    </w:rPr>
  </w:style>
  <w:style w:type="character" w:styleId="Kommentarzeichen">
    <w:name w:val="annotation reference"/>
    <w:basedOn w:val="Absatz-Standardschriftart"/>
    <w:uiPriority w:val="99"/>
    <w:semiHidden/>
    <w:unhideWhenUsed/>
    <w:rsid w:val="00BE73EA"/>
    <w:rPr>
      <w:sz w:val="16"/>
      <w:szCs w:val="16"/>
    </w:rPr>
  </w:style>
  <w:style w:type="paragraph" w:styleId="Kommentartext">
    <w:name w:val="annotation text"/>
    <w:basedOn w:val="Standard"/>
    <w:link w:val="KommentartextZchn"/>
    <w:uiPriority w:val="99"/>
    <w:unhideWhenUsed/>
    <w:rsid w:val="00BE73EA"/>
    <w:pPr>
      <w:spacing w:line="240" w:lineRule="auto"/>
    </w:pPr>
    <w:rPr>
      <w:sz w:val="20"/>
      <w:szCs w:val="20"/>
    </w:rPr>
  </w:style>
  <w:style w:type="character" w:customStyle="1" w:styleId="KommentartextZchn">
    <w:name w:val="Kommentartext Zchn"/>
    <w:basedOn w:val="Absatz-Standardschriftart"/>
    <w:link w:val="Kommentartext"/>
    <w:uiPriority w:val="99"/>
    <w:rsid w:val="00BE73EA"/>
    <w:rPr>
      <w:sz w:val="20"/>
      <w:szCs w:val="20"/>
      <w:lang w:val="en-GB"/>
    </w:rPr>
  </w:style>
  <w:style w:type="paragraph" w:styleId="Sprechblasentext">
    <w:name w:val="Balloon Text"/>
    <w:basedOn w:val="Standard"/>
    <w:link w:val="SprechblasentextZchn"/>
    <w:uiPriority w:val="99"/>
    <w:semiHidden/>
    <w:unhideWhenUsed/>
    <w:rsid w:val="00BE73E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73EA"/>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E73E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BE7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unhideWhenUsed/>
    <w:rsid w:val="00BE73EA"/>
    <w:rPr>
      <w:color w:val="0000FF"/>
      <w:u w:val="single"/>
    </w:rPr>
  </w:style>
  <w:style w:type="character" w:styleId="Hervorhebung">
    <w:name w:val="Emphasis"/>
    <w:basedOn w:val="Absatz-Standardschriftart"/>
    <w:uiPriority w:val="20"/>
    <w:qFormat/>
    <w:rsid w:val="00BE73EA"/>
    <w:rPr>
      <w:i/>
      <w:iCs/>
    </w:rPr>
  </w:style>
  <w:style w:type="character" w:styleId="Kommentarzeichen">
    <w:name w:val="annotation reference"/>
    <w:basedOn w:val="Absatz-Standardschriftart"/>
    <w:uiPriority w:val="99"/>
    <w:semiHidden/>
    <w:unhideWhenUsed/>
    <w:rsid w:val="00BE73EA"/>
    <w:rPr>
      <w:sz w:val="16"/>
      <w:szCs w:val="16"/>
    </w:rPr>
  </w:style>
  <w:style w:type="paragraph" w:styleId="Kommentartext">
    <w:name w:val="annotation text"/>
    <w:basedOn w:val="Standard"/>
    <w:link w:val="KommentartextZchn"/>
    <w:uiPriority w:val="99"/>
    <w:unhideWhenUsed/>
    <w:rsid w:val="00BE73EA"/>
    <w:pPr>
      <w:spacing w:line="240" w:lineRule="auto"/>
    </w:pPr>
    <w:rPr>
      <w:sz w:val="20"/>
      <w:szCs w:val="20"/>
    </w:rPr>
  </w:style>
  <w:style w:type="character" w:customStyle="1" w:styleId="KommentartextZchn">
    <w:name w:val="Kommentartext Zchn"/>
    <w:basedOn w:val="Absatz-Standardschriftart"/>
    <w:link w:val="Kommentartext"/>
    <w:uiPriority w:val="99"/>
    <w:rsid w:val="00BE73EA"/>
    <w:rPr>
      <w:sz w:val="20"/>
      <w:szCs w:val="20"/>
      <w:lang w:val="en-GB"/>
    </w:rPr>
  </w:style>
  <w:style w:type="paragraph" w:styleId="Sprechblasentext">
    <w:name w:val="Balloon Text"/>
    <w:basedOn w:val="Standard"/>
    <w:link w:val="SprechblasentextZchn"/>
    <w:uiPriority w:val="99"/>
    <w:semiHidden/>
    <w:unhideWhenUsed/>
    <w:rsid w:val="00BE73E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73EA"/>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3109</Words>
  <Characters>17722</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UKH</Company>
  <LinksUpToDate>false</LinksUpToDate>
  <CharactersWithSpaces>20790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Schreier</dc:creator>
  <cp:lastModifiedBy>Barbara Schreier</cp:lastModifiedBy>
  <cp:revision>3</cp:revision>
  <dcterms:created xsi:type="dcterms:W3CDTF">2019-08-22T11:03:00Z</dcterms:created>
  <dcterms:modified xsi:type="dcterms:W3CDTF">2019-08-22T11:06:00Z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ACM SIG Proceedings With Long Author List</vt:lpwstr>
  </property>
</Properties>
</file>