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BC4" w:rsidRPr="002E40A0" w:rsidRDefault="00870BC4" w:rsidP="00F5209D">
      <w:pPr>
        <w:jc w:val="both"/>
        <w:rPr>
          <w:color w:val="FF0000"/>
          <w:lang w:val="en-US"/>
        </w:rPr>
      </w:pPr>
      <w:r w:rsidRPr="002E40A0">
        <w:rPr>
          <w:rFonts w:ascii="Times New Roman" w:hAnsi="Times New Roman"/>
          <w:b/>
          <w:color w:val="FF0000"/>
          <w:sz w:val="24"/>
          <w:szCs w:val="24"/>
          <w:lang w:val="en-US"/>
        </w:rPr>
        <w:t xml:space="preserve">Supplementary Table 2 </w:t>
      </w:r>
      <w:r w:rsidRPr="002E40A0">
        <w:rPr>
          <w:rFonts w:ascii="Times New Roman" w:hAnsi="Times New Roman"/>
          <w:color w:val="FF0000"/>
          <w:sz w:val="24"/>
          <w:szCs w:val="24"/>
          <w:lang w:val="en-GB"/>
        </w:rPr>
        <w:t xml:space="preserve">Sequences of the primers used for </w:t>
      </w:r>
      <w:proofErr w:type="spellStart"/>
      <w:r w:rsidRPr="002E40A0">
        <w:rPr>
          <w:rFonts w:ascii="Times New Roman" w:hAnsi="Times New Roman"/>
          <w:color w:val="FF0000"/>
          <w:sz w:val="24"/>
          <w:szCs w:val="24"/>
          <w:lang w:val="en-GB"/>
        </w:rPr>
        <w:t>qRT</w:t>
      </w:r>
      <w:proofErr w:type="spellEnd"/>
      <w:r w:rsidRPr="002E40A0">
        <w:rPr>
          <w:rFonts w:ascii="Times New Roman" w:hAnsi="Times New Roman"/>
          <w:color w:val="FF0000"/>
          <w:sz w:val="24"/>
          <w:szCs w:val="24"/>
          <w:lang w:val="en-GB"/>
        </w:rPr>
        <w:t>-PCR experiments targeting the GluN1</w:t>
      </w:r>
      <w:r w:rsidR="00F5209D" w:rsidRPr="002E40A0">
        <w:rPr>
          <w:rFonts w:ascii="Times New Roman" w:hAnsi="Times New Roman"/>
          <w:color w:val="FF0000"/>
          <w:sz w:val="24"/>
          <w:szCs w:val="24"/>
          <w:lang w:val="en-GB"/>
        </w:rPr>
        <w:t xml:space="preserve"> (</w:t>
      </w:r>
      <w:r w:rsidR="00F5209D" w:rsidRPr="002E40A0">
        <w:rPr>
          <w:rFonts w:ascii="Times New Roman" w:hAnsi="Times New Roman"/>
          <w:i/>
          <w:color w:val="FF0000"/>
          <w:sz w:val="24"/>
          <w:szCs w:val="24"/>
          <w:lang w:val="en-GB"/>
        </w:rPr>
        <w:t>Grin1</w:t>
      </w:r>
      <w:r w:rsidR="00F5209D" w:rsidRPr="002E40A0">
        <w:rPr>
          <w:rFonts w:ascii="Times New Roman" w:hAnsi="Times New Roman"/>
          <w:color w:val="FF0000"/>
          <w:sz w:val="24"/>
          <w:szCs w:val="24"/>
          <w:lang w:val="en-GB"/>
        </w:rPr>
        <w:t>)</w:t>
      </w:r>
      <w:r w:rsidRPr="002E40A0">
        <w:rPr>
          <w:rFonts w:ascii="Times New Roman" w:hAnsi="Times New Roman"/>
          <w:color w:val="FF0000"/>
          <w:sz w:val="24"/>
          <w:szCs w:val="24"/>
          <w:lang w:val="en-GB"/>
        </w:rPr>
        <w:t>, GluN2A</w:t>
      </w:r>
      <w:r w:rsidR="00F5209D" w:rsidRPr="002E40A0">
        <w:rPr>
          <w:rFonts w:ascii="Times New Roman" w:hAnsi="Times New Roman"/>
          <w:color w:val="FF0000"/>
          <w:sz w:val="24"/>
          <w:szCs w:val="24"/>
          <w:lang w:val="en-GB"/>
        </w:rPr>
        <w:t xml:space="preserve"> (</w:t>
      </w:r>
      <w:r w:rsidR="00F5209D" w:rsidRPr="002E40A0">
        <w:rPr>
          <w:rFonts w:ascii="Times New Roman" w:hAnsi="Times New Roman"/>
          <w:i/>
          <w:color w:val="FF0000"/>
          <w:sz w:val="24"/>
          <w:szCs w:val="24"/>
          <w:lang w:val="en-GB"/>
        </w:rPr>
        <w:t>Grin2a</w:t>
      </w:r>
      <w:r w:rsidR="00F5209D" w:rsidRPr="002E40A0">
        <w:rPr>
          <w:rFonts w:ascii="Times New Roman" w:hAnsi="Times New Roman"/>
          <w:color w:val="FF0000"/>
          <w:sz w:val="24"/>
          <w:szCs w:val="24"/>
          <w:lang w:val="en-GB"/>
        </w:rPr>
        <w:t>)</w:t>
      </w:r>
      <w:r w:rsidRPr="002E40A0">
        <w:rPr>
          <w:rFonts w:ascii="Times New Roman" w:hAnsi="Times New Roman"/>
          <w:color w:val="FF0000"/>
          <w:sz w:val="24"/>
          <w:szCs w:val="24"/>
          <w:lang w:val="en-GB"/>
        </w:rPr>
        <w:t xml:space="preserve"> and GluN2B</w:t>
      </w:r>
      <w:r w:rsidR="00F5209D" w:rsidRPr="002E40A0">
        <w:rPr>
          <w:rFonts w:ascii="Times New Roman" w:hAnsi="Times New Roman"/>
          <w:color w:val="FF0000"/>
          <w:sz w:val="24"/>
          <w:szCs w:val="24"/>
          <w:lang w:val="en-GB"/>
        </w:rPr>
        <w:t xml:space="preserve"> (</w:t>
      </w:r>
      <w:r w:rsidR="00F5209D" w:rsidRPr="002E40A0">
        <w:rPr>
          <w:rFonts w:ascii="Times New Roman" w:hAnsi="Times New Roman"/>
          <w:i/>
          <w:color w:val="FF0000"/>
          <w:sz w:val="24"/>
          <w:szCs w:val="24"/>
          <w:lang w:val="en-GB"/>
        </w:rPr>
        <w:t>Grin2b</w:t>
      </w:r>
      <w:r w:rsidR="00F5209D" w:rsidRPr="002E40A0">
        <w:rPr>
          <w:rFonts w:ascii="Times New Roman" w:hAnsi="Times New Roman"/>
          <w:color w:val="FF0000"/>
          <w:sz w:val="24"/>
          <w:szCs w:val="24"/>
          <w:lang w:val="en-GB"/>
        </w:rPr>
        <w:t>)</w:t>
      </w:r>
      <w:r w:rsidRPr="002E40A0">
        <w:rPr>
          <w:rFonts w:ascii="Times New Roman" w:hAnsi="Times New Roman"/>
          <w:color w:val="FF0000"/>
          <w:sz w:val="24"/>
          <w:szCs w:val="24"/>
          <w:lang w:val="en-GB"/>
        </w:rPr>
        <w:t xml:space="preserve"> subunits of the NMDA receptor.</w:t>
      </w:r>
      <w:r w:rsidR="00F5209D" w:rsidRPr="002E40A0">
        <w:rPr>
          <w:rFonts w:ascii="Times New Roman" w:hAnsi="Times New Roman"/>
          <w:color w:val="FF0000"/>
          <w:sz w:val="24"/>
          <w:szCs w:val="24"/>
          <w:lang w:val="en-GB"/>
        </w:rPr>
        <w:t xml:space="preserve"> </w:t>
      </w:r>
      <w:r w:rsidR="00F5209D" w:rsidRPr="002E40A0">
        <w:rPr>
          <w:rFonts w:ascii="Times New Roman" w:hAnsi="Times New Roman"/>
          <w:i/>
          <w:color w:val="FF0000"/>
          <w:sz w:val="24"/>
          <w:szCs w:val="24"/>
          <w:lang w:val="en-GB"/>
        </w:rPr>
        <w:t>f</w:t>
      </w:r>
      <w:r w:rsidR="00F5209D" w:rsidRPr="002E40A0">
        <w:rPr>
          <w:rFonts w:ascii="Times New Roman" w:hAnsi="Times New Roman"/>
          <w:color w:val="FF0000"/>
          <w:sz w:val="24"/>
          <w:szCs w:val="24"/>
          <w:lang w:val="en-GB"/>
        </w:rPr>
        <w:t xml:space="preserve">, forward; </w:t>
      </w:r>
      <w:r w:rsidR="00F5209D" w:rsidRPr="002E40A0">
        <w:rPr>
          <w:rFonts w:ascii="Times New Roman" w:hAnsi="Times New Roman"/>
          <w:i/>
          <w:color w:val="FF0000"/>
          <w:sz w:val="24"/>
          <w:szCs w:val="24"/>
          <w:lang w:val="en-GB"/>
        </w:rPr>
        <w:t>r</w:t>
      </w:r>
      <w:r w:rsidR="00F5209D" w:rsidRPr="002E40A0">
        <w:rPr>
          <w:rFonts w:ascii="Times New Roman" w:hAnsi="Times New Roman"/>
          <w:color w:val="FF0000"/>
          <w:sz w:val="24"/>
          <w:szCs w:val="24"/>
          <w:lang w:val="en-GB"/>
        </w:rPr>
        <w:t>, reverse.</w:t>
      </w:r>
      <w:r w:rsidR="002E40A0" w:rsidRPr="002E40A0">
        <w:rPr>
          <w:rFonts w:ascii="Times New Roman" w:hAnsi="Times New Roman"/>
          <w:color w:val="FF0000"/>
          <w:sz w:val="24"/>
          <w:szCs w:val="24"/>
          <w:lang w:val="en-GB"/>
        </w:rPr>
        <w:t xml:space="preserve"> GAPDH was used as internal control.</w:t>
      </w:r>
    </w:p>
    <w:p w:rsidR="00870BC4" w:rsidRPr="002E40A0" w:rsidRDefault="00870BC4">
      <w:pPr>
        <w:rPr>
          <w:color w:val="FF0000"/>
          <w:lang w:val="en-US"/>
        </w:rPr>
      </w:pPr>
      <w:bookmarkStart w:id="0" w:name="_GoBack"/>
      <w:bookmarkEnd w:id="0"/>
      <w:r w:rsidRPr="002E40A0">
        <w:rPr>
          <w:noProof/>
          <w:color w:val="FF0000"/>
          <w:lang w:eastAsia="fr-FR"/>
        </w:rPr>
        <w:drawing>
          <wp:anchor distT="0" distB="0" distL="114300" distR="114300" simplePos="0" relativeHeight="251659264" behindDoc="0" locked="0" layoutInCell="1" allowOverlap="1" wp14:anchorId="6DED1745" wp14:editId="3BA2A322">
            <wp:simplePos x="0" y="0"/>
            <wp:positionH relativeFrom="column">
              <wp:posOffset>951865</wp:posOffset>
            </wp:positionH>
            <wp:positionV relativeFrom="paragraph">
              <wp:posOffset>293370</wp:posOffset>
            </wp:positionV>
            <wp:extent cx="3507740" cy="1574800"/>
            <wp:effectExtent l="0" t="0" r="0" b="6350"/>
            <wp:wrapNone/>
            <wp:docPr id="2" name="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l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07740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70BC4" w:rsidRPr="002E40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BC4"/>
    <w:rsid w:val="000320AE"/>
    <w:rsid w:val="00060D94"/>
    <w:rsid w:val="002E40A0"/>
    <w:rsid w:val="00870BC4"/>
    <w:rsid w:val="00F52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F9784"/>
  <w15:chartTrackingRefBased/>
  <w15:docId w15:val="{219071A7-088F-4EE8-8AAA-7D7BC64E8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0BC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UR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GONZALEZ (Personnel)</dc:creator>
  <cp:keywords/>
  <dc:description/>
  <cp:lastModifiedBy>BRUNO GONZALEZ (Personnel)</cp:lastModifiedBy>
  <cp:revision>4</cp:revision>
  <dcterms:created xsi:type="dcterms:W3CDTF">2019-07-01T08:58:00Z</dcterms:created>
  <dcterms:modified xsi:type="dcterms:W3CDTF">2019-07-01T13:00:00Z</dcterms:modified>
</cp:coreProperties>
</file>