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4238" w:rsidRPr="00AE4FEA" w:rsidRDefault="00EF4238" w:rsidP="00EF4238">
      <w:pPr>
        <w:spacing w:line="360" w:lineRule="auto"/>
        <w:jc w:val="both"/>
        <w:rPr>
          <w:b/>
          <w:sz w:val="28"/>
          <w:lang w:val="en-US"/>
        </w:rPr>
      </w:pPr>
      <w:r w:rsidRPr="00AE4FEA">
        <w:rPr>
          <w:b/>
          <w:sz w:val="28"/>
          <w:lang w:val="en-US"/>
        </w:rPr>
        <w:t xml:space="preserve">Supplementary </w:t>
      </w:r>
      <w:r w:rsidR="00DD4BFA">
        <w:rPr>
          <w:b/>
          <w:sz w:val="28"/>
          <w:lang w:val="en-US"/>
        </w:rPr>
        <w:t>Tables</w:t>
      </w:r>
    </w:p>
    <w:p w:rsidR="00EF4238" w:rsidRPr="005B3DC9" w:rsidRDefault="00EF4238" w:rsidP="00EF4238">
      <w:pPr>
        <w:spacing w:line="360" w:lineRule="auto"/>
        <w:contextualSpacing/>
        <w:jc w:val="both"/>
        <w:rPr>
          <w:b/>
          <w:i/>
          <w:sz w:val="18"/>
          <w:lang w:val="en-US"/>
        </w:rPr>
      </w:pPr>
      <w:r w:rsidRPr="005B3DC9">
        <w:rPr>
          <w:b/>
          <w:sz w:val="18"/>
          <w:lang w:val="en-US"/>
        </w:rPr>
        <w:t>Table 1:</w:t>
      </w:r>
      <w:r w:rsidRPr="005B3DC9">
        <w:rPr>
          <w:sz w:val="18"/>
          <w:lang w:val="en-US"/>
        </w:rPr>
        <w:t xml:space="preserve"> </w:t>
      </w:r>
      <w:r w:rsidRPr="005B3DC9">
        <w:rPr>
          <w:b/>
          <w:sz w:val="18"/>
          <w:lang w:val="en-US"/>
        </w:rPr>
        <w:t xml:space="preserve">Guide RNA targeting </w:t>
      </w:r>
      <w:r w:rsidRPr="005B3DC9">
        <w:rPr>
          <w:b/>
          <w:i/>
          <w:sz w:val="18"/>
          <w:lang w:val="en-US"/>
        </w:rPr>
        <w:t xml:space="preserve">Id2 </w:t>
      </w:r>
      <w:r w:rsidRPr="005B3DC9">
        <w:rPr>
          <w:b/>
          <w:sz w:val="18"/>
          <w:lang w:val="en-US"/>
        </w:rPr>
        <w:t xml:space="preserve">and </w:t>
      </w:r>
      <w:r w:rsidRPr="005B3DC9">
        <w:rPr>
          <w:b/>
          <w:i/>
          <w:sz w:val="18"/>
          <w:lang w:val="en-US"/>
        </w:rPr>
        <w:t>Id4</w:t>
      </w:r>
    </w:p>
    <w:p w:rsidR="00EF4238" w:rsidRDefault="00EF4238" w:rsidP="00EF4238">
      <w:pPr>
        <w:spacing w:line="360" w:lineRule="auto"/>
        <w:contextualSpacing/>
        <w:jc w:val="both"/>
        <w:rPr>
          <w:lang w:val="en-US"/>
        </w:rPr>
      </w:pPr>
      <w:r>
        <w:rPr>
          <w:noProof/>
          <w:lang w:eastAsia="en-GB"/>
        </w:rPr>
        <w:drawing>
          <wp:inline distT="0" distB="0" distL="0" distR="0" wp14:anchorId="353CB9FE" wp14:editId="75B827CD">
            <wp:extent cx="3223260" cy="826214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1886" cy="83098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F4238" w:rsidRPr="00AE4FEA" w:rsidRDefault="00EF4238" w:rsidP="00EF4238">
      <w:pPr>
        <w:spacing w:line="360" w:lineRule="auto"/>
        <w:contextualSpacing/>
        <w:jc w:val="both"/>
        <w:rPr>
          <w:lang w:val="en-US"/>
        </w:rPr>
      </w:pPr>
    </w:p>
    <w:p w:rsidR="00EF4238" w:rsidRPr="005B3DC9" w:rsidRDefault="00EF4238" w:rsidP="00EF4238">
      <w:pPr>
        <w:spacing w:line="360" w:lineRule="auto"/>
        <w:contextualSpacing/>
        <w:jc w:val="both"/>
        <w:rPr>
          <w:b/>
          <w:sz w:val="18"/>
          <w:lang w:val="en-US"/>
        </w:rPr>
      </w:pPr>
      <w:r w:rsidRPr="005B3DC9">
        <w:rPr>
          <w:b/>
          <w:sz w:val="18"/>
          <w:lang w:val="en-US"/>
        </w:rPr>
        <w:t xml:space="preserve">Table 2: Antibody list </w:t>
      </w:r>
    </w:p>
    <w:p w:rsidR="00EF4238" w:rsidRDefault="00EF4238" w:rsidP="00EF4238">
      <w:pPr>
        <w:spacing w:line="360" w:lineRule="auto"/>
        <w:contextualSpacing/>
        <w:jc w:val="both"/>
        <w:rPr>
          <w:lang w:val="en-US"/>
        </w:rPr>
      </w:pPr>
      <w:r>
        <w:rPr>
          <w:noProof/>
          <w:lang w:eastAsia="en-GB"/>
        </w:rPr>
        <w:drawing>
          <wp:inline distT="0" distB="0" distL="0" distR="0" wp14:anchorId="34DBDE35" wp14:editId="71E85F1B">
            <wp:extent cx="3265374" cy="1882140"/>
            <wp:effectExtent l="0" t="0" r="0" b="381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4617" cy="188746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F4238" w:rsidRPr="00AE4FEA" w:rsidRDefault="00EF4238" w:rsidP="00EF4238">
      <w:pPr>
        <w:spacing w:line="360" w:lineRule="auto"/>
        <w:contextualSpacing/>
        <w:jc w:val="both"/>
        <w:rPr>
          <w:lang w:val="en-US"/>
        </w:rPr>
      </w:pPr>
    </w:p>
    <w:p w:rsidR="00EF4238" w:rsidRDefault="00EF4238" w:rsidP="00EF4238">
      <w:pPr>
        <w:spacing w:line="360" w:lineRule="auto"/>
        <w:contextualSpacing/>
        <w:jc w:val="both"/>
        <w:rPr>
          <w:b/>
          <w:sz w:val="18"/>
          <w:lang w:val="en-US"/>
        </w:rPr>
      </w:pPr>
    </w:p>
    <w:p w:rsidR="00EF4238" w:rsidRDefault="00EF4238" w:rsidP="00EF4238">
      <w:pPr>
        <w:spacing w:line="360" w:lineRule="auto"/>
        <w:contextualSpacing/>
        <w:jc w:val="both"/>
        <w:rPr>
          <w:b/>
          <w:sz w:val="18"/>
          <w:lang w:val="en-US"/>
        </w:rPr>
      </w:pPr>
    </w:p>
    <w:p w:rsidR="00EF4238" w:rsidRDefault="00EF4238" w:rsidP="00EF4238">
      <w:pPr>
        <w:spacing w:line="360" w:lineRule="auto"/>
        <w:contextualSpacing/>
        <w:jc w:val="both"/>
        <w:rPr>
          <w:b/>
          <w:sz w:val="18"/>
          <w:lang w:val="en-US"/>
        </w:rPr>
      </w:pPr>
    </w:p>
    <w:p w:rsidR="00EF4238" w:rsidRDefault="00EF4238" w:rsidP="00EF4238">
      <w:pPr>
        <w:spacing w:line="360" w:lineRule="auto"/>
        <w:contextualSpacing/>
        <w:jc w:val="both"/>
        <w:rPr>
          <w:b/>
          <w:sz w:val="18"/>
          <w:lang w:val="en-US"/>
        </w:rPr>
      </w:pPr>
    </w:p>
    <w:p w:rsidR="00EF4238" w:rsidRDefault="00EF4238" w:rsidP="00EF4238">
      <w:pPr>
        <w:spacing w:line="360" w:lineRule="auto"/>
        <w:contextualSpacing/>
        <w:jc w:val="both"/>
        <w:rPr>
          <w:b/>
          <w:sz w:val="18"/>
          <w:lang w:val="en-US"/>
        </w:rPr>
      </w:pPr>
    </w:p>
    <w:p w:rsidR="00EF4238" w:rsidRDefault="00EF4238" w:rsidP="00EF4238">
      <w:pPr>
        <w:spacing w:line="360" w:lineRule="auto"/>
        <w:contextualSpacing/>
        <w:jc w:val="both"/>
        <w:rPr>
          <w:b/>
          <w:sz w:val="18"/>
          <w:lang w:val="en-US"/>
        </w:rPr>
      </w:pPr>
    </w:p>
    <w:p w:rsidR="00EF4238" w:rsidRDefault="00EF4238" w:rsidP="00EF4238">
      <w:pPr>
        <w:spacing w:line="360" w:lineRule="auto"/>
        <w:contextualSpacing/>
        <w:jc w:val="both"/>
        <w:rPr>
          <w:b/>
          <w:sz w:val="18"/>
          <w:lang w:val="en-US"/>
        </w:rPr>
      </w:pPr>
    </w:p>
    <w:p w:rsidR="00EF4238" w:rsidRDefault="00EF4238" w:rsidP="00EF4238">
      <w:pPr>
        <w:spacing w:line="360" w:lineRule="auto"/>
        <w:contextualSpacing/>
        <w:jc w:val="both"/>
        <w:rPr>
          <w:b/>
          <w:sz w:val="18"/>
          <w:lang w:val="en-US"/>
        </w:rPr>
      </w:pPr>
    </w:p>
    <w:p w:rsidR="00EF4238" w:rsidRDefault="00EF4238" w:rsidP="00EF4238">
      <w:pPr>
        <w:spacing w:line="360" w:lineRule="auto"/>
        <w:contextualSpacing/>
        <w:jc w:val="both"/>
        <w:rPr>
          <w:b/>
          <w:sz w:val="18"/>
          <w:lang w:val="en-US"/>
        </w:rPr>
      </w:pPr>
    </w:p>
    <w:p w:rsidR="00EF4238" w:rsidRDefault="00EF4238" w:rsidP="00EF4238">
      <w:pPr>
        <w:spacing w:line="360" w:lineRule="auto"/>
        <w:contextualSpacing/>
        <w:jc w:val="both"/>
        <w:rPr>
          <w:b/>
          <w:sz w:val="18"/>
          <w:lang w:val="en-US"/>
        </w:rPr>
      </w:pPr>
    </w:p>
    <w:p w:rsidR="00EF4238" w:rsidRDefault="00EF4238" w:rsidP="00EF4238">
      <w:pPr>
        <w:spacing w:line="360" w:lineRule="auto"/>
        <w:contextualSpacing/>
        <w:jc w:val="both"/>
        <w:rPr>
          <w:b/>
          <w:sz w:val="18"/>
          <w:lang w:val="en-US"/>
        </w:rPr>
      </w:pPr>
    </w:p>
    <w:p w:rsidR="00EF4238" w:rsidRDefault="00EF4238" w:rsidP="00EF4238">
      <w:pPr>
        <w:spacing w:line="360" w:lineRule="auto"/>
        <w:contextualSpacing/>
        <w:jc w:val="both"/>
        <w:rPr>
          <w:b/>
          <w:sz w:val="18"/>
          <w:lang w:val="en-US"/>
        </w:rPr>
      </w:pPr>
    </w:p>
    <w:p w:rsidR="00EF4238" w:rsidRDefault="00EF4238" w:rsidP="00EF4238">
      <w:pPr>
        <w:spacing w:line="360" w:lineRule="auto"/>
        <w:contextualSpacing/>
        <w:jc w:val="both"/>
        <w:rPr>
          <w:b/>
          <w:sz w:val="18"/>
          <w:lang w:val="en-US"/>
        </w:rPr>
      </w:pPr>
    </w:p>
    <w:p w:rsidR="00EF4238" w:rsidRDefault="00EF4238" w:rsidP="00EF4238">
      <w:pPr>
        <w:spacing w:line="360" w:lineRule="auto"/>
        <w:contextualSpacing/>
        <w:jc w:val="both"/>
        <w:rPr>
          <w:b/>
          <w:sz w:val="18"/>
          <w:lang w:val="en-US"/>
        </w:rPr>
      </w:pPr>
    </w:p>
    <w:p w:rsidR="00EF4238" w:rsidRDefault="00EF4238" w:rsidP="00EF4238">
      <w:pPr>
        <w:spacing w:line="360" w:lineRule="auto"/>
        <w:contextualSpacing/>
        <w:jc w:val="both"/>
        <w:rPr>
          <w:b/>
          <w:sz w:val="18"/>
          <w:lang w:val="en-US"/>
        </w:rPr>
      </w:pPr>
    </w:p>
    <w:p w:rsidR="00EF4238" w:rsidRDefault="00EF4238" w:rsidP="00EF4238">
      <w:pPr>
        <w:spacing w:line="360" w:lineRule="auto"/>
        <w:contextualSpacing/>
        <w:jc w:val="both"/>
        <w:rPr>
          <w:b/>
          <w:sz w:val="18"/>
          <w:lang w:val="en-US"/>
        </w:rPr>
      </w:pPr>
    </w:p>
    <w:p w:rsidR="00EF4238" w:rsidRDefault="00EF4238" w:rsidP="00EF4238">
      <w:pPr>
        <w:spacing w:line="360" w:lineRule="auto"/>
        <w:contextualSpacing/>
        <w:jc w:val="both"/>
        <w:rPr>
          <w:b/>
          <w:sz w:val="18"/>
          <w:lang w:val="en-US"/>
        </w:rPr>
      </w:pPr>
    </w:p>
    <w:p w:rsidR="00EF4238" w:rsidRDefault="00EF4238" w:rsidP="00EF4238">
      <w:pPr>
        <w:spacing w:line="360" w:lineRule="auto"/>
        <w:contextualSpacing/>
        <w:jc w:val="both"/>
        <w:rPr>
          <w:b/>
          <w:sz w:val="18"/>
          <w:lang w:val="en-US"/>
        </w:rPr>
      </w:pPr>
    </w:p>
    <w:p w:rsidR="00EF4238" w:rsidRDefault="00EF4238" w:rsidP="00EF4238">
      <w:pPr>
        <w:spacing w:line="360" w:lineRule="auto"/>
        <w:contextualSpacing/>
        <w:jc w:val="both"/>
        <w:rPr>
          <w:b/>
          <w:sz w:val="18"/>
          <w:lang w:val="en-US"/>
        </w:rPr>
      </w:pPr>
    </w:p>
    <w:p w:rsidR="00EF4238" w:rsidRDefault="00EF4238" w:rsidP="00EF4238">
      <w:pPr>
        <w:spacing w:line="360" w:lineRule="auto"/>
        <w:contextualSpacing/>
        <w:jc w:val="both"/>
        <w:rPr>
          <w:b/>
          <w:sz w:val="18"/>
          <w:lang w:val="en-US"/>
        </w:rPr>
      </w:pPr>
    </w:p>
    <w:p w:rsidR="00EF4238" w:rsidRDefault="00EF4238" w:rsidP="00EF4238">
      <w:pPr>
        <w:spacing w:line="360" w:lineRule="auto"/>
        <w:contextualSpacing/>
        <w:jc w:val="both"/>
        <w:rPr>
          <w:b/>
          <w:sz w:val="18"/>
          <w:lang w:val="en-US"/>
        </w:rPr>
      </w:pPr>
    </w:p>
    <w:p w:rsidR="00EF4238" w:rsidRDefault="00EF4238" w:rsidP="00EF4238">
      <w:pPr>
        <w:spacing w:line="360" w:lineRule="auto"/>
        <w:contextualSpacing/>
        <w:jc w:val="both"/>
        <w:rPr>
          <w:b/>
          <w:sz w:val="18"/>
          <w:lang w:val="en-US"/>
        </w:rPr>
      </w:pPr>
    </w:p>
    <w:p w:rsidR="00EF4238" w:rsidRPr="005B3DC9" w:rsidRDefault="00EF4238" w:rsidP="00EF4238">
      <w:pPr>
        <w:spacing w:line="360" w:lineRule="auto"/>
        <w:contextualSpacing/>
        <w:jc w:val="both"/>
        <w:rPr>
          <w:b/>
          <w:sz w:val="18"/>
          <w:lang w:val="en-US"/>
        </w:rPr>
      </w:pPr>
      <w:r w:rsidRPr="005B3DC9">
        <w:rPr>
          <w:b/>
          <w:sz w:val="18"/>
          <w:lang w:val="en-US"/>
        </w:rPr>
        <w:lastRenderedPageBreak/>
        <w:t xml:space="preserve">Table 3: qPCR primer list </w:t>
      </w:r>
    </w:p>
    <w:p w:rsidR="00EF4238" w:rsidRPr="00E96C37" w:rsidRDefault="00E96C37" w:rsidP="00EF4238">
      <w:pPr>
        <w:spacing w:line="360" w:lineRule="auto"/>
        <w:contextualSpacing/>
        <w:jc w:val="both"/>
        <w:rPr>
          <w:lang w:val="nl-BE"/>
        </w:rPr>
      </w:pPr>
      <w:r>
        <w:rPr>
          <w:noProof/>
          <w:lang w:eastAsia="en-GB"/>
        </w:rPr>
        <w:drawing>
          <wp:inline distT="0" distB="0" distL="0" distR="0" wp14:anchorId="2D2BB408">
            <wp:extent cx="5913755" cy="6145305"/>
            <wp:effectExtent l="0" t="0" r="0" b="825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6849" cy="615891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F4238" w:rsidRPr="00E96C37" w:rsidRDefault="00EF4238" w:rsidP="00EF4238">
      <w:pPr>
        <w:spacing w:line="360" w:lineRule="auto"/>
        <w:contextualSpacing/>
        <w:jc w:val="both"/>
        <w:rPr>
          <w:b/>
          <w:sz w:val="18"/>
          <w:lang w:val="nl-BE"/>
        </w:rPr>
      </w:pPr>
    </w:p>
    <w:p w:rsidR="00EF4238" w:rsidRPr="005B3DC9" w:rsidRDefault="00EF4238" w:rsidP="00EF4238">
      <w:pPr>
        <w:spacing w:line="360" w:lineRule="auto"/>
        <w:contextualSpacing/>
        <w:jc w:val="both"/>
        <w:rPr>
          <w:b/>
          <w:sz w:val="18"/>
          <w:lang w:val="en-US"/>
        </w:rPr>
      </w:pPr>
      <w:r w:rsidRPr="005B3DC9">
        <w:rPr>
          <w:b/>
          <w:sz w:val="18"/>
          <w:lang w:val="en-US"/>
        </w:rPr>
        <w:t>Table 4: Pyrosequencing primer list</w:t>
      </w:r>
    </w:p>
    <w:p w:rsidR="00EF4238" w:rsidRPr="00D4791E" w:rsidRDefault="00EF4238" w:rsidP="00EF4238">
      <w:pPr>
        <w:spacing w:line="360" w:lineRule="auto"/>
        <w:contextualSpacing/>
        <w:jc w:val="both"/>
        <w:rPr>
          <w:lang w:val="en-US"/>
        </w:rPr>
      </w:pPr>
      <w:r>
        <w:rPr>
          <w:noProof/>
          <w:lang w:eastAsia="en-GB"/>
        </w:rPr>
        <w:drawing>
          <wp:inline distT="0" distB="0" distL="0" distR="0" wp14:anchorId="6754C038" wp14:editId="395F1663">
            <wp:extent cx="5913755" cy="1352727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9712" cy="136323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F4238" w:rsidRDefault="00EF4238" w:rsidP="00EF4238">
      <w:pPr>
        <w:spacing w:line="360" w:lineRule="auto"/>
        <w:jc w:val="both"/>
        <w:rPr>
          <w:sz w:val="18"/>
          <w:lang w:val="en-US"/>
        </w:rPr>
      </w:pPr>
    </w:p>
    <w:p w:rsidR="00F54622" w:rsidRDefault="00F54622" w:rsidP="00EF4238">
      <w:pPr>
        <w:spacing w:line="360" w:lineRule="auto"/>
        <w:contextualSpacing/>
        <w:jc w:val="both"/>
        <w:rPr>
          <w:b/>
          <w:color w:val="FF0000"/>
          <w:lang w:val="en-US"/>
        </w:rPr>
      </w:pPr>
    </w:p>
    <w:p w:rsidR="00F54622" w:rsidRDefault="00F54622" w:rsidP="00EF4238">
      <w:pPr>
        <w:spacing w:line="360" w:lineRule="auto"/>
        <w:jc w:val="both"/>
        <w:rPr>
          <w:b/>
          <w:sz w:val="28"/>
          <w:lang w:val="en-US"/>
        </w:rPr>
      </w:pPr>
      <w:r w:rsidRPr="00AE4FEA">
        <w:rPr>
          <w:b/>
          <w:sz w:val="28"/>
          <w:lang w:val="en-US"/>
        </w:rPr>
        <w:lastRenderedPageBreak/>
        <w:t xml:space="preserve">Supplementary </w:t>
      </w:r>
      <w:r>
        <w:rPr>
          <w:b/>
          <w:sz w:val="28"/>
          <w:lang w:val="en-US"/>
        </w:rPr>
        <w:t>Figures</w:t>
      </w:r>
    </w:p>
    <w:p w:rsidR="00F54622" w:rsidRDefault="00264ADE" w:rsidP="00EF4238">
      <w:pPr>
        <w:spacing w:line="360" w:lineRule="auto"/>
        <w:jc w:val="both"/>
        <w:rPr>
          <w:b/>
          <w:color w:val="FF0000"/>
          <w:lang w:val="en-US"/>
        </w:rPr>
      </w:pPr>
      <w:r w:rsidRPr="00DC6A01">
        <w:rPr>
          <w:noProof/>
          <w:lang w:eastAsia="en-GB"/>
        </w:rPr>
        <w:drawing>
          <wp:inline distT="0" distB="0" distL="0" distR="0" wp14:anchorId="7D6B350E" wp14:editId="14DF50B3">
            <wp:extent cx="3581400" cy="2186539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451"/>
                    <a:stretch/>
                  </pic:blipFill>
                  <pic:spPr bwMode="auto">
                    <a:xfrm>
                      <a:off x="0" y="0"/>
                      <a:ext cx="3586534" cy="21896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81C27" w:rsidRPr="005A764D" w:rsidRDefault="00881C27" w:rsidP="00881C27">
      <w:pPr>
        <w:spacing w:line="360" w:lineRule="auto"/>
        <w:jc w:val="both"/>
        <w:rPr>
          <w:b/>
          <w:sz w:val="18"/>
        </w:rPr>
      </w:pPr>
      <w:bookmarkStart w:id="0" w:name="_GoBack"/>
      <w:r w:rsidRPr="005A764D">
        <w:rPr>
          <w:b/>
          <w:sz w:val="18"/>
        </w:rPr>
        <w:t>Figure S1 – Treatment with 5-AZA does not affect Oli-</w:t>
      </w:r>
      <w:r w:rsidRPr="005A764D">
        <w:rPr>
          <w:b/>
          <w:i/>
          <w:sz w:val="18"/>
        </w:rPr>
        <w:t>neu</w:t>
      </w:r>
      <w:r w:rsidRPr="005A764D">
        <w:rPr>
          <w:b/>
          <w:sz w:val="18"/>
        </w:rPr>
        <w:t xml:space="preserve"> cell viability at a concentration of 1 µM. </w:t>
      </w:r>
      <w:r w:rsidRPr="005A764D">
        <w:rPr>
          <w:sz w:val="18"/>
        </w:rPr>
        <w:t>Oli-</w:t>
      </w:r>
      <w:r w:rsidRPr="005A764D">
        <w:rPr>
          <w:i/>
          <w:sz w:val="18"/>
        </w:rPr>
        <w:t>neu</w:t>
      </w:r>
      <w:r w:rsidRPr="005A764D">
        <w:rPr>
          <w:sz w:val="18"/>
        </w:rPr>
        <w:t xml:space="preserve"> cells were treated with different concentrations of 5-AZA for 48 hours. DMSO was used as a vehicle control condition. Cell viability was assessed via an MTT-assay. Data are represented as mean + SEM and are relative to the control condition (n = 6; **p&lt;0.01, ***p&lt;0.001, ****p&lt;0.0001).  </w:t>
      </w:r>
      <w:r w:rsidRPr="005A764D">
        <w:rPr>
          <w:b/>
          <w:sz w:val="18"/>
        </w:rPr>
        <w:t xml:space="preserve"> </w:t>
      </w:r>
    </w:p>
    <w:bookmarkEnd w:id="0"/>
    <w:p w:rsidR="00AB23AA" w:rsidRPr="00AB23AA" w:rsidRDefault="00AB23AA" w:rsidP="00AB23AA">
      <w:pPr>
        <w:spacing w:line="360" w:lineRule="auto"/>
        <w:jc w:val="both"/>
        <w:rPr>
          <w:b/>
          <w:sz w:val="18"/>
        </w:rPr>
      </w:pPr>
    </w:p>
    <w:p w:rsidR="00EF4238" w:rsidRDefault="00EF4238" w:rsidP="00EF4238">
      <w:pPr>
        <w:spacing w:line="360" w:lineRule="auto"/>
        <w:contextualSpacing/>
        <w:jc w:val="both"/>
        <w:rPr>
          <w:b/>
          <w:color w:val="FF0000"/>
          <w:lang w:val="en-US"/>
        </w:rPr>
      </w:pPr>
      <w:r>
        <w:rPr>
          <w:b/>
          <w:noProof/>
          <w:color w:val="FF0000"/>
          <w:lang w:eastAsia="en-GB"/>
        </w:rPr>
        <w:drawing>
          <wp:inline distT="0" distB="0" distL="0" distR="0" wp14:anchorId="0FEA98FA" wp14:editId="35FB6D76">
            <wp:extent cx="5808345" cy="3097407"/>
            <wp:effectExtent l="0" t="0" r="1905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3781" cy="31056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F4238" w:rsidRDefault="00AB23AA" w:rsidP="00EF4238">
      <w:pPr>
        <w:spacing w:line="360" w:lineRule="auto"/>
        <w:contextualSpacing/>
        <w:jc w:val="both"/>
        <w:rPr>
          <w:sz w:val="18"/>
          <w:lang w:val="en-US"/>
        </w:rPr>
      </w:pPr>
      <w:r>
        <w:rPr>
          <w:b/>
          <w:sz w:val="18"/>
          <w:lang w:val="en-US"/>
        </w:rPr>
        <w:t>Figure S2</w:t>
      </w:r>
      <w:r w:rsidR="00EF4238">
        <w:rPr>
          <w:b/>
          <w:sz w:val="18"/>
          <w:lang w:val="en-US"/>
        </w:rPr>
        <w:t xml:space="preserve"> – Top 3 off-target hits </w:t>
      </w:r>
      <w:r w:rsidR="00EF4238" w:rsidRPr="00D10DB5">
        <w:rPr>
          <w:b/>
          <w:sz w:val="18"/>
          <w:lang w:val="en-US"/>
        </w:rPr>
        <w:t xml:space="preserve">of the </w:t>
      </w:r>
      <w:r w:rsidR="00EF4238" w:rsidRPr="00D10DB5">
        <w:rPr>
          <w:b/>
          <w:i/>
          <w:sz w:val="18"/>
          <w:lang w:val="en-US"/>
        </w:rPr>
        <w:t>Id2/Id4</w:t>
      </w:r>
      <w:r w:rsidR="00EF4238" w:rsidRPr="00D10DB5">
        <w:rPr>
          <w:b/>
          <w:sz w:val="18"/>
          <w:lang w:val="en-US"/>
        </w:rPr>
        <w:t xml:space="preserve"> sgRNA</w:t>
      </w:r>
      <w:r w:rsidR="00EF4238">
        <w:rPr>
          <w:b/>
          <w:sz w:val="18"/>
          <w:lang w:val="en-US"/>
        </w:rPr>
        <w:t xml:space="preserve">. </w:t>
      </w:r>
      <w:r w:rsidR="00EF4238" w:rsidRPr="0055449E">
        <w:rPr>
          <w:sz w:val="18"/>
          <w:lang w:val="en-US"/>
        </w:rPr>
        <w:t>(A,C)</w:t>
      </w:r>
      <w:r w:rsidR="00EF4238">
        <w:rPr>
          <w:b/>
          <w:sz w:val="18"/>
          <w:lang w:val="en-US"/>
        </w:rPr>
        <w:t xml:space="preserve"> </w:t>
      </w:r>
      <w:r w:rsidR="00EF4238" w:rsidRPr="0055449E">
        <w:rPr>
          <w:sz w:val="18"/>
          <w:lang w:val="en-US"/>
        </w:rPr>
        <w:t>The most likely off-targets of the designed sgRNA</w:t>
      </w:r>
      <w:r w:rsidR="00EF4238">
        <w:rPr>
          <w:sz w:val="18"/>
          <w:lang w:val="en-US"/>
        </w:rPr>
        <w:t>s</w:t>
      </w:r>
      <w:r w:rsidR="00EF4238" w:rsidRPr="0055449E">
        <w:rPr>
          <w:sz w:val="18"/>
          <w:lang w:val="en-US"/>
        </w:rPr>
        <w:t xml:space="preserve"> are determined by the Benchling software®. The mismatches are depicted in red.</w:t>
      </w:r>
      <w:r w:rsidR="00EF4238">
        <w:rPr>
          <w:sz w:val="18"/>
          <w:lang w:val="en-US"/>
        </w:rPr>
        <w:t xml:space="preserve"> (B,D) </w:t>
      </w:r>
      <w:r w:rsidR="00EF4238" w:rsidRPr="0055449E">
        <w:rPr>
          <w:sz w:val="18"/>
          <w:lang w:val="en-US"/>
        </w:rPr>
        <w:t xml:space="preserve">Off-target effects are analyzed by </w:t>
      </w:r>
      <w:r w:rsidR="00EF4238">
        <w:rPr>
          <w:sz w:val="18"/>
          <w:lang w:val="en-US"/>
        </w:rPr>
        <w:t>qPCR of the relevant genes</w:t>
      </w:r>
      <w:r w:rsidR="00EF4238" w:rsidRPr="0055449E">
        <w:rPr>
          <w:sz w:val="18"/>
          <w:lang w:val="en-US"/>
        </w:rPr>
        <w:t xml:space="preserve">. No difference between the </w:t>
      </w:r>
      <w:r w:rsidR="00EF4238">
        <w:rPr>
          <w:sz w:val="18"/>
          <w:lang w:val="en-US"/>
        </w:rPr>
        <w:t>active and inactive constructs is observed</w:t>
      </w:r>
      <w:r w:rsidR="00EF4238" w:rsidRPr="0055449E">
        <w:rPr>
          <w:sz w:val="18"/>
          <w:lang w:val="en-US"/>
        </w:rPr>
        <w:t>.</w:t>
      </w:r>
      <w:r w:rsidR="00EF4238">
        <w:rPr>
          <w:sz w:val="18"/>
          <w:lang w:val="en-US"/>
        </w:rPr>
        <w:t xml:space="preserve"> Data are represented as mean </w:t>
      </w:r>
      <w:r w:rsidR="00EF4238" w:rsidRPr="00AE4FEA">
        <w:rPr>
          <w:rFonts w:cstheme="minorHAnsi"/>
          <w:sz w:val="18"/>
          <w:lang w:val="en-US"/>
        </w:rPr>
        <w:t>±</w:t>
      </w:r>
      <w:r w:rsidR="00EF4238">
        <w:rPr>
          <w:sz w:val="18"/>
          <w:lang w:val="en-US"/>
        </w:rPr>
        <w:t xml:space="preserve"> SEM, n=5 (one sample t-test). </w:t>
      </w:r>
    </w:p>
    <w:p w:rsidR="00EF4238" w:rsidRDefault="00EF4238" w:rsidP="00EF4238">
      <w:pPr>
        <w:spacing w:line="360" w:lineRule="auto"/>
        <w:contextualSpacing/>
        <w:jc w:val="both"/>
        <w:rPr>
          <w:sz w:val="18"/>
          <w:lang w:val="en-US"/>
        </w:rPr>
      </w:pPr>
    </w:p>
    <w:p w:rsidR="00EF4238" w:rsidRPr="0055449E" w:rsidRDefault="00EF4238" w:rsidP="00EF4238">
      <w:pPr>
        <w:spacing w:line="360" w:lineRule="auto"/>
        <w:contextualSpacing/>
        <w:jc w:val="both"/>
        <w:rPr>
          <w:sz w:val="18"/>
          <w:lang w:val="en-US"/>
        </w:rPr>
      </w:pPr>
    </w:p>
    <w:p w:rsidR="00EF4238" w:rsidRDefault="00EF4238" w:rsidP="00EF4238">
      <w:pPr>
        <w:spacing w:line="360" w:lineRule="auto"/>
        <w:contextualSpacing/>
        <w:jc w:val="both"/>
        <w:rPr>
          <w:b/>
          <w:lang w:val="en-US"/>
        </w:rPr>
      </w:pPr>
      <w:r>
        <w:rPr>
          <w:b/>
          <w:noProof/>
          <w:lang w:eastAsia="en-GB"/>
        </w:rPr>
        <w:lastRenderedPageBreak/>
        <w:drawing>
          <wp:inline distT="0" distB="0" distL="0" distR="0" wp14:anchorId="09A31C04" wp14:editId="51767841">
            <wp:extent cx="5875812" cy="1725295"/>
            <wp:effectExtent l="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3942" cy="173061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F4238" w:rsidRDefault="00AB23AA" w:rsidP="00EF4238">
      <w:pPr>
        <w:spacing w:line="360" w:lineRule="auto"/>
        <w:jc w:val="both"/>
        <w:rPr>
          <w:sz w:val="18"/>
          <w:lang w:val="en-US"/>
        </w:rPr>
      </w:pPr>
      <w:r>
        <w:rPr>
          <w:b/>
          <w:sz w:val="18"/>
          <w:lang w:val="en-US"/>
        </w:rPr>
        <w:t>Figure S3</w:t>
      </w:r>
      <w:r w:rsidR="00EF4238">
        <w:rPr>
          <w:b/>
          <w:sz w:val="18"/>
          <w:lang w:val="en-US"/>
        </w:rPr>
        <w:t xml:space="preserve"> – </w:t>
      </w:r>
      <w:r w:rsidR="00EF4238" w:rsidRPr="00E64F5A">
        <w:rPr>
          <w:b/>
          <w:i/>
          <w:sz w:val="18"/>
          <w:lang w:val="en-US"/>
        </w:rPr>
        <w:t>ID2</w:t>
      </w:r>
      <w:r w:rsidR="00EF4238">
        <w:rPr>
          <w:b/>
          <w:i/>
          <w:sz w:val="18"/>
          <w:lang w:val="en-US"/>
        </w:rPr>
        <w:t xml:space="preserve"> </w:t>
      </w:r>
      <w:r w:rsidR="00EF4238">
        <w:rPr>
          <w:b/>
          <w:sz w:val="18"/>
          <w:lang w:val="en-US"/>
        </w:rPr>
        <w:t xml:space="preserve">and </w:t>
      </w:r>
      <w:r w:rsidR="00EF4238">
        <w:rPr>
          <w:b/>
          <w:i/>
          <w:sz w:val="18"/>
          <w:lang w:val="en-US"/>
        </w:rPr>
        <w:t xml:space="preserve">ID4 </w:t>
      </w:r>
      <w:r w:rsidR="00EF4238">
        <w:rPr>
          <w:b/>
          <w:sz w:val="18"/>
          <w:lang w:val="en-US"/>
        </w:rPr>
        <w:t xml:space="preserve">methylation levels per measured CpG site. </w:t>
      </w:r>
      <w:r w:rsidR="00EF4238" w:rsidRPr="00683480">
        <w:rPr>
          <w:sz w:val="18"/>
          <w:lang w:val="en-US"/>
        </w:rPr>
        <w:t>Methylation a</w:t>
      </w:r>
      <w:r w:rsidR="00EF4238" w:rsidRPr="00AE4FEA">
        <w:rPr>
          <w:sz w:val="18"/>
          <w:lang w:val="en-US"/>
        </w:rPr>
        <w:t xml:space="preserve">nalysis within the CpG island of the </w:t>
      </w:r>
      <w:r w:rsidR="00EF4238" w:rsidRPr="00AE4FEA">
        <w:rPr>
          <w:i/>
          <w:sz w:val="18"/>
          <w:lang w:val="en-US"/>
        </w:rPr>
        <w:t>ID2</w:t>
      </w:r>
      <w:r w:rsidR="00EF4238" w:rsidRPr="00AE4FEA">
        <w:rPr>
          <w:sz w:val="18"/>
          <w:lang w:val="en-US"/>
        </w:rPr>
        <w:t xml:space="preserve"> and </w:t>
      </w:r>
      <w:r w:rsidR="00EF4238" w:rsidRPr="00AE4FEA">
        <w:rPr>
          <w:i/>
          <w:sz w:val="18"/>
          <w:lang w:val="en-US"/>
        </w:rPr>
        <w:t>ID4</w:t>
      </w:r>
      <w:r w:rsidR="00EF4238" w:rsidRPr="00AE4FEA">
        <w:rPr>
          <w:sz w:val="18"/>
          <w:lang w:val="en-US"/>
        </w:rPr>
        <w:t xml:space="preserve"> genes in chronically demyelinated MS lesions, the surrounding NAWM and matched control samples (n=10</w:t>
      </w:r>
      <w:r w:rsidR="00EF4238">
        <w:rPr>
          <w:sz w:val="18"/>
          <w:lang w:val="en-US"/>
        </w:rPr>
        <w:t xml:space="preserve">, two-way repeated measures ANOVA with </w:t>
      </w:r>
      <w:r w:rsidR="00EF4238" w:rsidRPr="001F0C56">
        <w:rPr>
          <w:sz w:val="18"/>
          <w:lang w:val="en-US"/>
        </w:rPr>
        <w:t>Šídák's</w:t>
      </w:r>
      <w:r w:rsidR="00EF4238" w:rsidRPr="000A2E6B">
        <w:rPr>
          <w:sz w:val="18"/>
          <w:lang w:val="en-US"/>
        </w:rPr>
        <w:t xml:space="preserve"> multiple comparisons test</w:t>
      </w:r>
      <w:r w:rsidR="00EF4238" w:rsidRPr="00AE4FEA">
        <w:rPr>
          <w:sz w:val="18"/>
          <w:lang w:val="en-US"/>
        </w:rPr>
        <w:t xml:space="preserve">). Data are represented as mean </w:t>
      </w:r>
      <w:r w:rsidR="00EF4238" w:rsidRPr="00AE4FEA">
        <w:rPr>
          <w:rFonts w:cstheme="minorHAnsi"/>
          <w:sz w:val="18"/>
          <w:lang w:val="en-US"/>
        </w:rPr>
        <w:t>±</w:t>
      </w:r>
      <w:r w:rsidR="00EF4238">
        <w:rPr>
          <w:sz w:val="18"/>
          <w:lang w:val="en-US"/>
        </w:rPr>
        <w:t xml:space="preserve"> SEM, *p&lt;0.05. </w:t>
      </w:r>
    </w:p>
    <w:p w:rsidR="00264ADE" w:rsidRPr="0050611D" w:rsidRDefault="00264ADE" w:rsidP="00EF4238">
      <w:pPr>
        <w:spacing w:line="360" w:lineRule="auto"/>
        <w:jc w:val="both"/>
        <w:rPr>
          <w:sz w:val="18"/>
        </w:rPr>
      </w:pPr>
    </w:p>
    <w:p w:rsidR="00264ADE" w:rsidRDefault="00264ADE">
      <w:pPr>
        <w:rPr>
          <w:sz w:val="18"/>
          <w:lang w:val="en-US"/>
        </w:rPr>
      </w:pPr>
      <w:r>
        <w:rPr>
          <w:sz w:val="18"/>
          <w:lang w:val="en-US"/>
        </w:rPr>
        <w:br w:type="page"/>
      </w:r>
    </w:p>
    <w:p w:rsidR="00FD172D" w:rsidRDefault="00FD172D" w:rsidP="00FD172D">
      <w:pPr>
        <w:spacing w:line="360" w:lineRule="auto"/>
        <w:jc w:val="both"/>
        <w:rPr>
          <w:b/>
          <w:sz w:val="28"/>
          <w:lang w:val="en-US"/>
        </w:rPr>
      </w:pPr>
      <w:r w:rsidRPr="00AE4FEA">
        <w:rPr>
          <w:b/>
          <w:sz w:val="28"/>
          <w:lang w:val="en-US"/>
        </w:rPr>
        <w:lastRenderedPageBreak/>
        <w:t xml:space="preserve">Supplementary </w:t>
      </w:r>
      <w:r>
        <w:rPr>
          <w:b/>
          <w:sz w:val="28"/>
          <w:lang w:val="en-US"/>
        </w:rPr>
        <w:t xml:space="preserve">Methods </w:t>
      </w:r>
    </w:p>
    <w:p w:rsidR="00264ADE" w:rsidRPr="00FD172D" w:rsidRDefault="00264ADE" w:rsidP="00264ADE">
      <w:pPr>
        <w:pStyle w:val="Heading2"/>
        <w:rPr>
          <w:sz w:val="22"/>
        </w:rPr>
      </w:pPr>
      <w:r w:rsidRPr="00FD172D">
        <w:rPr>
          <w:sz w:val="22"/>
        </w:rPr>
        <w:t>Cell viability assay</w:t>
      </w:r>
    </w:p>
    <w:p w:rsidR="00264ADE" w:rsidRDefault="00264ADE" w:rsidP="00116FF3">
      <w:pPr>
        <w:jc w:val="both"/>
      </w:pPr>
      <w:r>
        <w:t xml:space="preserve">The effect of 5-AZA on cell viability and cell survival was measured via the </w:t>
      </w:r>
      <w:r w:rsidRPr="00E063BC">
        <w:t>3-(4, 5-dimethylthiazolyl-2)-2,5-diphenyltetrazolium bromide (MTT) assay</w:t>
      </w:r>
      <w:r>
        <w:t>. Oli-</w:t>
      </w:r>
      <w:r w:rsidRPr="00D9698D">
        <w:rPr>
          <w:i/>
        </w:rPr>
        <w:t>neu</w:t>
      </w:r>
      <w:r>
        <w:t xml:space="preserve"> cells were seeded in a 96-well plate at a density of 20 x 10</w:t>
      </w:r>
      <w:r>
        <w:rPr>
          <w:vertAlign w:val="superscript"/>
        </w:rPr>
        <w:t>3</w:t>
      </w:r>
      <w:r>
        <w:t xml:space="preserve"> cells per well in standard culture medium</w:t>
      </w:r>
      <w:r w:rsidR="00722995">
        <w:t xml:space="preserve"> </w:t>
      </w:r>
      <w:r w:rsidR="00722995" w:rsidRPr="00722995">
        <w:t>(DMEM, 10% FCS, 1% P/S)</w:t>
      </w:r>
      <w:r>
        <w:t xml:space="preserve">. Cells were treated with increasing concentrations of 5-AZA or dimethylsufloxide (DMSO; Sigma-Aldrich) as a control. After 48 hours, medium was removed and cells were incubated with 500 µg/ml MTT (Sigma-Aldrich) in DMEM for four hours at 37°C. After removal of the MTT-solution, a glycine-DMSO mixture was added to induce reduction of MTT to formazan. The absorbance was measured at 540 nm with the iMark Microplate Reader (Bio-rad Laboratories, Temse, Belgium).      </w:t>
      </w:r>
    </w:p>
    <w:p w:rsidR="00264ADE" w:rsidRPr="00E64F5A" w:rsidRDefault="00264ADE" w:rsidP="00EF4238">
      <w:pPr>
        <w:spacing w:line="360" w:lineRule="auto"/>
        <w:jc w:val="both"/>
        <w:rPr>
          <w:lang w:val="en-US"/>
        </w:rPr>
      </w:pPr>
    </w:p>
    <w:p w:rsidR="00EF4238" w:rsidRPr="00AE4FEA" w:rsidRDefault="00EF4238" w:rsidP="00EF4238">
      <w:pPr>
        <w:spacing w:line="360" w:lineRule="auto"/>
        <w:jc w:val="both"/>
        <w:rPr>
          <w:b/>
          <w:lang w:val="en-US"/>
        </w:rPr>
      </w:pPr>
    </w:p>
    <w:p w:rsidR="0060240F" w:rsidRDefault="0060240F"/>
    <w:sectPr w:rsidR="006024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4238"/>
    <w:rsid w:val="00116FF3"/>
    <w:rsid w:val="00264ADE"/>
    <w:rsid w:val="0050611D"/>
    <w:rsid w:val="0060240F"/>
    <w:rsid w:val="00722995"/>
    <w:rsid w:val="00881C27"/>
    <w:rsid w:val="00AB23AA"/>
    <w:rsid w:val="00DB3345"/>
    <w:rsid w:val="00DD4BFA"/>
    <w:rsid w:val="00E96C37"/>
    <w:rsid w:val="00EF4238"/>
    <w:rsid w:val="00F54622"/>
    <w:rsid w:val="00FD1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255C3C8-F940-4611-B6BC-7898FE56A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4238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64ADE"/>
    <w:pPr>
      <w:widowControl w:val="0"/>
      <w:overflowPunct w:val="0"/>
      <w:autoSpaceDE w:val="0"/>
      <w:autoSpaceDN w:val="0"/>
      <w:adjustRightInd w:val="0"/>
      <w:spacing w:after="0" w:line="360" w:lineRule="auto"/>
      <w:jc w:val="both"/>
      <w:textAlignment w:val="baseline"/>
      <w:outlineLvl w:val="1"/>
    </w:pPr>
    <w:rPr>
      <w:rFonts w:eastAsia="Times New Roman" w:cstheme="minorHAnsi"/>
      <w:b/>
      <w:sz w:val="28"/>
      <w:lang w:val="en-US" w:eastAsia="nl-B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264ADE"/>
    <w:rPr>
      <w:rFonts w:eastAsia="Times New Roman" w:cstheme="minorHAnsi"/>
      <w:b/>
      <w:sz w:val="28"/>
      <w:lang w:val="en-US" w:eastAsia="nl-BE"/>
    </w:rPr>
  </w:style>
  <w:style w:type="character" w:styleId="CommentReference">
    <w:name w:val="annotation reference"/>
    <w:basedOn w:val="DefaultParagraphFont"/>
    <w:uiPriority w:val="99"/>
    <w:semiHidden/>
    <w:unhideWhenUsed/>
    <w:rsid w:val="00881C2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81C2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81C27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81C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1C2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216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322</Words>
  <Characters>1838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UHasselt</Company>
  <LinksUpToDate>false</LinksUpToDate>
  <CharactersWithSpaces>2156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TIANE Assia</dc:creator>
  <cp:keywords/>
  <dc:description/>
  <cp:lastModifiedBy>TIANE Assia</cp:lastModifiedBy>
  <cp:revision>12</cp:revision>
  <dcterms:created xsi:type="dcterms:W3CDTF">2021-07-07T12:09:00Z</dcterms:created>
  <dcterms:modified xsi:type="dcterms:W3CDTF">2021-07-15T09:53:00Z</dcterms:modified>
</cp:coreProperties>
</file>