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630CF" w14:textId="4F07E77B" w:rsidR="00EB05C0" w:rsidRDefault="00EB05C0">
      <w:pPr>
        <w:rPr>
          <w:noProof/>
        </w:rPr>
      </w:pPr>
    </w:p>
    <w:p w14:paraId="7D482B5A" w14:textId="54B41B72" w:rsidR="00EB05C0" w:rsidRDefault="00EB05C0">
      <w:pPr>
        <w:rPr>
          <w:noProof/>
        </w:rPr>
      </w:pPr>
    </w:p>
    <w:p w14:paraId="1C8DD914" w14:textId="4F588AB9" w:rsidR="00EB05C0" w:rsidRDefault="00EB05C0">
      <w:pPr>
        <w:rPr>
          <w:noProof/>
        </w:rPr>
      </w:pPr>
      <w:r>
        <w:rPr>
          <w:noProof/>
        </w:rPr>
        <w:drawing>
          <wp:inline distT="0" distB="0" distL="0" distR="0" wp14:anchorId="630923E3" wp14:editId="6ABB34E9">
            <wp:extent cx="5943600" cy="2889250"/>
            <wp:effectExtent l="0" t="0" r="0" b="6350"/>
            <wp:docPr id="6" name="Grafik 6" descr="Ein Bild, das Text, Licht, grü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Licht, grün enthält.&#10;&#10;Automatisch generierte Beschreibu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4093" cy="2889490"/>
                    </a:xfrm>
                    <a:prstGeom prst="rect">
                      <a:avLst/>
                    </a:prstGeom>
                    <a:noFill/>
                    <a:ln>
                      <a:noFill/>
                    </a:ln>
                  </pic:spPr>
                </pic:pic>
              </a:graphicData>
            </a:graphic>
          </wp:inline>
        </w:drawing>
      </w:r>
    </w:p>
    <w:p w14:paraId="6A59BFE8" w14:textId="495AD3C2" w:rsidR="00EC2428" w:rsidRDefault="00EC2428" w:rsidP="00EC2428">
      <w:pPr>
        <w:pStyle w:val="StandardWeb"/>
        <w:spacing w:beforeAutospacing="0" w:after="200" w:afterAutospacing="0"/>
        <w:rPr>
          <w:color w:val="000000"/>
          <w:sz w:val="20"/>
          <w:szCs w:val="20"/>
          <w:lang w:val="en-GB"/>
        </w:rPr>
      </w:pPr>
      <w:r>
        <w:rPr>
          <w:b/>
          <w:color w:val="000000"/>
          <w:sz w:val="20"/>
          <w:szCs w:val="20"/>
          <w:lang w:val="en-GB"/>
        </w:rPr>
        <w:t>Suppl. 1</w:t>
      </w:r>
      <w:r>
        <w:rPr>
          <w:color w:val="000000"/>
          <w:sz w:val="20"/>
          <w:szCs w:val="20"/>
          <w:lang w:val="en-GB"/>
        </w:rPr>
        <w:t xml:space="preserve"> </w:t>
      </w:r>
      <w:r>
        <w:rPr>
          <w:b/>
          <w:color w:val="000000"/>
          <w:sz w:val="20"/>
          <w:szCs w:val="20"/>
          <w:lang w:val="en-GB"/>
        </w:rPr>
        <w:t>Respiratory chain inhibitors</w:t>
      </w:r>
      <w:r>
        <w:rPr>
          <w:color w:val="000000"/>
          <w:sz w:val="20"/>
          <w:szCs w:val="20"/>
          <w:lang w:val="en-GB"/>
        </w:rPr>
        <w:t xml:space="preserve"> </w:t>
      </w:r>
      <w:r>
        <w:rPr>
          <w:b/>
          <w:color w:val="000000"/>
          <w:sz w:val="20"/>
          <w:szCs w:val="20"/>
          <w:lang w:val="en-GB"/>
        </w:rPr>
        <w:t>induce a global change of mitochondrial morphology</w:t>
      </w:r>
      <w:r>
        <w:rPr>
          <w:color w:val="000000"/>
          <w:sz w:val="20"/>
          <w:szCs w:val="20"/>
          <w:lang w:val="en-GB"/>
        </w:rPr>
        <w:br/>
        <w:t>Additional immunofluorescence staining of experiment from Fig. 1 for MAP2 and MTCO1 (mitochondrial marker).</w:t>
      </w:r>
      <w:r>
        <w:rPr>
          <w:color w:val="000000"/>
          <w:sz w:val="20"/>
          <w:szCs w:val="20"/>
          <w:lang w:val="en-GB"/>
        </w:rPr>
        <w:br/>
      </w:r>
      <w:r>
        <w:rPr>
          <w:b/>
          <w:color w:val="000000"/>
          <w:sz w:val="20"/>
          <w:szCs w:val="20"/>
          <w:lang w:val="en-GB"/>
        </w:rPr>
        <w:t>a</w:t>
      </w:r>
      <w:r>
        <w:rPr>
          <w:color w:val="000000"/>
          <w:sz w:val="20"/>
          <w:szCs w:val="20"/>
          <w:lang w:val="en-GB"/>
        </w:rPr>
        <w:t>: Magnification shows healthy, elongated mitochondria forming a network.</w:t>
      </w:r>
      <w:r>
        <w:rPr>
          <w:color w:val="000000"/>
          <w:sz w:val="20"/>
          <w:szCs w:val="20"/>
          <w:lang w:val="en-GB"/>
        </w:rPr>
        <w:br/>
      </w:r>
      <w:r>
        <w:rPr>
          <w:b/>
          <w:color w:val="000000"/>
          <w:sz w:val="20"/>
          <w:szCs w:val="20"/>
          <w:lang w:val="en-GB"/>
        </w:rPr>
        <w:t>b</w:t>
      </w:r>
      <w:r>
        <w:rPr>
          <w:color w:val="000000"/>
          <w:sz w:val="20"/>
          <w:szCs w:val="20"/>
          <w:lang w:val="en-GB"/>
        </w:rPr>
        <w:t>: Changed morphology of mitochondria after treatment with 50µM Rotenone for 2 hours, magnification shows scattered and rounded mitochondria as a sign of stress.</w:t>
      </w:r>
    </w:p>
    <w:p w14:paraId="55BDB872" w14:textId="658CD817" w:rsidR="00EC2428" w:rsidRDefault="00EC2428">
      <w:pPr>
        <w:rPr>
          <w:noProof/>
          <w:lang w:val="en-GB"/>
        </w:rPr>
      </w:pPr>
    </w:p>
    <w:p w14:paraId="674AD008" w14:textId="3C1BAF67" w:rsidR="00EC2428" w:rsidRDefault="00EC2428">
      <w:pPr>
        <w:rPr>
          <w:noProof/>
          <w:lang w:val="en-GB"/>
        </w:rPr>
      </w:pPr>
    </w:p>
    <w:p w14:paraId="0D24DCDC" w14:textId="5A39A09D" w:rsidR="00EC2428" w:rsidRDefault="00EC2428">
      <w:pPr>
        <w:rPr>
          <w:noProof/>
          <w:lang w:val="en-GB"/>
        </w:rPr>
      </w:pPr>
    </w:p>
    <w:p w14:paraId="6FD385D1" w14:textId="77777777" w:rsidR="00EC2428" w:rsidRPr="00EC2428" w:rsidRDefault="00EC2428">
      <w:pPr>
        <w:rPr>
          <w:noProof/>
          <w:lang w:val="en-GB"/>
        </w:rPr>
      </w:pPr>
    </w:p>
    <w:p w14:paraId="548BFFC4" w14:textId="3A38A10C" w:rsidR="00EB05C0" w:rsidRPr="00EC2428" w:rsidRDefault="00EB05C0">
      <w:pPr>
        <w:rPr>
          <w:noProof/>
          <w:lang w:val="en-GB"/>
        </w:rPr>
      </w:pPr>
    </w:p>
    <w:p w14:paraId="29871DCE" w14:textId="77777777" w:rsidR="00D41C8C" w:rsidRPr="00EC2428" w:rsidRDefault="00D41C8C">
      <w:pPr>
        <w:rPr>
          <w:noProof/>
          <w:lang w:val="en-GB"/>
        </w:rPr>
      </w:pPr>
    </w:p>
    <w:p w14:paraId="201430C8" w14:textId="77777777" w:rsidR="00EB05C0" w:rsidRPr="00E078B1" w:rsidRDefault="00EB05C0">
      <w:pPr>
        <w:rPr>
          <w:noProof/>
          <w:lang w:val="en-GB"/>
        </w:rPr>
      </w:pPr>
      <w:r>
        <w:rPr>
          <w:noProof/>
        </w:rPr>
        <w:lastRenderedPageBreak/>
        <w:drawing>
          <wp:inline distT="0" distB="0" distL="0" distR="0" wp14:anchorId="651D06FA" wp14:editId="2FB23BBD">
            <wp:extent cx="4114800" cy="2962910"/>
            <wp:effectExtent l="0" t="0" r="0" b="889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14800" cy="2962910"/>
                    </a:xfrm>
                    <a:prstGeom prst="rect">
                      <a:avLst/>
                    </a:prstGeom>
                    <a:noFill/>
                    <a:ln>
                      <a:noFill/>
                    </a:ln>
                  </pic:spPr>
                </pic:pic>
              </a:graphicData>
            </a:graphic>
          </wp:inline>
        </w:drawing>
      </w:r>
      <w:r w:rsidRPr="00E078B1">
        <w:rPr>
          <w:noProof/>
          <w:lang w:val="en-GB"/>
        </w:rPr>
        <w:t xml:space="preserve"> </w:t>
      </w:r>
    </w:p>
    <w:p w14:paraId="0B63E98A" w14:textId="02531BB6" w:rsidR="00EC2428" w:rsidRDefault="00EC2428" w:rsidP="00EC2428">
      <w:pPr>
        <w:pStyle w:val="StandardWeb"/>
        <w:spacing w:beforeAutospacing="0" w:after="200" w:afterAutospacing="0"/>
        <w:rPr>
          <w:color w:val="000000"/>
          <w:sz w:val="20"/>
          <w:szCs w:val="20"/>
          <w:lang w:val="en-GB"/>
        </w:rPr>
      </w:pPr>
      <w:r>
        <w:rPr>
          <w:b/>
          <w:color w:val="000000"/>
          <w:sz w:val="20"/>
          <w:szCs w:val="20"/>
          <w:lang w:val="en-GB"/>
        </w:rPr>
        <w:t>Suppl. 2 Somatodendritic activation of MPD does not result in TAU-missorting</w:t>
      </w:r>
      <w:r>
        <w:rPr>
          <w:color w:val="000000"/>
          <w:sz w:val="20"/>
          <w:szCs w:val="20"/>
          <w:lang w:val="en-GB"/>
        </w:rPr>
        <w:br/>
      </w:r>
      <w:r>
        <w:rPr>
          <w:b/>
          <w:color w:val="000000"/>
          <w:sz w:val="20"/>
          <w:szCs w:val="20"/>
          <w:lang w:val="en-GB"/>
        </w:rPr>
        <w:t>a-b</w:t>
      </w:r>
      <w:r>
        <w:rPr>
          <w:color w:val="000000"/>
          <w:sz w:val="20"/>
          <w:szCs w:val="20"/>
          <w:lang w:val="en-GB"/>
        </w:rPr>
        <w:t>: The experiment from Fig. 4 e-g was also performed in co-transfected control cells in both MPN and iPSC-derived-neurons, this time firing the UV-laser at the AIS-mitochondria cluster before the addition on MPD (a) or at a ROI of similar size in the somatodendritic compartment after addition of MPD (b).</w:t>
      </w:r>
      <w:r>
        <w:rPr>
          <w:color w:val="000000"/>
          <w:sz w:val="20"/>
          <w:szCs w:val="20"/>
          <w:lang w:val="en-GB"/>
        </w:rPr>
        <w:br/>
        <w:t xml:space="preserve">TAU-fluorescence intensity was measured in the soma of the these cells, untreated cells in the same plate served as controls (similar to Fig. 4f-g). Each point represents one cell, a: </w:t>
      </w:r>
      <w:proofErr w:type="spellStart"/>
      <w:r>
        <w:rPr>
          <w:color w:val="000000"/>
          <w:sz w:val="20"/>
          <w:szCs w:val="20"/>
          <w:lang w:val="en-GB"/>
        </w:rPr>
        <w:t>Mean</w:t>
      </w:r>
      <w:r>
        <w:rPr>
          <w:color w:val="000000"/>
          <w:sz w:val="20"/>
          <w:szCs w:val="20"/>
          <w:vertAlign w:val="subscript"/>
          <w:lang w:val="en-GB"/>
        </w:rPr>
        <w:t>Control</w:t>
      </w:r>
      <w:proofErr w:type="spellEnd"/>
      <w:r>
        <w:rPr>
          <w:color w:val="000000"/>
          <w:sz w:val="20"/>
          <w:szCs w:val="20"/>
          <w:vertAlign w:val="subscript"/>
          <w:lang w:val="en-GB"/>
        </w:rPr>
        <w:t>=</w:t>
      </w:r>
      <w:r>
        <w:rPr>
          <w:color w:val="000000"/>
          <w:sz w:val="20"/>
          <w:szCs w:val="20"/>
          <w:lang w:val="en-GB"/>
        </w:rPr>
        <w:t xml:space="preserve">1.0, </w:t>
      </w:r>
      <w:proofErr w:type="spellStart"/>
      <w:r>
        <w:rPr>
          <w:color w:val="000000"/>
          <w:sz w:val="20"/>
          <w:szCs w:val="20"/>
          <w:lang w:val="en-GB"/>
        </w:rPr>
        <w:t>Mean</w:t>
      </w:r>
      <w:r>
        <w:rPr>
          <w:color w:val="000000"/>
          <w:sz w:val="20"/>
          <w:szCs w:val="20"/>
          <w:vertAlign w:val="subscript"/>
          <w:lang w:val="en-GB"/>
        </w:rPr>
        <w:t>UV</w:t>
      </w:r>
      <w:proofErr w:type="spellEnd"/>
      <w:r>
        <w:rPr>
          <w:color w:val="000000"/>
          <w:sz w:val="20"/>
          <w:szCs w:val="20"/>
          <w:vertAlign w:val="subscript"/>
          <w:lang w:val="en-GB"/>
        </w:rPr>
        <w:t xml:space="preserve"> without MPD</w:t>
      </w:r>
      <w:r>
        <w:rPr>
          <w:color w:val="000000"/>
          <w:sz w:val="20"/>
          <w:szCs w:val="20"/>
          <w:lang w:val="en-GB"/>
        </w:rPr>
        <w:t>=0.9974</w:t>
      </w:r>
      <w:r>
        <w:rPr>
          <w:color w:val="000000"/>
          <w:sz w:val="20"/>
          <w:szCs w:val="20"/>
          <w:lang w:val="en-GB"/>
        </w:rPr>
        <w:br/>
        <w:t xml:space="preserve">b: </w:t>
      </w:r>
      <w:proofErr w:type="spellStart"/>
      <w:r>
        <w:rPr>
          <w:color w:val="000000"/>
          <w:sz w:val="20"/>
          <w:szCs w:val="20"/>
          <w:lang w:val="en-GB"/>
        </w:rPr>
        <w:t>Mean</w:t>
      </w:r>
      <w:r>
        <w:rPr>
          <w:color w:val="000000"/>
          <w:sz w:val="20"/>
          <w:szCs w:val="20"/>
          <w:vertAlign w:val="subscript"/>
          <w:lang w:val="en-GB"/>
        </w:rPr>
        <w:t>Control</w:t>
      </w:r>
      <w:proofErr w:type="spellEnd"/>
      <w:r>
        <w:rPr>
          <w:color w:val="000000"/>
          <w:sz w:val="20"/>
          <w:szCs w:val="20"/>
          <w:lang w:val="en-GB"/>
        </w:rPr>
        <w:t xml:space="preserve">=1.0, </w:t>
      </w:r>
      <w:proofErr w:type="spellStart"/>
      <w:r>
        <w:rPr>
          <w:color w:val="000000"/>
          <w:sz w:val="20"/>
          <w:szCs w:val="20"/>
          <w:lang w:val="en-GB"/>
        </w:rPr>
        <w:t>Mean</w:t>
      </w:r>
      <w:r>
        <w:rPr>
          <w:color w:val="000000"/>
          <w:sz w:val="20"/>
          <w:szCs w:val="20"/>
          <w:vertAlign w:val="subscript"/>
          <w:lang w:val="en-GB"/>
        </w:rPr>
        <w:t>Somato.act</w:t>
      </w:r>
      <w:proofErr w:type="spellEnd"/>
      <w:r>
        <w:rPr>
          <w:color w:val="000000"/>
          <w:sz w:val="20"/>
          <w:szCs w:val="20"/>
          <w:lang w:val="en-GB"/>
        </w:rPr>
        <w:t xml:space="preserve">=0.9966. </w:t>
      </w:r>
    </w:p>
    <w:p w14:paraId="10EDBC77" w14:textId="77777777" w:rsidR="00EC2428" w:rsidRPr="00EC2428" w:rsidRDefault="00EC2428">
      <w:pPr>
        <w:rPr>
          <w:noProof/>
          <w:lang w:val="en-GB"/>
        </w:rPr>
      </w:pPr>
    </w:p>
    <w:p w14:paraId="23480D1E" w14:textId="1E2BF1AC" w:rsidR="00EB05C0" w:rsidRPr="00EC2428" w:rsidRDefault="00EB05C0">
      <w:pPr>
        <w:rPr>
          <w:noProof/>
          <w:lang w:val="en-GB"/>
        </w:rPr>
      </w:pPr>
    </w:p>
    <w:p w14:paraId="16E308B0" w14:textId="1ED0FA11" w:rsidR="00EB05C0" w:rsidRPr="00EC2428" w:rsidRDefault="00EB05C0">
      <w:pPr>
        <w:rPr>
          <w:noProof/>
          <w:lang w:val="en-GB"/>
        </w:rPr>
      </w:pPr>
    </w:p>
    <w:p w14:paraId="52162582" w14:textId="36A9C312" w:rsidR="00EB05C0" w:rsidRPr="00EC2428" w:rsidRDefault="00EB05C0">
      <w:pPr>
        <w:rPr>
          <w:noProof/>
          <w:lang w:val="en-GB"/>
        </w:rPr>
      </w:pPr>
    </w:p>
    <w:p w14:paraId="29AD5106" w14:textId="790A1198" w:rsidR="00EB05C0" w:rsidRPr="00EC2428" w:rsidRDefault="00EB05C0">
      <w:pPr>
        <w:rPr>
          <w:noProof/>
          <w:lang w:val="en-GB"/>
        </w:rPr>
      </w:pPr>
    </w:p>
    <w:p w14:paraId="1251D9D3" w14:textId="691E32D1" w:rsidR="00EB05C0" w:rsidRPr="00EC2428" w:rsidRDefault="00EB05C0">
      <w:pPr>
        <w:rPr>
          <w:noProof/>
          <w:lang w:val="en-GB"/>
        </w:rPr>
      </w:pPr>
    </w:p>
    <w:p w14:paraId="6AC12FF5" w14:textId="1059C291" w:rsidR="00EB05C0" w:rsidRPr="00EC2428" w:rsidRDefault="00EB05C0">
      <w:pPr>
        <w:rPr>
          <w:noProof/>
          <w:lang w:val="en-GB"/>
        </w:rPr>
      </w:pPr>
    </w:p>
    <w:p w14:paraId="4832D271" w14:textId="678F00D9" w:rsidR="00EB05C0" w:rsidRPr="00E078B1" w:rsidRDefault="00507444">
      <w:pPr>
        <w:rPr>
          <w:lang w:val="en-GB"/>
        </w:rPr>
      </w:pPr>
      <w:r>
        <w:rPr>
          <w:noProof/>
        </w:rPr>
        <w:lastRenderedPageBreak/>
        <w:drawing>
          <wp:inline distT="0" distB="0" distL="0" distR="0" wp14:anchorId="25E76C20" wp14:editId="5FDF3B07">
            <wp:extent cx="6212541" cy="3143250"/>
            <wp:effectExtent l="0" t="0" r="0" b="0"/>
            <wp:docPr id="7" name="Grafik 7" descr="Ein Bild, das Text, L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Text, Lich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6671" cy="3145340"/>
                    </a:xfrm>
                    <a:prstGeom prst="rect">
                      <a:avLst/>
                    </a:prstGeom>
                    <a:noFill/>
                    <a:ln>
                      <a:noFill/>
                    </a:ln>
                  </pic:spPr>
                </pic:pic>
              </a:graphicData>
            </a:graphic>
          </wp:inline>
        </w:drawing>
      </w:r>
      <w:r w:rsidRPr="00E078B1">
        <w:rPr>
          <w:lang w:val="en-GB"/>
        </w:rPr>
        <w:t xml:space="preserve"> </w:t>
      </w:r>
    </w:p>
    <w:p w14:paraId="544A6D5B" w14:textId="46522BED" w:rsidR="00EC2428" w:rsidRPr="00E078B1" w:rsidRDefault="00EC2428">
      <w:pPr>
        <w:rPr>
          <w:lang w:val="en-GB"/>
        </w:rPr>
      </w:pPr>
      <w:r>
        <w:rPr>
          <w:b/>
          <w:color w:val="000000"/>
          <w:sz w:val="20"/>
          <w:szCs w:val="20"/>
          <w:lang w:val="en-GB"/>
        </w:rPr>
        <w:t>Suppl. 3 Antimycin A induces increase of calcium levels in a short timeframe</w:t>
      </w:r>
      <w:r>
        <w:rPr>
          <w:b/>
          <w:color w:val="000000"/>
          <w:sz w:val="20"/>
          <w:szCs w:val="20"/>
          <w:lang w:val="en-GB"/>
        </w:rPr>
        <w:br/>
        <w:t xml:space="preserve">a-b: </w:t>
      </w:r>
      <w:r>
        <w:rPr>
          <w:color w:val="000000"/>
          <w:sz w:val="20"/>
          <w:szCs w:val="20"/>
          <w:lang w:val="en-GB"/>
        </w:rPr>
        <w:t xml:space="preserve">MPN (DIV11) were for prepared calcium imaging (see methods) and treated with vehicle (a) or 50nM AMA (b) and directly imaged. Mean fluorescence intensity and SEM of all cells in the field of view (n&gt;90) with subtracted background </w:t>
      </w:r>
      <w:r>
        <w:rPr>
          <w:b/>
          <w:color w:val="000000"/>
          <w:sz w:val="20"/>
          <w:szCs w:val="20"/>
          <w:lang w:val="en-GB"/>
        </w:rPr>
        <w:br/>
        <w:t xml:space="preserve">c: </w:t>
      </w:r>
      <w:r>
        <w:rPr>
          <w:color w:val="000000"/>
          <w:sz w:val="20"/>
          <w:szCs w:val="20"/>
          <w:lang w:val="en-GB"/>
        </w:rPr>
        <w:t>Overall change in mean FI normalized to first datapoint; control shows expected decline in FI due to bleaching, while AMA shows an inverse effect.</w:t>
      </w:r>
      <w:r>
        <w:rPr>
          <w:color w:val="000000"/>
          <w:sz w:val="20"/>
          <w:szCs w:val="20"/>
          <w:lang w:val="en-GB"/>
        </w:rPr>
        <w:br/>
      </w:r>
      <w:r>
        <w:rPr>
          <w:b/>
          <w:color w:val="000000"/>
          <w:sz w:val="20"/>
          <w:szCs w:val="20"/>
          <w:lang w:val="en-GB"/>
        </w:rPr>
        <w:t>d</w:t>
      </w:r>
      <w:r>
        <w:rPr>
          <w:color w:val="000000"/>
          <w:sz w:val="20"/>
          <w:szCs w:val="20"/>
          <w:lang w:val="en-GB"/>
        </w:rPr>
        <w:t>: Exemplary graph of an actively oscillating neuron, insert shows calcium level at peak. FI normalized to minimal FI of that neuron.</w:t>
      </w:r>
      <w:r>
        <w:rPr>
          <w:color w:val="000000"/>
          <w:sz w:val="20"/>
          <w:szCs w:val="20"/>
          <w:lang w:val="en-GB"/>
        </w:rPr>
        <w:br/>
      </w:r>
      <w:r>
        <w:rPr>
          <w:b/>
          <w:color w:val="000000"/>
          <w:sz w:val="20"/>
          <w:szCs w:val="20"/>
          <w:lang w:val="en-GB"/>
        </w:rPr>
        <w:t>e</w:t>
      </w:r>
      <w:r>
        <w:rPr>
          <w:color w:val="000000"/>
          <w:sz w:val="20"/>
          <w:szCs w:val="20"/>
          <w:lang w:val="en-GB"/>
        </w:rPr>
        <w:t>: Exemplary graph of an inactive neuron, insert shows basal state with no significant deviations.</w:t>
      </w:r>
      <w:r>
        <w:rPr>
          <w:color w:val="000000"/>
          <w:sz w:val="20"/>
          <w:szCs w:val="20"/>
          <w:lang w:val="en-GB"/>
        </w:rPr>
        <w:br/>
      </w:r>
      <w:r>
        <w:rPr>
          <w:b/>
          <w:color w:val="000000"/>
          <w:sz w:val="20"/>
          <w:szCs w:val="20"/>
          <w:lang w:val="en-GB"/>
        </w:rPr>
        <w:t>f</w:t>
      </w:r>
      <w:r>
        <w:rPr>
          <w:color w:val="000000"/>
          <w:sz w:val="20"/>
          <w:szCs w:val="20"/>
          <w:lang w:val="en-GB"/>
        </w:rPr>
        <w:t xml:space="preserve">: </w:t>
      </w:r>
      <w:r w:rsidRPr="00033DDE">
        <w:rPr>
          <w:color w:val="000000"/>
          <w:sz w:val="20"/>
          <w:szCs w:val="20"/>
          <w:lang w:val="en-GB"/>
        </w:rPr>
        <w:t>Fraction of actively oscillating neurons (indicative of active neurotransmission / AP generation), as defined by more than 2 peaks/minute &gt;1.08. AMA treated cells show a decrease over time.</w:t>
      </w:r>
    </w:p>
    <w:p w14:paraId="44D518AA" w14:textId="551181D5" w:rsidR="00EB05C0" w:rsidRPr="00E078B1" w:rsidRDefault="00EB05C0">
      <w:pPr>
        <w:rPr>
          <w:lang w:val="en-GB"/>
        </w:rPr>
      </w:pPr>
    </w:p>
    <w:p w14:paraId="1BAE9FF9" w14:textId="008B5310" w:rsidR="00EC2428" w:rsidRDefault="00EC2428">
      <w:pPr>
        <w:rPr>
          <w:lang w:val="en-GB"/>
        </w:rPr>
      </w:pPr>
    </w:p>
    <w:p w14:paraId="7BFE2C81" w14:textId="77777777" w:rsidR="00E078B1" w:rsidRPr="00E078B1" w:rsidRDefault="00E078B1">
      <w:pPr>
        <w:rPr>
          <w:lang w:val="en-GB"/>
        </w:rPr>
      </w:pPr>
    </w:p>
    <w:p w14:paraId="58A83187" w14:textId="742066E9" w:rsidR="008D33D3" w:rsidRPr="00E078B1" w:rsidRDefault="008D33D3">
      <w:pPr>
        <w:rPr>
          <w:lang w:val="en-GB"/>
        </w:rPr>
      </w:pPr>
      <w:r>
        <w:rPr>
          <w:noProof/>
        </w:rPr>
        <w:lastRenderedPageBreak/>
        <w:drawing>
          <wp:inline distT="0" distB="0" distL="0" distR="0" wp14:anchorId="5495247A" wp14:editId="15E29497">
            <wp:extent cx="6591017" cy="314075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00832" cy="3145436"/>
                    </a:xfrm>
                    <a:prstGeom prst="rect">
                      <a:avLst/>
                    </a:prstGeom>
                    <a:noFill/>
                    <a:ln>
                      <a:noFill/>
                    </a:ln>
                  </pic:spPr>
                </pic:pic>
              </a:graphicData>
            </a:graphic>
          </wp:inline>
        </w:drawing>
      </w:r>
    </w:p>
    <w:p w14:paraId="5EB7D46D" w14:textId="77777777" w:rsidR="00EC2428" w:rsidRDefault="00EC2428" w:rsidP="00EC2428">
      <w:pPr>
        <w:pStyle w:val="StandardWeb"/>
        <w:spacing w:beforeAutospacing="0" w:after="200" w:afterAutospacing="0"/>
        <w:rPr>
          <w:color w:val="000000"/>
          <w:sz w:val="20"/>
          <w:szCs w:val="20"/>
          <w:lang w:val="en-GB"/>
        </w:rPr>
      </w:pPr>
      <w:r w:rsidRPr="001069B3">
        <w:rPr>
          <w:b/>
          <w:bCs/>
          <w:color w:val="000000"/>
          <w:sz w:val="20"/>
          <w:szCs w:val="20"/>
          <w:lang w:val="en-GB"/>
        </w:rPr>
        <w:t>Suppl. 4 Mitochondria dysfunction results in impaired microtubule dynamics, as assayed by microtubule PTMs</w:t>
      </w:r>
      <w:r>
        <w:rPr>
          <w:b/>
          <w:bCs/>
          <w:color w:val="000000"/>
          <w:sz w:val="20"/>
          <w:szCs w:val="20"/>
          <w:lang w:val="en-GB"/>
        </w:rPr>
        <w:br/>
      </w:r>
      <w:r w:rsidRPr="001069B3">
        <w:rPr>
          <w:color w:val="000000"/>
          <w:sz w:val="20"/>
          <w:szCs w:val="20"/>
          <w:lang w:val="en-GB"/>
        </w:rPr>
        <w:t xml:space="preserve">Immunofluorescence staining of MPN (div11-12) treated for </w:t>
      </w:r>
      <w:r>
        <w:rPr>
          <w:color w:val="000000"/>
          <w:sz w:val="20"/>
          <w:szCs w:val="20"/>
          <w:lang w:val="en-GB"/>
        </w:rPr>
        <w:t>2</w:t>
      </w:r>
      <w:r w:rsidRPr="001069B3">
        <w:rPr>
          <w:color w:val="000000"/>
          <w:sz w:val="20"/>
          <w:szCs w:val="20"/>
          <w:lang w:val="en-GB"/>
        </w:rPr>
        <w:t xml:space="preserve"> hour</w:t>
      </w:r>
      <w:r>
        <w:rPr>
          <w:color w:val="000000"/>
          <w:sz w:val="20"/>
          <w:szCs w:val="20"/>
          <w:lang w:val="en-GB"/>
        </w:rPr>
        <w:t>s</w:t>
      </w:r>
      <w:r w:rsidRPr="001069B3">
        <w:rPr>
          <w:color w:val="000000"/>
          <w:sz w:val="20"/>
          <w:szCs w:val="20"/>
          <w:lang w:val="en-GB"/>
        </w:rPr>
        <w:t xml:space="preserve"> with (a) control, (b) 50nM Antimycin (AMA) for tyrosinated tubulin (left panels) and acetylated tubulin (right panels), representative overview epifluorescence images, inserts show representative magnifications of cell bodies. </w:t>
      </w:r>
      <w:r w:rsidRPr="001069B3">
        <w:rPr>
          <w:color w:val="000000"/>
          <w:sz w:val="20"/>
          <w:szCs w:val="20"/>
          <w:lang w:val="en-GB"/>
        </w:rPr>
        <w:cr/>
        <w:t>a: Arrows show typical distr</w:t>
      </w:r>
      <w:r>
        <w:rPr>
          <w:color w:val="000000"/>
          <w:sz w:val="20"/>
          <w:szCs w:val="20"/>
          <w:lang w:val="en-GB"/>
        </w:rPr>
        <w:t>i</w:t>
      </w:r>
      <w:r w:rsidRPr="001069B3">
        <w:rPr>
          <w:color w:val="000000"/>
          <w:sz w:val="20"/>
          <w:szCs w:val="20"/>
          <w:lang w:val="en-GB"/>
        </w:rPr>
        <w:t>bution of tubulins in the soma of neurons, with tyrosinated tubulin more in the soma and acetylated tubulin mostly present in the neurites.</w:t>
      </w:r>
      <w:r w:rsidRPr="001069B3">
        <w:rPr>
          <w:color w:val="000000"/>
          <w:sz w:val="20"/>
          <w:szCs w:val="20"/>
          <w:lang w:val="en-GB"/>
        </w:rPr>
        <w:cr/>
        <w:t>b: Arrowheads show accumulation of acetylated tubulin, and slight increase of tyrosinated tubulin in the soma after treatment with AMA.</w:t>
      </w:r>
      <w:r w:rsidRPr="001069B3">
        <w:rPr>
          <w:color w:val="000000"/>
          <w:sz w:val="20"/>
          <w:szCs w:val="20"/>
          <w:lang w:val="en-GB"/>
        </w:rPr>
        <w:cr/>
        <w:t xml:space="preserve">c: Quantification of fluorescence-intensity in the soma, arithmetic </w:t>
      </w:r>
      <w:proofErr w:type="gramStart"/>
      <w:r w:rsidRPr="001069B3">
        <w:rPr>
          <w:color w:val="000000"/>
          <w:sz w:val="20"/>
          <w:szCs w:val="20"/>
          <w:lang w:val="en-GB"/>
        </w:rPr>
        <w:t>mean</w:t>
      </w:r>
      <w:proofErr w:type="gramEnd"/>
      <w:r w:rsidRPr="001069B3">
        <w:rPr>
          <w:color w:val="000000"/>
          <w:sz w:val="20"/>
          <w:szCs w:val="20"/>
          <w:lang w:val="en-GB"/>
        </w:rPr>
        <w:t xml:space="preserve"> of 3 biological replicates with standard deviation (SD), as fold-change to control. </w:t>
      </w:r>
      <w:proofErr w:type="spellStart"/>
      <w:r w:rsidRPr="001069B3">
        <w:rPr>
          <w:color w:val="000000"/>
          <w:sz w:val="20"/>
          <w:szCs w:val="20"/>
          <w:lang w:val="en-GB"/>
        </w:rPr>
        <w:t>Tyrosinated</w:t>
      </w:r>
      <w:r w:rsidRPr="003C42E6">
        <w:rPr>
          <w:color w:val="000000"/>
          <w:sz w:val="20"/>
          <w:szCs w:val="20"/>
          <w:vertAlign w:val="subscript"/>
          <w:lang w:val="en-GB"/>
        </w:rPr>
        <w:t>Control</w:t>
      </w:r>
      <w:proofErr w:type="spellEnd"/>
      <w:r w:rsidRPr="001069B3">
        <w:rPr>
          <w:color w:val="000000"/>
          <w:sz w:val="20"/>
          <w:szCs w:val="20"/>
          <w:lang w:val="en-GB"/>
        </w:rPr>
        <w:t xml:space="preserve">: Mean=1.0; </w:t>
      </w:r>
      <w:proofErr w:type="spellStart"/>
      <w:r w:rsidRPr="001069B3">
        <w:rPr>
          <w:color w:val="000000"/>
          <w:sz w:val="20"/>
          <w:szCs w:val="20"/>
          <w:lang w:val="en-GB"/>
        </w:rPr>
        <w:t>Tyrosinated</w:t>
      </w:r>
      <w:r w:rsidRPr="003C42E6">
        <w:rPr>
          <w:color w:val="000000"/>
          <w:sz w:val="20"/>
          <w:szCs w:val="20"/>
          <w:vertAlign w:val="subscript"/>
          <w:lang w:val="en-GB"/>
        </w:rPr>
        <w:t>AMA</w:t>
      </w:r>
      <w:proofErr w:type="spellEnd"/>
      <w:r w:rsidRPr="001069B3">
        <w:rPr>
          <w:color w:val="000000"/>
          <w:sz w:val="20"/>
          <w:szCs w:val="20"/>
          <w:lang w:val="en-GB"/>
        </w:rPr>
        <w:t xml:space="preserve">: Mean=1.393; </w:t>
      </w:r>
      <w:proofErr w:type="spellStart"/>
      <w:r w:rsidRPr="001069B3">
        <w:rPr>
          <w:color w:val="000000"/>
          <w:sz w:val="20"/>
          <w:szCs w:val="20"/>
          <w:lang w:val="en-GB"/>
        </w:rPr>
        <w:t>Acetylated</w:t>
      </w:r>
      <w:r w:rsidRPr="003C42E6">
        <w:rPr>
          <w:color w:val="000000"/>
          <w:sz w:val="20"/>
          <w:szCs w:val="20"/>
          <w:vertAlign w:val="subscript"/>
          <w:lang w:val="en-GB"/>
        </w:rPr>
        <w:t>Control</w:t>
      </w:r>
      <w:proofErr w:type="spellEnd"/>
      <w:r w:rsidRPr="001069B3">
        <w:rPr>
          <w:color w:val="000000"/>
          <w:sz w:val="20"/>
          <w:szCs w:val="20"/>
          <w:lang w:val="en-GB"/>
        </w:rPr>
        <w:t xml:space="preserve">: Mean=1.0; </w:t>
      </w:r>
      <w:proofErr w:type="spellStart"/>
      <w:proofErr w:type="gramStart"/>
      <w:r w:rsidRPr="001069B3">
        <w:rPr>
          <w:color w:val="000000"/>
          <w:sz w:val="20"/>
          <w:szCs w:val="20"/>
          <w:lang w:val="en-GB"/>
        </w:rPr>
        <w:t>Acetylated</w:t>
      </w:r>
      <w:r w:rsidRPr="003C42E6">
        <w:rPr>
          <w:color w:val="000000"/>
          <w:sz w:val="20"/>
          <w:szCs w:val="20"/>
          <w:vertAlign w:val="subscript"/>
          <w:lang w:val="en-GB"/>
        </w:rPr>
        <w:t>AMA</w:t>
      </w:r>
      <w:r w:rsidRPr="001069B3">
        <w:rPr>
          <w:color w:val="000000"/>
          <w:sz w:val="20"/>
          <w:szCs w:val="20"/>
          <w:lang w:val="en-GB"/>
        </w:rPr>
        <w:t>:Mean</w:t>
      </w:r>
      <w:proofErr w:type="spellEnd"/>
      <w:proofErr w:type="gramEnd"/>
      <w:r w:rsidRPr="001069B3">
        <w:rPr>
          <w:color w:val="000000"/>
          <w:sz w:val="20"/>
          <w:szCs w:val="20"/>
          <w:lang w:val="en-GB"/>
        </w:rPr>
        <w:t xml:space="preserve">=2.209; all n&gt;70 per replicate. Nested one-way ANOVA with </w:t>
      </w:r>
      <w:proofErr w:type="spellStart"/>
      <w:r w:rsidRPr="001069B3">
        <w:rPr>
          <w:color w:val="000000"/>
          <w:sz w:val="20"/>
          <w:szCs w:val="20"/>
          <w:lang w:val="en-GB"/>
        </w:rPr>
        <w:t>Sidak’s</w:t>
      </w:r>
      <w:proofErr w:type="spellEnd"/>
      <w:r w:rsidRPr="001069B3">
        <w:rPr>
          <w:color w:val="000000"/>
          <w:sz w:val="20"/>
          <w:szCs w:val="20"/>
          <w:lang w:val="en-GB"/>
        </w:rPr>
        <w:t xml:space="preserve"> correction for multiple comparisons, Tyrosinated: *, p=0.0227, Acetylated: ** p=0.0056, significance level p&lt;0.05.</w:t>
      </w:r>
      <w:r>
        <w:rPr>
          <w:color w:val="000000"/>
          <w:sz w:val="20"/>
          <w:szCs w:val="20"/>
          <w:lang w:val="en-GB"/>
        </w:rPr>
        <w:t xml:space="preserve"> </w:t>
      </w:r>
    </w:p>
    <w:p w14:paraId="72701C08" w14:textId="51F06421" w:rsidR="00307258" w:rsidRPr="00EC2428" w:rsidRDefault="00307258">
      <w:pPr>
        <w:rPr>
          <w:lang w:val="en-GB"/>
        </w:rPr>
      </w:pPr>
    </w:p>
    <w:p w14:paraId="0E3E1E55" w14:textId="001E5C47" w:rsidR="00307258" w:rsidRPr="00EC2428" w:rsidRDefault="00307258">
      <w:pPr>
        <w:rPr>
          <w:lang w:val="en-GB"/>
        </w:rPr>
      </w:pPr>
    </w:p>
    <w:p w14:paraId="27C6C884" w14:textId="100736B1" w:rsidR="00307258" w:rsidRPr="00EC2428" w:rsidRDefault="00307258">
      <w:pPr>
        <w:rPr>
          <w:lang w:val="en-GB"/>
        </w:rPr>
      </w:pPr>
    </w:p>
    <w:p w14:paraId="7FC9D1C7" w14:textId="77777777" w:rsidR="00307258" w:rsidRPr="00EC2428" w:rsidRDefault="00307258">
      <w:pPr>
        <w:rPr>
          <w:lang w:val="en-GB"/>
        </w:rPr>
      </w:pPr>
    </w:p>
    <w:p w14:paraId="144521CD" w14:textId="60FE4AB2" w:rsidR="008D33D3" w:rsidRPr="00EC2428" w:rsidRDefault="008D33D3">
      <w:pPr>
        <w:rPr>
          <w:lang w:val="en-GB"/>
        </w:rPr>
      </w:pPr>
      <w:r>
        <w:rPr>
          <w:noProof/>
        </w:rPr>
        <w:lastRenderedPageBreak/>
        <w:drawing>
          <wp:inline distT="0" distB="0" distL="0" distR="0" wp14:anchorId="11978E9F" wp14:editId="5E407922">
            <wp:extent cx="5952696" cy="3191217"/>
            <wp:effectExtent l="0" t="0" r="0" b="9525"/>
            <wp:docPr id="3" name="Grafik 3" descr="Ein Bild, das draußen, L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draußen, Lich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0878" cy="3200964"/>
                    </a:xfrm>
                    <a:prstGeom prst="rect">
                      <a:avLst/>
                    </a:prstGeom>
                    <a:noFill/>
                    <a:ln>
                      <a:noFill/>
                    </a:ln>
                  </pic:spPr>
                </pic:pic>
              </a:graphicData>
            </a:graphic>
          </wp:inline>
        </w:drawing>
      </w:r>
    </w:p>
    <w:p w14:paraId="294FFAF4" w14:textId="65AA65D5" w:rsidR="008D33D3" w:rsidRPr="00EC2428" w:rsidRDefault="00EC2428" w:rsidP="00EC2428">
      <w:pPr>
        <w:pStyle w:val="StandardWeb"/>
        <w:spacing w:after="200"/>
        <w:rPr>
          <w:lang w:val="en-GB"/>
        </w:rPr>
      </w:pPr>
      <w:r w:rsidRPr="001069B3">
        <w:rPr>
          <w:b/>
          <w:bCs/>
          <w:color w:val="000000"/>
          <w:sz w:val="20"/>
          <w:szCs w:val="20"/>
          <w:lang w:val="en-GB"/>
        </w:rPr>
        <w:t xml:space="preserve">Suppl. 5: 5µM BAPTA-AM lowers calcium levels in differentiated neurons </w:t>
      </w:r>
      <w:r>
        <w:rPr>
          <w:b/>
          <w:bCs/>
          <w:color w:val="000000"/>
          <w:sz w:val="20"/>
          <w:szCs w:val="20"/>
          <w:lang w:val="en-GB"/>
        </w:rPr>
        <w:br/>
      </w:r>
      <w:r w:rsidRPr="001069B3">
        <w:rPr>
          <w:color w:val="000000"/>
          <w:sz w:val="20"/>
          <w:szCs w:val="20"/>
          <w:lang w:val="en-GB"/>
        </w:rPr>
        <w:t xml:space="preserve">iPSC-derived neurons (DIV18-20) were prepared for calcium imaging (see methods) recorded at baselevel, then treated (TRT) after 7 minutes with vehicle (blue) or 5µM BAPTA-AM (red) and imaged in the same time intervals. After 29 minutes, 10µM glutamate was added (GLUT) to raise cytosolic calcium levels. </w:t>
      </w:r>
      <w:r w:rsidRPr="001069B3">
        <w:rPr>
          <w:color w:val="000000"/>
          <w:sz w:val="20"/>
          <w:szCs w:val="20"/>
          <w:lang w:val="en-GB"/>
        </w:rPr>
        <w:cr/>
        <w:t>Correspondi</w:t>
      </w:r>
      <w:r>
        <w:rPr>
          <w:color w:val="000000"/>
          <w:sz w:val="20"/>
          <w:szCs w:val="20"/>
          <w:lang w:val="en-GB"/>
        </w:rPr>
        <w:t>n</w:t>
      </w:r>
      <w:r w:rsidRPr="001069B3">
        <w:rPr>
          <w:color w:val="000000"/>
          <w:sz w:val="20"/>
          <w:szCs w:val="20"/>
          <w:lang w:val="en-GB"/>
        </w:rPr>
        <w:t>g graph showing mean fluorescence intensity of all cells in the field of view (n&gt;60) with subtracted background over 1 minute at each timepoint, normalized to FI at t=0 and SD, 2 independent experiments per treatment.</w:t>
      </w:r>
      <w:r>
        <w:rPr>
          <w:color w:val="000000"/>
          <w:sz w:val="20"/>
          <w:szCs w:val="20"/>
          <w:lang w:val="en-GB"/>
        </w:rPr>
        <w:t xml:space="preserve"> </w:t>
      </w:r>
      <w:r w:rsidRPr="001069B3">
        <w:rPr>
          <w:color w:val="000000"/>
          <w:sz w:val="20"/>
          <w:szCs w:val="20"/>
          <w:lang w:val="en-GB"/>
        </w:rPr>
        <w:t xml:space="preserve">Inserts show representative, </w:t>
      </w:r>
      <w:proofErr w:type="spellStart"/>
      <w:r w:rsidRPr="001069B3">
        <w:rPr>
          <w:color w:val="000000"/>
          <w:sz w:val="20"/>
          <w:szCs w:val="20"/>
          <w:lang w:val="en-GB"/>
        </w:rPr>
        <w:t>pseudocolored</w:t>
      </w:r>
      <w:proofErr w:type="spellEnd"/>
      <w:r w:rsidRPr="001069B3">
        <w:rPr>
          <w:color w:val="000000"/>
          <w:sz w:val="20"/>
          <w:szCs w:val="20"/>
          <w:lang w:val="en-GB"/>
        </w:rPr>
        <w:t xml:space="preserve"> images of Fluo-4 intensity for control (top) and BAPTA-AM (bottom) at baseline and after 25 minutes</w:t>
      </w:r>
      <w:r>
        <w:rPr>
          <w:color w:val="000000"/>
          <w:sz w:val="20"/>
          <w:szCs w:val="20"/>
          <w:lang w:val="en-GB"/>
        </w:rPr>
        <w:t xml:space="preserve">, </w:t>
      </w:r>
      <w:bookmarkStart w:id="0" w:name="OLE_LINK7"/>
      <w:r>
        <w:rPr>
          <w:color w:val="000000"/>
          <w:sz w:val="20"/>
          <w:szCs w:val="20"/>
          <w:lang w:val="en-GB"/>
        </w:rPr>
        <w:t>scale bar 20µm.</w:t>
      </w:r>
      <w:bookmarkEnd w:id="0"/>
      <w:r>
        <w:rPr>
          <w:color w:val="000000"/>
          <w:sz w:val="20"/>
          <w:szCs w:val="20"/>
          <w:lang w:val="en-GB"/>
        </w:rPr>
        <w:br/>
      </w:r>
      <w:r w:rsidRPr="001069B3">
        <w:rPr>
          <w:color w:val="000000"/>
          <w:sz w:val="20"/>
          <w:szCs w:val="20"/>
          <w:lang w:val="en-GB"/>
        </w:rPr>
        <w:t>Note that vehicle treated cells maintain cytosolic calcium levels for 30mins, and respond to glutamate stimulation, while BAPTA-AM-treated cells show gradual reduction of intracellular calcium levels, which persists also under stimulating conditions.</w:t>
      </w:r>
    </w:p>
    <w:sectPr w:rsidR="008D33D3" w:rsidRPr="00EC2428">
      <w:head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3B5B6" w14:textId="77777777" w:rsidR="00B30E42" w:rsidRDefault="00B30E42" w:rsidP="00066FB9">
      <w:pPr>
        <w:spacing w:after="0" w:line="240" w:lineRule="auto"/>
      </w:pPr>
      <w:r>
        <w:separator/>
      </w:r>
    </w:p>
  </w:endnote>
  <w:endnote w:type="continuationSeparator" w:id="0">
    <w:p w14:paraId="3529CCA1" w14:textId="77777777" w:rsidR="00B30E42" w:rsidRDefault="00B30E42" w:rsidP="00066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49054" w14:textId="77777777" w:rsidR="00B30E42" w:rsidRDefault="00B30E42" w:rsidP="00066FB9">
      <w:pPr>
        <w:spacing w:after="0" w:line="240" w:lineRule="auto"/>
      </w:pPr>
      <w:r>
        <w:separator/>
      </w:r>
    </w:p>
  </w:footnote>
  <w:footnote w:type="continuationSeparator" w:id="0">
    <w:p w14:paraId="24369D57" w14:textId="77777777" w:rsidR="00B30E42" w:rsidRDefault="00B30E42" w:rsidP="00066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93027" w14:textId="146042CB" w:rsidR="00066FB9" w:rsidRPr="00066FB9" w:rsidRDefault="00066FB9" w:rsidP="00066FB9">
    <w:pPr>
      <w:pBdr>
        <w:top w:val="none" w:sz="4" w:space="0" w:color="000000"/>
        <w:left w:val="none" w:sz="4" w:space="0" w:color="000000"/>
        <w:bottom w:val="none" w:sz="4" w:space="0" w:color="000000"/>
        <w:right w:val="none" w:sz="4" w:space="0" w:color="000000"/>
      </w:pBdr>
      <w:spacing w:before="120" w:after="120"/>
      <w:ind w:left="120" w:right="120"/>
      <w:jc w:val="right"/>
      <w:rPr>
        <w:sz w:val="18"/>
        <w:szCs w:val="18"/>
        <w:lang w:val="en-US"/>
      </w:rPr>
    </w:pPr>
    <w:r w:rsidRPr="00C23305">
      <w:rPr>
        <w:sz w:val="18"/>
        <w:szCs w:val="18"/>
        <w:lang w:val="en-US"/>
      </w:rPr>
      <w:t>A mitochondria-cluster at the proximal axon initial segment controls axodendritic TAU trafficking in rodent primary and human iPSC-derived neuron</w:t>
    </w:r>
    <w:r>
      <w:rPr>
        <w:sz w:val="18"/>
        <w:szCs w:val="18"/>
        <w:lang w:val="en-US"/>
      </w:rPr>
      <w:t xml:space="preserve">s </w:t>
    </w:r>
    <w:r>
      <w:rPr>
        <w:sz w:val="16"/>
        <w:szCs w:val="16"/>
        <w:lang w:val="en-US"/>
      </w:rPr>
      <w:t xml:space="preserve">| </w:t>
    </w:r>
    <w:r w:rsidRPr="00C23305">
      <w:rPr>
        <w:sz w:val="18"/>
        <w:szCs w:val="18"/>
        <w:lang w:val="en-US"/>
      </w:rPr>
      <w:t>CMLS-D-21-01172R1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84F"/>
    <w:rsid w:val="00066FB9"/>
    <w:rsid w:val="00166333"/>
    <w:rsid w:val="00307258"/>
    <w:rsid w:val="004170FA"/>
    <w:rsid w:val="00507444"/>
    <w:rsid w:val="0070155A"/>
    <w:rsid w:val="007C2EED"/>
    <w:rsid w:val="008D33D3"/>
    <w:rsid w:val="00990670"/>
    <w:rsid w:val="00AD684F"/>
    <w:rsid w:val="00B24160"/>
    <w:rsid w:val="00B30E42"/>
    <w:rsid w:val="00D41C8C"/>
    <w:rsid w:val="00DA6E4E"/>
    <w:rsid w:val="00E078B1"/>
    <w:rsid w:val="00EB05C0"/>
    <w:rsid w:val="00EC24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EF1F6"/>
  <w15:chartTrackingRefBased/>
  <w15:docId w15:val="{D1BBC13C-1874-4D69-86BC-B0B7D8F16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66FB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66FB9"/>
  </w:style>
  <w:style w:type="paragraph" w:styleId="Fuzeile">
    <w:name w:val="footer"/>
    <w:basedOn w:val="Standard"/>
    <w:link w:val="FuzeileZchn"/>
    <w:uiPriority w:val="99"/>
    <w:unhideWhenUsed/>
    <w:rsid w:val="00066FB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66FB9"/>
  </w:style>
  <w:style w:type="paragraph" w:styleId="StandardWeb">
    <w:name w:val="Normal (Web)"/>
    <w:basedOn w:val="Standard"/>
    <w:uiPriority w:val="99"/>
    <w:unhideWhenUsed/>
    <w:qFormat/>
    <w:rsid w:val="00EC2428"/>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572</Words>
  <Characters>3608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tjiang</dc:creator>
  <cp:keywords/>
  <dc:description/>
  <cp:lastModifiedBy>Noah Tjiang</cp:lastModifiedBy>
  <cp:revision>3</cp:revision>
  <cp:lastPrinted>2021-12-27T08:56:00Z</cp:lastPrinted>
  <dcterms:created xsi:type="dcterms:W3CDTF">2022-01-30T16:45:00Z</dcterms:created>
  <dcterms:modified xsi:type="dcterms:W3CDTF">2022-01-30T16:47:00Z</dcterms:modified>
</cp:coreProperties>
</file>