
<file path=[Content_Types].xml><?xml version="1.0" encoding="utf-8"?>
<Types xmlns="http://schemas.openxmlformats.org/package/2006/content-types">
  <Default Extension="xml" ContentType="application/xml"/>
  <Default Extension="tiff" ContentType="image/tiff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32"/>
          <w:highlight w:val="none"/>
        </w:rPr>
      </w:pPr>
      <w:bookmarkStart w:id="0" w:name="OLE_LINK81"/>
      <w:bookmarkStart w:id="1" w:name="OLE_LINK9"/>
      <w:bookmarkStart w:id="2" w:name="OLE_LINK3"/>
      <w:bookmarkStart w:id="3" w:name="OLE_LINK2"/>
      <w:bookmarkStart w:id="4" w:name="OLE_LINK23"/>
      <w:bookmarkStart w:id="5" w:name="OLE_LINK8"/>
      <w:bookmarkStart w:id="6" w:name="OLE_LINK28"/>
      <w:r>
        <w:rPr>
          <w:rFonts w:ascii="Times New Roman" w:hAnsi="Times New Roman" w:cs="Times New Roman"/>
          <w:b/>
          <w:bCs/>
          <w:sz w:val="24"/>
          <w:szCs w:val="32"/>
          <w:highlight w:val="none"/>
        </w:rPr>
        <w:t xml:space="preserve">Hotair </w:t>
      </w:r>
      <w:r>
        <w:rPr>
          <w:highlight w:val="none"/>
        </w:rPr>
        <w:fldChar w:fldCharType="begin"/>
      </w:r>
      <w:r>
        <w:rPr>
          <w:highlight w:val="none"/>
        </w:rPr>
        <w:instrText xml:space="preserve"> HYPERLINK "C:/Users/lenovo-L/AppData/Local/youdao/dict/Application/8.9.9.0/resultui/html/index.html" \l "/javascript:;" </w:instrText>
      </w:r>
      <w:r>
        <w:rPr>
          <w:highlight w:val="none"/>
        </w:rPr>
        <w:fldChar w:fldCharType="separate"/>
      </w:r>
      <w:r>
        <w:rPr>
          <w:rFonts w:ascii="Times New Roman" w:hAnsi="Times New Roman" w:cs="Times New Roman"/>
          <w:b/>
          <w:bCs/>
          <w:sz w:val="24"/>
          <w:szCs w:val="32"/>
          <w:highlight w:val="none"/>
        </w:rPr>
        <w:t>Promote</w:t>
      </w:r>
      <w:r>
        <w:rPr>
          <w:rFonts w:ascii="Times New Roman" w:hAnsi="Times New Roman" w:cs="Times New Roman"/>
          <w:b/>
          <w:bCs/>
          <w:sz w:val="24"/>
          <w:szCs w:val="32"/>
          <w:highlight w:val="none"/>
        </w:rPr>
        <w:fldChar w:fldCharType="end"/>
      </w:r>
      <w:r>
        <w:rPr>
          <w:rStyle w:val="17"/>
          <w:rFonts w:ascii="Times New Roman" w:hAnsi="Times New Roman" w:cs="Times New Roman"/>
          <w:b/>
          <w:bCs/>
          <w:highlight w:val="none"/>
        </w:rPr>
        <w:t>s</w:t>
      </w:r>
      <w:r>
        <w:rPr>
          <w:rFonts w:ascii="Times New Roman" w:hAnsi="Times New Roman" w:cs="Times New Roman"/>
          <w:b/>
          <w:bCs/>
          <w:sz w:val="24"/>
          <w:szCs w:val="32"/>
          <w:highlight w:val="none"/>
        </w:rPr>
        <w:t xml:space="preserve"> the Migration and Proliferation in Ovarian Cancer by miR-222-3p</w:t>
      </w:r>
      <w:r>
        <w:rPr>
          <w:rFonts w:hint="eastAsia" w:ascii="Times New Roman" w:hAnsi="Times New Roman" w:cs="Times New Roman"/>
          <w:b/>
          <w:bCs/>
          <w:sz w:val="24"/>
          <w:szCs w:val="32"/>
          <w:highlight w:val="none"/>
        </w:rPr>
        <w:t>/</w:t>
      </w:r>
      <w:r>
        <w:rPr>
          <w:rFonts w:ascii="Times New Roman" w:hAnsi="Times New Roman" w:cs="Times New Roman"/>
          <w:b/>
          <w:bCs/>
          <w:sz w:val="24"/>
          <w:szCs w:val="32"/>
          <w:highlight w:val="none"/>
        </w:rPr>
        <w:t>CDK19</w:t>
      </w:r>
      <w:r>
        <w:rPr>
          <w:rFonts w:hint="eastAsia" w:ascii="Times New Roman" w:hAnsi="Times New Roman" w:cs="Times New Roman"/>
          <w:b/>
          <w:bCs/>
          <w:sz w:val="24"/>
          <w:szCs w:val="32"/>
          <w:highlight w:val="none"/>
        </w:rPr>
        <w:t xml:space="preserve"> Axis</w:t>
      </w:r>
    </w:p>
    <w:bookmarkEnd w:id="0"/>
    <w:bookmarkEnd w:id="1"/>
    <w:bookmarkEnd w:id="2"/>
    <w:p>
      <w:pPr>
        <w:spacing w:line="480" w:lineRule="auto"/>
        <w:jc w:val="center"/>
        <w:rPr>
          <w:rFonts w:ascii="Times New Roman" w:hAnsi="Times New Roman" w:cs="Times New Roman"/>
          <w:b/>
          <w:bCs/>
          <w:szCs w:val="21"/>
          <w:highlight w:val="none"/>
        </w:rPr>
      </w:pPr>
      <w:r>
        <w:rPr>
          <w:rFonts w:ascii="Times New Roman" w:hAnsi="Times New Roman" w:cs="Times New Roman"/>
          <w:b/>
          <w:bCs/>
          <w:szCs w:val="21"/>
          <w:highlight w:val="none"/>
        </w:rPr>
        <w:t>Lili Fan</w:t>
      </w:r>
      <w:r>
        <w:rPr>
          <w:rFonts w:ascii="Times New Roman" w:hAnsi="Times New Roman" w:cs="Times New Roman"/>
          <w:b/>
          <w:bCs/>
          <w:szCs w:val="21"/>
          <w:highlight w:val="none"/>
          <w:vertAlign w:val="superscript"/>
        </w:rPr>
        <w:t xml:space="preserve">1, 2 </w:t>
      </w:r>
      <w:r>
        <w:rPr>
          <w:rFonts w:ascii="Times New Roman" w:hAnsi="Times New Roman" w:cs="Times New Roman"/>
          <w:b/>
          <w:bCs/>
          <w:sz w:val="20"/>
          <w:szCs w:val="20"/>
          <w:highlight w:val="none"/>
          <w:vertAlign w:val="superscript"/>
        </w:rPr>
        <w:t>+</w:t>
      </w:r>
      <w:r>
        <w:rPr>
          <w:rFonts w:ascii="Times New Roman" w:hAnsi="Times New Roman" w:cs="Times New Roman"/>
          <w:b/>
          <w:bCs/>
          <w:szCs w:val="21"/>
          <w:highlight w:val="none"/>
        </w:rPr>
        <w:t xml:space="preserve">, Han Lei </w:t>
      </w:r>
      <w:r>
        <w:rPr>
          <w:rFonts w:ascii="Times New Roman" w:hAnsi="Times New Roman" w:cs="Times New Roman"/>
          <w:b/>
          <w:bCs/>
          <w:szCs w:val="21"/>
          <w:highlight w:val="none"/>
          <w:vertAlign w:val="superscript"/>
        </w:rPr>
        <w:t xml:space="preserve">1 </w:t>
      </w:r>
      <w:r>
        <w:rPr>
          <w:rFonts w:ascii="Times New Roman" w:hAnsi="Times New Roman" w:cs="Times New Roman"/>
          <w:b/>
          <w:bCs/>
          <w:sz w:val="20"/>
          <w:szCs w:val="20"/>
          <w:highlight w:val="none"/>
          <w:vertAlign w:val="superscript"/>
        </w:rPr>
        <w:t>+</w:t>
      </w:r>
      <w:r>
        <w:rPr>
          <w:rFonts w:ascii="Times New Roman" w:hAnsi="Times New Roman" w:cs="Times New Roman"/>
          <w:b/>
          <w:bCs/>
          <w:szCs w:val="21"/>
          <w:highlight w:val="none"/>
        </w:rPr>
        <w:t>, Ying Lin</w:t>
      </w:r>
      <w:r>
        <w:rPr>
          <w:rFonts w:ascii="Times New Roman" w:hAnsi="Times New Roman" w:cs="Times New Roman"/>
          <w:b/>
          <w:bCs/>
          <w:szCs w:val="21"/>
          <w:highlight w:val="none"/>
          <w:vertAlign w:val="superscript"/>
        </w:rPr>
        <w:t>1</w:t>
      </w:r>
      <w:r>
        <w:rPr>
          <w:rFonts w:ascii="Times New Roman" w:hAnsi="Times New Roman" w:cs="Times New Roman"/>
          <w:b/>
          <w:bCs/>
          <w:szCs w:val="21"/>
          <w:highlight w:val="none"/>
        </w:rPr>
        <w:t>, Zhengwei Zhou</w:t>
      </w:r>
      <w:r>
        <w:rPr>
          <w:rFonts w:ascii="Times New Roman" w:hAnsi="Times New Roman" w:cs="Times New Roman"/>
          <w:b/>
          <w:bCs/>
          <w:szCs w:val="21"/>
          <w:highlight w:val="none"/>
          <w:vertAlign w:val="superscript"/>
        </w:rPr>
        <w:t>1</w:t>
      </w:r>
      <w:r>
        <w:rPr>
          <w:rFonts w:ascii="Times New Roman" w:hAnsi="Times New Roman" w:cs="Times New Roman"/>
          <w:b/>
          <w:bCs/>
          <w:szCs w:val="21"/>
          <w:highlight w:val="none"/>
        </w:rPr>
        <w:t xml:space="preserve">, </w:t>
      </w:r>
      <w:bookmarkStart w:id="7" w:name="OLE_LINK5"/>
      <w:r>
        <w:rPr>
          <w:rFonts w:ascii="Times New Roman" w:hAnsi="Times New Roman" w:cs="Times New Roman"/>
          <w:b/>
          <w:bCs/>
          <w:szCs w:val="21"/>
          <w:highlight w:val="none"/>
        </w:rPr>
        <w:t>Juanni Li</w:t>
      </w:r>
      <w:bookmarkEnd w:id="7"/>
      <w:r>
        <w:rPr>
          <w:rFonts w:ascii="Times New Roman" w:hAnsi="Times New Roman" w:cs="Times New Roman"/>
          <w:b/>
          <w:bCs/>
          <w:szCs w:val="21"/>
          <w:highlight w:val="none"/>
          <w:vertAlign w:val="superscript"/>
        </w:rPr>
        <w:t>1</w:t>
      </w:r>
      <w:r>
        <w:rPr>
          <w:rFonts w:ascii="Times New Roman" w:hAnsi="Times New Roman" w:cs="Times New Roman"/>
          <w:b/>
          <w:bCs/>
          <w:szCs w:val="21"/>
          <w:highlight w:val="none"/>
        </w:rPr>
        <w:t>, Anqi Wu</w:t>
      </w:r>
      <w:r>
        <w:rPr>
          <w:rFonts w:ascii="Times New Roman" w:hAnsi="Times New Roman" w:cs="Times New Roman"/>
          <w:b/>
          <w:bCs/>
          <w:szCs w:val="21"/>
          <w:highlight w:val="none"/>
          <w:vertAlign w:val="superscript"/>
        </w:rPr>
        <w:t>1</w:t>
      </w:r>
      <w:r>
        <w:rPr>
          <w:rFonts w:ascii="Times New Roman" w:hAnsi="Times New Roman" w:cs="Times New Roman"/>
          <w:b/>
          <w:bCs/>
          <w:szCs w:val="21"/>
          <w:highlight w:val="none"/>
        </w:rPr>
        <w:t>, Guang Shu</w:t>
      </w:r>
      <w:r>
        <w:rPr>
          <w:rFonts w:ascii="Times New Roman" w:hAnsi="Times New Roman" w:cs="Times New Roman"/>
          <w:b/>
          <w:bCs/>
          <w:szCs w:val="21"/>
          <w:highlight w:val="none"/>
          <w:vertAlign w:val="superscript"/>
        </w:rPr>
        <w:t>1</w:t>
      </w:r>
      <w:r>
        <w:rPr>
          <w:rFonts w:ascii="Times New Roman" w:hAnsi="Times New Roman" w:cs="Times New Roman"/>
          <w:b/>
          <w:bCs/>
          <w:szCs w:val="21"/>
          <w:highlight w:val="none"/>
        </w:rPr>
        <w:t xml:space="preserve">, </w:t>
      </w:r>
    </w:p>
    <w:p>
      <w:pPr>
        <w:spacing w:line="480" w:lineRule="auto"/>
        <w:jc w:val="center"/>
        <w:rPr>
          <w:rFonts w:ascii="Times New Roman" w:hAnsi="Times New Roman" w:cs="Times New Roman"/>
          <w:b/>
          <w:bCs/>
          <w:szCs w:val="21"/>
          <w:highlight w:val="none"/>
        </w:rPr>
      </w:pPr>
      <w:r>
        <w:rPr>
          <w:rFonts w:ascii="Times New Roman" w:hAnsi="Times New Roman" w:cs="Times New Roman"/>
          <w:b/>
          <w:bCs/>
          <w:szCs w:val="21"/>
          <w:highlight w:val="none"/>
        </w:rPr>
        <w:t>Sébastien Roger</w:t>
      </w:r>
      <w:r>
        <w:rPr>
          <w:rFonts w:ascii="Times New Roman" w:hAnsi="Times New Roman" w:cs="Times New Roman"/>
          <w:b/>
          <w:bCs/>
          <w:szCs w:val="21"/>
          <w:highlight w:val="none"/>
          <w:vertAlign w:val="superscript"/>
        </w:rPr>
        <w:t>3</w:t>
      </w:r>
      <w:r>
        <w:rPr>
          <w:rFonts w:ascii="Times New Roman" w:hAnsi="Times New Roman" w:cs="Times New Roman"/>
          <w:b/>
          <w:bCs/>
          <w:szCs w:val="21"/>
          <w:highlight w:val="none"/>
        </w:rPr>
        <w:t>, Gang Yin</w:t>
      </w:r>
      <w:r>
        <w:rPr>
          <w:rFonts w:ascii="Times New Roman" w:hAnsi="Times New Roman" w:cs="Times New Roman"/>
          <w:b/>
          <w:bCs/>
          <w:szCs w:val="21"/>
          <w:highlight w:val="none"/>
          <w:vertAlign w:val="superscript"/>
        </w:rPr>
        <w:t xml:space="preserve">1 </w:t>
      </w:r>
      <w:r>
        <w:rPr>
          <w:rFonts w:ascii="Times New Roman" w:hAnsi="Times New Roman" w:cs="Times New Roman"/>
          <w:b/>
          <w:bCs/>
          <w:sz w:val="20"/>
          <w:szCs w:val="20"/>
          <w:highlight w:val="none"/>
          <w:vertAlign w:val="superscript"/>
        </w:rPr>
        <w:t>*</w:t>
      </w:r>
    </w:p>
    <w:bookmarkEnd w:id="3"/>
    <w:bookmarkEnd w:id="4"/>
    <w:bookmarkEnd w:id="5"/>
    <w:p>
      <w:pPr>
        <w:pStyle w:val="32"/>
        <w:spacing w:line="480" w:lineRule="auto"/>
        <w:ind w:firstLine="0" w:firstLineChars="0"/>
        <w:rPr>
          <w:rFonts w:ascii="Times New Roman" w:hAnsi="Times New Roman" w:cs="Times New Roman"/>
          <w:szCs w:val="21"/>
          <w:highlight w:val="none"/>
        </w:rPr>
      </w:pPr>
      <w:r>
        <w:rPr>
          <w:rFonts w:ascii="Times New Roman" w:hAnsi="Times New Roman" w:cs="Times New Roman"/>
          <w:szCs w:val="21"/>
          <w:highlight w:val="none"/>
          <w:vertAlign w:val="superscript"/>
        </w:rPr>
        <w:t>1</w:t>
      </w:r>
      <w:r>
        <w:rPr>
          <w:rFonts w:ascii="Times New Roman" w:hAnsi="Times New Roman" w:cs="Times New Roman"/>
          <w:szCs w:val="21"/>
          <w:highlight w:val="none"/>
        </w:rPr>
        <w:t xml:space="preserve">Department of Pathology, Xiangya Hospital, School of Basic Medical Sciences, Central South University, </w:t>
      </w:r>
      <w:bookmarkStart w:id="8" w:name="OLE_LINK37"/>
      <w:r>
        <w:rPr>
          <w:rFonts w:ascii="Times New Roman" w:hAnsi="Times New Roman" w:cs="Times New Roman"/>
          <w:szCs w:val="21"/>
          <w:highlight w:val="none"/>
        </w:rPr>
        <w:t xml:space="preserve">Changsha 410000, Hunan Province, </w:t>
      </w:r>
      <w:bookmarkEnd w:id="8"/>
      <w:r>
        <w:rPr>
          <w:rFonts w:ascii="Times New Roman" w:hAnsi="Times New Roman" w:cs="Times New Roman"/>
          <w:szCs w:val="21"/>
          <w:highlight w:val="none"/>
        </w:rPr>
        <w:t>China.</w:t>
      </w:r>
    </w:p>
    <w:p>
      <w:pPr>
        <w:pStyle w:val="32"/>
        <w:spacing w:line="480" w:lineRule="auto"/>
        <w:ind w:firstLine="0" w:firstLineChars="0"/>
        <w:rPr>
          <w:rFonts w:ascii="Times New Roman" w:hAnsi="Times New Roman" w:cs="Times New Roman"/>
          <w:szCs w:val="21"/>
          <w:highlight w:val="none"/>
        </w:rPr>
      </w:pPr>
      <w:r>
        <w:rPr>
          <w:rFonts w:ascii="Times New Roman" w:hAnsi="Times New Roman" w:cs="Times New Roman"/>
          <w:szCs w:val="21"/>
          <w:highlight w:val="none"/>
          <w:vertAlign w:val="superscript"/>
        </w:rPr>
        <w:t>2</w:t>
      </w:r>
      <w:r>
        <w:rPr>
          <w:rFonts w:ascii="Times New Roman" w:hAnsi="Times New Roman" w:cs="Times New Roman"/>
          <w:szCs w:val="21"/>
          <w:highlight w:val="none"/>
        </w:rPr>
        <w:t>Guangzhou Key Laboratory of Formula-Pattern of Traditional Chinese Medicine, School of Traditional Chinese Medicine, Jinan University, Guangzhou, 510632, Guangdong, People’s Republic of China.</w:t>
      </w:r>
    </w:p>
    <w:p>
      <w:pPr>
        <w:spacing w:line="480" w:lineRule="auto"/>
        <w:rPr>
          <w:rFonts w:ascii="Times New Roman" w:hAnsi="Times New Roman" w:cs="Times New Roman"/>
          <w:szCs w:val="21"/>
          <w:highlight w:val="none"/>
        </w:rPr>
      </w:pPr>
      <w:r>
        <w:rPr>
          <w:rFonts w:ascii="Times New Roman" w:hAnsi="Times New Roman" w:cs="Times New Roman"/>
          <w:szCs w:val="21"/>
          <w:highlight w:val="none"/>
          <w:vertAlign w:val="superscript"/>
        </w:rPr>
        <w:t>3</w:t>
      </w:r>
      <w:r>
        <w:rPr>
          <w:rFonts w:ascii="Times New Roman" w:hAnsi="Times New Roman" w:cs="Times New Roman"/>
          <w:szCs w:val="21"/>
          <w:highlight w:val="none"/>
        </w:rPr>
        <w:t>EA4245 Transplantation, Immunologie, Inflammation, University of Tours, 37032, Tours, France.</w:t>
      </w:r>
    </w:p>
    <w:p>
      <w:pPr>
        <w:spacing w:line="480" w:lineRule="auto"/>
        <w:rPr>
          <w:rFonts w:ascii="Times New Roman" w:hAnsi="Times New Roman" w:cs="Times New Roman"/>
          <w:szCs w:val="21"/>
          <w:highlight w:val="none"/>
        </w:rPr>
      </w:pPr>
      <w:r>
        <w:rPr>
          <w:rFonts w:ascii="Times New Roman" w:hAnsi="Times New Roman" w:cs="Times New Roman"/>
          <w:szCs w:val="21"/>
          <w:highlight w:val="none"/>
          <w:vertAlign w:val="superscript"/>
        </w:rPr>
        <w:t>*</w:t>
      </w:r>
      <w:r>
        <w:rPr>
          <w:rFonts w:ascii="Times New Roman" w:hAnsi="Times New Roman" w:cs="Times New Roman"/>
          <w:szCs w:val="21"/>
          <w:highlight w:val="none"/>
        </w:rPr>
        <w:t xml:space="preserve"> Corresponding author: Gang Yin, Ph.D.</w:t>
      </w:r>
    </w:p>
    <w:p>
      <w:pPr>
        <w:spacing w:line="480" w:lineRule="auto"/>
        <w:rPr>
          <w:rFonts w:ascii="Times New Roman" w:hAnsi="Times New Roman" w:cs="Times New Roman"/>
          <w:szCs w:val="21"/>
          <w:highlight w:val="none"/>
        </w:rPr>
      </w:pPr>
      <w:r>
        <w:rPr>
          <w:rFonts w:ascii="Times New Roman" w:hAnsi="Times New Roman" w:cs="Times New Roman"/>
          <w:szCs w:val="21"/>
          <w:highlight w:val="none"/>
        </w:rPr>
        <w:t xml:space="preserve">Department of Pathology, Xiangya Hospital, School Medical Sciences, Central South University, Changsha </w:t>
      </w:r>
      <w:bookmarkStart w:id="9" w:name="OLE_LINK15"/>
      <w:r>
        <w:rPr>
          <w:rFonts w:ascii="Times New Roman" w:hAnsi="Times New Roman" w:cs="Times New Roman"/>
          <w:szCs w:val="21"/>
          <w:highlight w:val="none"/>
        </w:rPr>
        <w:t>410000</w:t>
      </w:r>
      <w:bookmarkEnd w:id="9"/>
      <w:r>
        <w:rPr>
          <w:rFonts w:ascii="Times New Roman" w:hAnsi="Times New Roman" w:cs="Times New Roman"/>
          <w:szCs w:val="21"/>
          <w:highlight w:val="none"/>
        </w:rPr>
        <w:t xml:space="preserve">, Hunan Province China, </w:t>
      </w:r>
      <w:r>
        <w:rPr>
          <w:highlight w:val="none"/>
        </w:rPr>
        <w:fldChar w:fldCharType="begin"/>
      </w:r>
      <w:r>
        <w:rPr>
          <w:highlight w:val="none"/>
        </w:rPr>
        <w:instrText xml:space="preserve"> HYPERLINK "mailto:gangyin@csu.edu.cn," </w:instrText>
      </w:r>
      <w:r>
        <w:rPr>
          <w:highlight w:val="none"/>
        </w:rPr>
        <w:fldChar w:fldCharType="separate"/>
      </w:r>
      <w:r>
        <w:rPr>
          <w:rStyle w:val="16"/>
          <w:rFonts w:ascii="Times New Roman" w:hAnsi="Times New Roman" w:cs="Times New Roman"/>
          <w:color w:val="auto"/>
          <w:szCs w:val="21"/>
          <w:highlight w:val="none"/>
          <w:u w:val="none"/>
        </w:rPr>
        <w:t>gangyin@csu.edu.cn,</w:t>
      </w:r>
      <w:r>
        <w:rPr>
          <w:rStyle w:val="16"/>
          <w:rFonts w:ascii="Times New Roman" w:hAnsi="Times New Roman" w:cs="Times New Roman"/>
          <w:color w:val="auto"/>
          <w:szCs w:val="21"/>
          <w:highlight w:val="none"/>
          <w:u w:val="none"/>
        </w:rPr>
        <w:fldChar w:fldCharType="end"/>
      </w:r>
      <w:r>
        <w:rPr>
          <w:rFonts w:ascii="Times New Roman" w:hAnsi="Times New Roman" w:cs="Times New Roman"/>
          <w:szCs w:val="21"/>
          <w:highlight w:val="none"/>
        </w:rPr>
        <w:t xml:space="preserve"> 13677359115.</w:t>
      </w:r>
    </w:p>
    <w:p>
      <w:pPr>
        <w:spacing w:after="156" w:afterLines="50" w:line="480" w:lineRule="auto"/>
        <w:rPr>
          <w:rFonts w:ascii="Times New Roman" w:hAnsi="Times New Roman" w:cs="Times New Roman"/>
          <w:szCs w:val="21"/>
          <w:highlight w:val="none"/>
        </w:rPr>
      </w:pPr>
      <w:r>
        <w:rPr>
          <w:rFonts w:ascii="Times New Roman" w:hAnsi="Times New Roman" w:cs="Times New Roman"/>
          <w:b/>
          <w:bCs/>
          <w:szCs w:val="21"/>
          <w:highlight w:val="none"/>
          <w:vertAlign w:val="superscript"/>
        </w:rPr>
        <w:t xml:space="preserve">+ </w:t>
      </w:r>
      <w:r>
        <w:rPr>
          <w:rFonts w:ascii="Times New Roman" w:hAnsi="Times New Roman" w:cs="Times New Roman"/>
          <w:szCs w:val="21"/>
          <w:highlight w:val="none"/>
        </w:rPr>
        <w:t>These authors contributed equally to this work.</w:t>
      </w:r>
      <w:bookmarkEnd w:id="6"/>
      <w:r>
        <w:rPr>
          <w:rFonts w:ascii="Times New Roman" w:hAnsi="Times New Roman" w:cs="Times New Roman"/>
          <w:szCs w:val="21"/>
          <w:highlight w:val="none"/>
        </w:rPr>
        <w:br w:type="page"/>
      </w:r>
    </w:p>
    <w:p>
      <w:pPr>
        <w:pStyle w:val="29"/>
        <w:spacing w:line="480" w:lineRule="auto"/>
        <w:rPr>
          <w:rFonts w:ascii="Times New Roman" w:hAnsi="Times New Roman" w:cs="Times New Roman"/>
          <w:sz w:val="21"/>
          <w:szCs w:val="21"/>
          <w:highlight w:val="none"/>
        </w:rPr>
      </w:pPr>
      <w:r>
        <w:rPr>
          <w:rFonts w:ascii="Times New Roman" w:hAnsi="Times New Roman" w:cs="Times New Roman"/>
          <w:b/>
          <w:bCs/>
          <w:sz w:val="21"/>
          <w:szCs w:val="21"/>
          <w:highlight w:val="none"/>
        </w:rPr>
        <w:t>Supplementary Table</w:t>
      </w:r>
    </w:p>
    <w:p>
      <w:pPr>
        <w:spacing w:before="156" w:beforeLines="50" w:after="156" w:afterLines="50" w:line="480" w:lineRule="auto"/>
        <w:rPr>
          <w:rFonts w:ascii="Times New Roman" w:hAnsi="Times New Roman" w:cs="Times New Roman"/>
          <w:b/>
          <w:bCs/>
          <w:szCs w:val="21"/>
          <w:highlight w:val="none"/>
        </w:rPr>
      </w:pPr>
      <w:r>
        <w:rPr>
          <w:rFonts w:ascii="Times New Roman" w:hAnsi="Times New Roman" w:cs="Times New Roman"/>
          <w:b/>
          <w:bCs/>
          <w:szCs w:val="21"/>
          <w:highlight w:val="none"/>
        </w:rPr>
        <w:t>Supplementary Table S1. Sequences of primers.</w:t>
      </w:r>
    </w:p>
    <w:tbl>
      <w:tblPr>
        <w:tblStyle w:val="12"/>
        <w:tblW w:w="8355" w:type="dxa"/>
        <w:tblInd w:w="9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5"/>
        <w:gridCol w:w="595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05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480" w:lineRule="auto"/>
              <w:rPr>
                <w:rFonts w:ascii="Times New Roman" w:hAnsi="Times New Roman" w:cs="Times New Roman"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szCs w:val="21"/>
                <w:highlight w:val="none"/>
              </w:rPr>
              <w:t>Items</w:t>
            </w:r>
          </w:p>
        </w:tc>
        <w:tc>
          <w:tcPr>
            <w:tcW w:w="595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480" w:lineRule="auto"/>
              <w:rPr>
                <w:rFonts w:ascii="Times New Roman" w:hAnsi="Times New Roman" w:cs="Times New Roman"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szCs w:val="21"/>
                <w:highlight w:val="none"/>
              </w:rPr>
              <w:t>Sequence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05" w:type="dxa"/>
            <w:vMerge w:val="restart"/>
            <w:tcBorders>
              <w:top w:val="single" w:color="auto" w:sz="4" w:space="0"/>
              <w:left w:val="nil"/>
              <w:right w:val="nil"/>
            </w:tcBorders>
          </w:tcPr>
          <w:p>
            <w:pPr>
              <w:spacing w:line="960" w:lineRule="auto"/>
              <w:rPr>
                <w:rFonts w:ascii="Times New Roman" w:hAnsi="Times New Roman" w:cs="Times New Roman"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szCs w:val="21"/>
                <w:highlight w:val="none"/>
              </w:rPr>
              <w:t>Hotair qPCR primers</w:t>
            </w:r>
          </w:p>
        </w:tc>
        <w:tc>
          <w:tcPr>
            <w:tcW w:w="5950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>
            <w:pPr>
              <w:spacing w:line="480" w:lineRule="auto"/>
              <w:jc w:val="left"/>
              <w:rPr>
                <w:rFonts w:ascii="Times New Roman" w:hAnsi="Times New Roman" w:cs="Times New Roman"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szCs w:val="21"/>
                <w:highlight w:val="none"/>
              </w:rPr>
              <w:t>F：AGCCCTAGCCTTTGGAAGCT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05" w:type="dxa"/>
            <w:vMerge w:val="continue"/>
            <w:tcBorders>
              <w:left w:val="nil"/>
              <w:bottom w:val="nil"/>
              <w:right w:val="nil"/>
            </w:tcBorders>
          </w:tcPr>
          <w:p>
            <w:pPr>
              <w:spacing w:line="480" w:lineRule="auto"/>
              <w:rPr>
                <w:rFonts w:ascii="Times New Roman" w:hAnsi="Times New Roman" w:cs="Times New Roman"/>
                <w:szCs w:val="21"/>
                <w:highlight w:val="none"/>
              </w:rPr>
            </w:pPr>
          </w:p>
        </w:tc>
        <w:tc>
          <w:tcPr>
            <w:tcW w:w="59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480" w:lineRule="auto"/>
              <w:jc w:val="left"/>
              <w:rPr>
                <w:rFonts w:ascii="Times New Roman" w:hAnsi="Times New Roman" w:cs="Times New Roman"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szCs w:val="21"/>
                <w:highlight w:val="none"/>
              </w:rPr>
              <w:t>R：</w:t>
            </w:r>
            <w:bookmarkStart w:id="10" w:name="OLE_LINK21"/>
            <w:r>
              <w:rPr>
                <w:rFonts w:ascii="Times New Roman" w:hAnsi="Times New Roman" w:cs="Times New Roman"/>
                <w:szCs w:val="21"/>
                <w:highlight w:val="none"/>
              </w:rPr>
              <w:t>ACCCATGTGTCTCAAGATGCATT</w:t>
            </w:r>
            <w:bookmarkEnd w:id="10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05" w:type="dxa"/>
            <w:vMerge w:val="restart"/>
            <w:tcBorders>
              <w:top w:val="nil"/>
            </w:tcBorders>
          </w:tcPr>
          <w:p>
            <w:pPr>
              <w:spacing w:line="960" w:lineRule="auto"/>
              <w:rPr>
                <w:rFonts w:ascii="Times New Roman" w:hAnsi="Times New Roman" w:cs="Times New Roman"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szCs w:val="21"/>
                <w:highlight w:val="none"/>
              </w:rPr>
              <w:t>Hotair CDS primers</w:t>
            </w:r>
          </w:p>
        </w:tc>
        <w:tc>
          <w:tcPr>
            <w:tcW w:w="5950" w:type="dxa"/>
            <w:tcBorders>
              <w:top w:val="nil"/>
            </w:tcBorders>
          </w:tcPr>
          <w:p>
            <w:pPr>
              <w:spacing w:line="480" w:lineRule="auto"/>
              <w:jc w:val="left"/>
              <w:rPr>
                <w:rFonts w:ascii="Times New Roman" w:hAnsi="Times New Roman" w:cs="Times New Roman"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szCs w:val="21"/>
                <w:highlight w:val="none"/>
              </w:rPr>
              <w:t>F：</w:t>
            </w:r>
            <w:r>
              <w:rPr>
                <w:rFonts w:ascii="Times New Roman" w:hAnsi="Times New Roman" w:cs="Times New Roman"/>
                <w:caps/>
                <w:szCs w:val="21"/>
                <w:highlight w:val="none"/>
              </w:rPr>
              <w:t>gactcgcctgtgctctggagcttgatccga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05" w:type="dxa"/>
            <w:vMerge w:val="continue"/>
          </w:tcPr>
          <w:p>
            <w:pPr>
              <w:spacing w:line="480" w:lineRule="auto"/>
              <w:rPr>
                <w:rFonts w:ascii="Times New Roman" w:hAnsi="Times New Roman" w:cs="Times New Roman"/>
                <w:szCs w:val="21"/>
                <w:highlight w:val="none"/>
              </w:rPr>
            </w:pPr>
          </w:p>
        </w:tc>
        <w:tc>
          <w:tcPr>
            <w:tcW w:w="5950" w:type="dxa"/>
          </w:tcPr>
          <w:p>
            <w:pPr>
              <w:spacing w:line="480" w:lineRule="auto"/>
              <w:jc w:val="left"/>
              <w:rPr>
                <w:rFonts w:ascii="Times New Roman" w:hAnsi="Times New Roman" w:cs="Times New Roman"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szCs w:val="21"/>
                <w:highlight w:val="none"/>
              </w:rPr>
              <w:t>R：</w:t>
            </w:r>
            <w:r>
              <w:rPr>
                <w:rFonts w:ascii="Times New Roman" w:hAnsi="Times New Roman" w:cs="Times New Roman"/>
                <w:caps/>
                <w:szCs w:val="21"/>
                <w:highlight w:val="none"/>
              </w:rPr>
              <w:t>atgcataaaaccaccacacacacacaacc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05" w:type="dxa"/>
            <w:vMerge w:val="restart"/>
          </w:tcPr>
          <w:p>
            <w:pPr>
              <w:spacing w:line="960" w:lineRule="auto"/>
              <w:rPr>
                <w:rFonts w:ascii="Times New Roman" w:hAnsi="Times New Roman" w:cs="Times New Roman"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szCs w:val="21"/>
                <w:highlight w:val="none"/>
              </w:rPr>
              <w:t>CDK19 qPCR primers</w:t>
            </w:r>
          </w:p>
        </w:tc>
        <w:tc>
          <w:tcPr>
            <w:tcW w:w="5950" w:type="dxa"/>
          </w:tcPr>
          <w:p>
            <w:pPr>
              <w:spacing w:line="480" w:lineRule="auto"/>
              <w:jc w:val="left"/>
              <w:rPr>
                <w:rFonts w:ascii="Times New Roman" w:hAnsi="Times New Roman" w:cs="Times New Roman"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szCs w:val="21"/>
                <w:highlight w:val="none"/>
              </w:rPr>
              <w:t>F：GGATTTGTTTGAGTACGAAGGGT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05" w:type="dxa"/>
            <w:vMerge w:val="continue"/>
          </w:tcPr>
          <w:p>
            <w:pPr>
              <w:spacing w:line="480" w:lineRule="auto"/>
              <w:rPr>
                <w:rFonts w:ascii="Times New Roman" w:hAnsi="Times New Roman" w:cs="Times New Roman"/>
                <w:szCs w:val="21"/>
                <w:highlight w:val="none"/>
              </w:rPr>
            </w:pPr>
          </w:p>
        </w:tc>
        <w:tc>
          <w:tcPr>
            <w:tcW w:w="5950" w:type="dxa"/>
          </w:tcPr>
          <w:p>
            <w:pPr>
              <w:spacing w:line="480" w:lineRule="auto"/>
              <w:jc w:val="left"/>
              <w:rPr>
                <w:rFonts w:ascii="Times New Roman" w:hAnsi="Times New Roman" w:cs="Times New Roman"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szCs w:val="21"/>
                <w:highlight w:val="none"/>
              </w:rPr>
              <w:t>R：</w:t>
            </w:r>
            <w:bookmarkStart w:id="11" w:name="OLE_LINK22"/>
            <w:r>
              <w:rPr>
                <w:rFonts w:ascii="Times New Roman" w:hAnsi="Times New Roman" w:cs="Times New Roman"/>
                <w:szCs w:val="21"/>
                <w:highlight w:val="none"/>
              </w:rPr>
              <w:t>CTACAAGCCGACATGGATATTCC</w:t>
            </w:r>
            <w:bookmarkEnd w:id="11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05" w:type="dxa"/>
            <w:vMerge w:val="restart"/>
          </w:tcPr>
          <w:p>
            <w:pPr>
              <w:spacing w:line="960" w:lineRule="auto"/>
              <w:rPr>
                <w:rFonts w:ascii="Times New Roman" w:hAnsi="Times New Roman" w:cs="Times New Roman"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szCs w:val="21"/>
                <w:highlight w:val="none"/>
              </w:rPr>
              <w:t>CDK19 CDS primers</w:t>
            </w:r>
          </w:p>
        </w:tc>
        <w:tc>
          <w:tcPr>
            <w:tcW w:w="5950" w:type="dxa"/>
          </w:tcPr>
          <w:p>
            <w:pPr>
              <w:spacing w:line="480" w:lineRule="auto"/>
              <w:jc w:val="left"/>
              <w:rPr>
                <w:rFonts w:ascii="Times New Roman" w:hAnsi="Times New Roman" w:cs="Times New Roman"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szCs w:val="21"/>
                <w:highlight w:val="none"/>
              </w:rPr>
              <w:t>F：</w:t>
            </w:r>
            <w:r>
              <w:rPr>
                <w:rFonts w:ascii="Times New Roman" w:hAnsi="Times New Roman" w:cs="Times New Roman"/>
                <w:caps/>
                <w:szCs w:val="21"/>
                <w:highlight w:val="none"/>
              </w:rPr>
              <w:t>atggattatgatttcaaggcgaagc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05" w:type="dxa"/>
            <w:vMerge w:val="continue"/>
          </w:tcPr>
          <w:p>
            <w:pPr>
              <w:spacing w:line="480" w:lineRule="auto"/>
              <w:rPr>
                <w:rFonts w:ascii="Times New Roman" w:hAnsi="Times New Roman" w:cs="Times New Roman"/>
                <w:szCs w:val="21"/>
                <w:highlight w:val="none"/>
              </w:rPr>
            </w:pPr>
          </w:p>
        </w:tc>
        <w:tc>
          <w:tcPr>
            <w:tcW w:w="5950" w:type="dxa"/>
          </w:tcPr>
          <w:p>
            <w:pPr>
              <w:spacing w:line="480" w:lineRule="auto"/>
              <w:jc w:val="left"/>
              <w:rPr>
                <w:rFonts w:ascii="Times New Roman" w:hAnsi="Times New Roman" w:cs="Times New Roman"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szCs w:val="21"/>
                <w:highlight w:val="none"/>
              </w:rPr>
              <w:t>R：</w:t>
            </w:r>
            <w:r>
              <w:rPr>
                <w:rFonts w:ascii="Times New Roman" w:hAnsi="Times New Roman" w:cs="Times New Roman"/>
                <w:caps/>
                <w:szCs w:val="21"/>
                <w:highlight w:val="none"/>
              </w:rPr>
              <w:t>tcagtaccggtgggcctggtgag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05" w:type="dxa"/>
            <w:vMerge w:val="restart"/>
          </w:tcPr>
          <w:p>
            <w:pPr>
              <w:spacing w:line="960" w:lineRule="auto"/>
              <w:jc w:val="left"/>
              <w:rPr>
                <w:rFonts w:ascii="Times New Roman" w:hAnsi="Times New Roman" w:cs="Times New Roman"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szCs w:val="21"/>
                <w:highlight w:val="none"/>
              </w:rPr>
              <w:t>GAPDH qPCR primers</w:t>
            </w:r>
          </w:p>
        </w:tc>
        <w:tc>
          <w:tcPr>
            <w:tcW w:w="5950" w:type="dxa"/>
          </w:tcPr>
          <w:p>
            <w:pPr>
              <w:spacing w:line="480" w:lineRule="auto"/>
              <w:jc w:val="left"/>
              <w:rPr>
                <w:rFonts w:ascii="Times New Roman" w:hAnsi="Times New Roman" w:cs="Times New Roman"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szCs w:val="21"/>
                <w:highlight w:val="none"/>
              </w:rPr>
              <w:t>F：5’-GTCGCCAGCCGAGCCACATC-3’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05" w:type="dxa"/>
            <w:vMerge w:val="continue"/>
          </w:tcPr>
          <w:p>
            <w:pPr>
              <w:spacing w:line="480" w:lineRule="auto"/>
              <w:rPr>
                <w:rFonts w:ascii="Times New Roman" w:hAnsi="Times New Roman" w:cs="Times New Roman"/>
                <w:szCs w:val="21"/>
                <w:highlight w:val="none"/>
              </w:rPr>
            </w:pPr>
          </w:p>
        </w:tc>
        <w:tc>
          <w:tcPr>
            <w:tcW w:w="5950" w:type="dxa"/>
          </w:tcPr>
          <w:p>
            <w:pPr>
              <w:spacing w:line="480" w:lineRule="auto"/>
              <w:jc w:val="left"/>
              <w:rPr>
                <w:rFonts w:ascii="Times New Roman" w:hAnsi="Times New Roman" w:cs="Times New Roman"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szCs w:val="21"/>
                <w:highlight w:val="none"/>
              </w:rPr>
              <w:t>R：5’-</w:t>
            </w:r>
            <w:bookmarkStart w:id="12" w:name="OLE_LINK24"/>
            <w:r>
              <w:rPr>
                <w:rFonts w:ascii="Times New Roman" w:hAnsi="Times New Roman" w:cs="Times New Roman"/>
                <w:szCs w:val="21"/>
                <w:highlight w:val="none"/>
              </w:rPr>
              <w:t>CCAGGCGCCCAATACGACCA</w:t>
            </w:r>
            <w:bookmarkEnd w:id="12"/>
            <w:r>
              <w:rPr>
                <w:rFonts w:ascii="Times New Roman" w:hAnsi="Times New Roman" w:cs="Times New Roman"/>
                <w:szCs w:val="21"/>
                <w:highlight w:val="none"/>
              </w:rPr>
              <w:t>-3’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05" w:type="dxa"/>
            <w:vMerge w:val="restart"/>
          </w:tcPr>
          <w:p>
            <w:pPr>
              <w:spacing w:line="960" w:lineRule="auto"/>
              <w:rPr>
                <w:rFonts w:ascii="Times New Roman" w:hAnsi="Times New Roman" w:cs="Times New Roman"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szCs w:val="21"/>
                <w:highlight w:val="none"/>
              </w:rPr>
              <w:t>U6</w:t>
            </w:r>
          </w:p>
        </w:tc>
        <w:tc>
          <w:tcPr>
            <w:tcW w:w="5950" w:type="dxa"/>
          </w:tcPr>
          <w:p>
            <w:pPr>
              <w:spacing w:line="480" w:lineRule="auto"/>
              <w:jc w:val="left"/>
              <w:rPr>
                <w:rFonts w:ascii="Times New Roman" w:hAnsi="Times New Roman" w:cs="Times New Roman"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szCs w:val="21"/>
                <w:highlight w:val="none"/>
              </w:rPr>
              <w:t>F：CTCGCTTCGGCAGCACATA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05" w:type="dxa"/>
            <w:vMerge w:val="continue"/>
            <w:tcBorders>
              <w:bottom w:val="single" w:color="auto" w:sz="4" w:space="0"/>
            </w:tcBorders>
          </w:tcPr>
          <w:p>
            <w:pPr>
              <w:spacing w:line="480" w:lineRule="auto"/>
              <w:rPr>
                <w:rFonts w:ascii="Times New Roman" w:hAnsi="Times New Roman" w:cs="Times New Roman"/>
                <w:szCs w:val="21"/>
                <w:highlight w:val="none"/>
              </w:rPr>
            </w:pPr>
          </w:p>
        </w:tc>
        <w:tc>
          <w:tcPr>
            <w:tcW w:w="5950" w:type="dxa"/>
            <w:tcBorders>
              <w:bottom w:val="single" w:color="auto" w:sz="4" w:space="0"/>
            </w:tcBorders>
          </w:tcPr>
          <w:p>
            <w:pPr>
              <w:spacing w:line="480" w:lineRule="auto"/>
              <w:jc w:val="left"/>
              <w:rPr>
                <w:rFonts w:ascii="Times New Roman" w:hAnsi="Times New Roman" w:cs="Times New Roman"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szCs w:val="21"/>
                <w:highlight w:val="none"/>
              </w:rPr>
              <w:t>R：AACGATTCACGAATTTGCGT</w:t>
            </w:r>
          </w:p>
        </w:tc>
      </w:tr>
    </w:tbl>
    <w:p>
      <w:pPr>
        <w:spacing w:line="480" w:lineRule="auto"/>
        <w:rPr>
          <w:rFonts w:ascii="Times New Roman" w:hAnsi="Times New Roman" w:cs="Times New Roman"/>
          <w:szCs w:val="21"/>
          <w:highlight w:val="none"/>
        </w:rPr>
      </w:pPr>
      <w:r>
        <w:rPr>
          <w:rFonts w:ascii="Times New Roman" w:hAnsi="Times New Roman" w:cs="Times New Roman"/>
          <w:szCs w:val="21"/>
          <w:highlight w:val="none"/>
        </w:rPr>
        <w:t>Note. F: Forward; R: Reverse.</w:t>
      </w:r>
    </w:p>
    <w:p>
      <w:pPr>
        <w:widowControl/>
        <w:spacing w:before="156" w:beforeLines="50" w:after="156" w:afterLines="50" w:line="480" w:lineRule="auto"/>
        <w:jc w:val="left"/>
        <w:rPr>
          <w:rFonts w:ascii="Times New Roman" w:hAnsi="Times New Roman" w:cs="Times New Roman"/>
          <w:szCs w:val="21"/>
          <w:highlight w:val="none"/>
        </w:rPr>
      </w:pPr>
      <w:r>
        <w:rPr>
          <w:rFonts w:ascii="Times New Roman" w:hAnsi="Times New Roman" w:cs="Times New Roman"/>
          <w:szCs w:val="21"/>
          <w:highlight w:val="none"/>
        </w:rPr>
        <w:br w:type="page"/>
      </w:r>
    </w:p>
    <w:p>
      <w:pPr>
        <w:widowControl/>
        <w:spacing w:before="156" w:beforeLines="50" w:after="156" w:afterLines="50" w:line="480" w:lineRule="auto"/>
        <w:jc w:val="left"/>
        <w:rPr>
          <w:rFonts w:ascii="Times New Roman" w:hAnsi="Times New Roman" w:cs="Times New Roman"/>
          <w:b/>
          <w:bCs/>
          <w:szCs w:val="21"/>
          <w:highlight w:val="none"/>
        </w:rPr>
      </w:pPr>
      <w:r>
        <w:rPr>
          <w:rFonts w:ascii="Times New Roman" w:hAnsi="Times New Roman" w:cs="Times New Roman"/>
          <w:b/>
          <w:bCs/>
          <w:szCs w:val="21"/>
          <w:highlight w:val="none"/>
        </w:rPr>
        <w:t>Supplementary Materials</w:t>
      </w:r>
    </w:p>
    <w:p>
      <w:pPr>
        <w:spacing w:before="156" w:beforeLines="50" w:after="156" w:afterLines="50" w:line="480" w:lineRule="auto"/>
        <w:rPr>
          <w:rFonts w:ascii="Times New Roman" w:hAnsi="Times New Roman" w:cs="Times New Roman"/>
          <w:b/>
          <w:bCs/>
          <w:szCs w:val="21"/>
          <w:highlight w:val="none"/>
        </w:rPr>
      </w:pPr>
      <w:bookmarkStart w:id="13" w:name="OLE_LINK253"/>
      <w:r>
        <w:rPr>
          <w:rFonts w:hint="eastAsia" w:ascii="Times New Roman" w:hAnsi="Times New Roman" w:cs="Times New Roman"/>
          <w:b/>
          <w:bCs/>
          <w:szCs w:val="21"/>
          <w:highlight w:val="none"/>
        </w:rPr>
        <w:drawing>
          <wp:inline distT="0" distB="0" distL="114300" distR="114300">
            <wp:extent cx="5267960" cy="2898140"/>
            <wp:effectExtent l="0" t="0" r="5080" b="12700"/>
            <wp:docPr id="1" name="图片 1" descr="F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S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898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156" w:beforeLines="50" w:after="156" w:afterLines="50" w:line="480" w:lineRule="auto"/>
        <w:rPr>
          <w:rFonts w:ascii="Times New Roman" w:hAnsi="Times New Roman" w:cs="Times New Roman"/>
          <w:szCs w:val="21"/>
          <w:highlight w:val="none"/>
        </w:rPr>
      </w:pPr>
      <w:r>
        <w:rPr>
          <w:rFonts w:ascii="Times New Roman" w:hAnsi="Times New Roman" w:cs="Times New Roman"/>
          <w:b/>
          <w:bCs/>
          <w:szCs w:val="21"/>
          <w:highlight w:val="none"/>
        </w:rPr>
        <w:t xml:space="preserve">Fig. S1 Expression level </w:t>
      </w:r>
      <w:bookmarkStart w:id="14" w:name="OLE_LINK4"/>
      <w:bookmarkStart w:id="15" w:name="OLE_LINK10"/>
      <w:r>
        <w:rPr>
          <w:rFonts w:hint="eastAsia" w:ascii="Times New Roman" w:hAnsi="Times New Roman" w:cs="Times New Roman"/>
          <w:b/>
          <w:bCs/>
          <w:szCs w:val="21"/>
          <w:highlight w:val="none"/>
        </w:rPr>
        <w:t>and function</w:t>
      </w:r>
      <w:bookmarkEnd w:id="14"/>
      <w:r>
        <w:rPr>
          <w:rFonts w:hint="eastAsia" w:ascii="Times New Roman" w:hAnsi="Times New Roman" w:cs="Times New Roman"/>
          <w:b/>
          <w:bCs/>
          <w:szCs w:val="21"/>
          <w:highlight w:val="none"/>
        </w:rPr>
        <w:t xml:space="preserve"> assays</w:t>
      </w:r>
      <w:bookmarkEnd w:id="15"/>
      <w:r>
        <w:rPr>
          <w:rFonts w:hint="eastAsia" w:ascii="Times New Roman" w:hAnsi="Times New Roman" w:cs="Times New Roman"/>
          <w:b/>
          <w:bCs/>
          <w:szCs w:val="21"/>
          <w:highlight w:val="none"/>
        </w:rPr>
        <w:t xml:space="preserve"> </w:t>
      </w:r>
      <w:r>
        <w:rPr>
          <w:rFonts w:ascii="Times New Roman" w:hAnsi="Times New Roman" w:cs="Times New Roman"/>
          <w:b/>
          <w:bCs/>
          <w:szCs w:val="21"/>
          <w:highlight w:val="none"/>
        </w:rPr>
        <w:t>of miR-222-3p in OC cells.</w:t>
      </w:r>
    </w:p>
    <w:p>
      <w:pPr>
        <w:spacing w:before="156" w:beforeLines="50" w:after="156" w:afterLines="50" w:line="480" w:lineRule="auto"/>
        <w:rPr>
          <w:rFonts w:ascii="Times New Roman" w:hAnsi="Times New Roman" w:cs="Times New Roman"/>
          <w:b/>
          <w:bCs/>
          <w:szCs w:val="21"/>
          <w:highlight w:val="none"/>
        </w:rPr>
      </w:pPr>
      <w:r>
        <w:rPr>
          <w:rFonts w:ascii="Times New Roman" w:hAnsi="Times New Roman" w:cs="Times New Roman"/>
          <w:b/>
          <w:bCs/>
          <w:szCs w:val="21"/>
          <w:highlight w:val="none"/>
        </w:rPr>
        <w:t>(A)</w:t>
      </w:r>
      <w:r>
        <w:rPr>
          <w:rFonts w:ascii="Times New Roman" w:hAnsi="Times New Roman" w:cs="Times New Roman"/>
          <w:szCs w:val="21"/>
          <w:highlight w:val="none"/>
        </w:rPr>
        <w:t xml:space="preserve"> Differential relative miRNA expression of miR-222-3p in four OC cell lines</w:t>
      </w:r>
      <w:r>
        <w:rPr>
          <w:rFonts w:hint="eastAsia" w:ascii="Times New Roman" w:hAnsi="Times New Roman" w:cs="Times New Roman"/>
          <w:szCs w:val="21"/>
          <w:highlight w:val="none"/>
        </w:rPr>
        <w:t xml:space="preserve">. </w:t>
      </w:r>
      <w:r>
        <w:rPr>
          <w:rFonts w:ascii="Times New Roman" w:hAnsi="Times New Roman" w:cs="Times New Roman"/>
          <w:b/>
          <w:bCs/>
          <w:szCs w:val="21"/>
          <w:highlight w:val="none"/>
        </w:rPr>
        <w:t>(</w:t>
      </w:r>
      <w:r>
        <w:rPr>
          <w:rFonts w:hint="eastAsia" w:ascii="Times New Roman" w:hAnsi="Times New Roman" w:cs="Times New Roman"/>
          <w:b/>
          <w:bCs/>
          <w:szCs w:val="21"/>
          <w:highlight w:val="none"/>
        </w:rPr>
        <w:t>B, C</w:t>
      </w:r>
      <w:r>
        <w:rPr>
          <w:rFonts w:ascii="Times New Roman" w:hAnsi="Times New Roman" w:cs="Times New Roman"/>
          <w:b/>
          <w:bCs/>
          <w:szCs w:val="21"/>
          <w:highlight w:val="none"/>
        </w:rPr>
        <w:t>)</w:t>
      </w:r>
      <w:r>
        <w:rPr>
          <w:rFonts w:ascii="Times New Roman" w:hAnsi="Times New Roman" w:cs="Times New Roman"/>
          <w:szCs w:val="21"/>
          <w:highlight w:val="none"/>
        </w:rPr>
        <w:t xml:space="preserve"> </w:t>
      </w:r>
      <w:r>
        <w:rPr>
          <w:rFonts w:hint="eastAsia" w:ascii="Times New Roman" w:hAnsi="Times New Roman" w:cs="Times New Roman"/>
          <w:szCs w:val="21"/>
          <w:highlight w:val="none"/>
        </w:rPr>
        <w:t xml:space="preserve">CCK-8 </w:t>
      </w:r>
      <w:r>
        <w:rPr>
          <w:rFonts w:ascii="Times New Roman" w:hAnsi="Times New Roman" w:cs="Times New Roman"/>
          <w:szCs w:val="21"/>
          <w:highlight w:val="none"/>
        </w:rPr>
        <w:t>assay</w:t>
      </w:r>
      <w:r>
        <w:rPr>
          <w:rFonts w:hint="eastAsia" w:ascii="Times New Roman" w:hAnsi="Times New Roman" w:cs="Times New Roman"/>
          <w:szCs w:val="21"/>
          <w:highlight w:val="none"/>
        </w:rPr>
        <w:t xml:space="preserve">s </w:t>
      </w:r>
      <w:r>
        <w:rPr>
          <w:rFonts w:ascii="Times New Roman" w:hAnsi="Times New Roman" w:cs="Times New Roman"/>
          <w:b/>
          <w:bCs/>
          <w:szCs w:val="21"/>
          <w:highlight w:val="none"/>
        </w:rPr>
        <w:t>(</w:t>
      </w:r>
      <w:r>
        <w:rPr>
          <w:rFonts w:hint="eastAsia" w:ascii="Times New Roman" w:hAnsi="Times New Roman" w:cs="Times New Roman"/>
          <w:b/>
          <w:bCs/>
          <w:szCs w:val="21"/>
          <w:highlight w:val="none"/>
        </w:rPr>
        <w:t>B</w:t>
      </w:r>
      <w:r>
        <w:rPr>
          <w:rFonts w:ascii="Times New Roman" w:hAnsi="Times New Roman" w:cs="Times New Roman"/>
          <w:b/>
          <w:bCs/>
          <w:szCs w:val="21"/>
          <w:highlight w:val="none"/>
        </w:rPr>
        <w:t>)</w:t>
      </w:r>
      <w:r>
        <w:rPr>
          <w:rFonts w:hint="eastAsia" w:ascii="Times New Roman" w:hAnsi="Times New Roman" w:cs="Times New Roman"/>
          <w:szCs w:val="21"/>
          <w:highlight w:val="none"/>
        </w:rPr>
        <w:t xml:space="preserve"> and F</w:t>
      </w:r>
      <w:r>
        <w:rPr>
          <w:rFonts w:ascii="Times New Roman" w:hAnsi="Times New Roman" w:cs="Times New Roman"/>
          <w:szCs w:val="21"/>
          <w:highlight w:val="none"/>
        </w:rPr>
        <w:t>low cytometry assays</w:t>
      </w:r>
      <w:r>
        <w:rPr>
          <w:rFonts w:hint="eastAsia" w:ascii="Times New Roman" w:hAnsi="Times New Roman" w:cs="Times New Roman"/>
          <w:szCs w:val="21"/>
          <w:highlight w:val="none"/>
        </w:rPr>
        <w:t xml:space="preserve"> </w:t>
      </w:r>
      <w:r>
        <w:rPr>
          <w:rFonts w:ascii="Times New Roman" w:hAnsi="Times New Roman" w:cs="Times New Roman"/>
          <w:b/>
          <w:bCs/>
          <w:szCs w:val="21"/>
          <w:highlight w:val="none"/>
        </w:rPr>
        <w:t>(</w:t>
      </w:r>
      <w:r>
        <w:rPr>
          <w:rFonts w:hint="eastAsia" w:ascii="Times New Roman" w:hAnsi="Times New Roman" w:cs="Times New Roman"/>
          <w:b/>
          <w:bCs/>
          <w:szCs w:val="21"/>
          <w:highlight w:val="none"/>
        </w:rPr>
        <w:t xml:space="preserve">C) </w:t>
      </w:r>
      <w:r>
        <w:rPr>
          <w:rFonts w:ascii="Times New Roman" w:hAnsi="Times New Roman" w:cs="Times New Roman"/>
          <w:szCs w:val="21"/>
          <w:highlight w:val="none"/>
        </w:rPr>
        <w:t>revealed that miR-222-3p could affect the proliferation of OC</w:t>
      </w:r>
      <w:r>
        <w:rPr>
          <w:rFonts w:hint="eastAsia" w:ascii="Times New Roman" w:hAnsi="Times New Roman" w:cs="Times New Roman"/>
          <w:szCs w:val="21"/>
          <w:highlight w:val="none"/>
        </w:rPr>
        <w:t xml:space="preserve"> (HO-8910 PM, HO 8910)</w:t>
      </w:r>
      <w:r>
        <w:rPr>
          <w:rFonts w:ascii="Times New Roman" w:hAnsi="Times New Roman" w:cs="Times New Roman"/>
          <w:szCs w:val="21"/>
          <w:highlight w:val="none"/>
        </w:rPr>
        <w:t xml:space="preserve"> cells. </w:t>
      </w:r>
      <w:r>
        <w:rPr>
          <w:rFonts w:ascii="Times New Roman" w:hAnsi="Times New Roman" w:cs="Times New Roman"/>
          <w:b/>
          <w:bCs/>
          <w:szCs w:val="21"/>
          <w:highlight w:val="none"/>
        </w:rPr>
        <w:t>(</w:t>
      </w:r>
      <w:r>
        <w:rPr>
          <w:rFonts w:hint="eastAsia" w:ascii="Times New Roman" w:hAnsi="Times New Roman" w:cs="Times New Roman"/>
          <w:b/>
          <w:bCs/>
          <w:szCs w:val="21"/>
          <w:highlight w:val="none"/>
        </w:rPr>
        <w:t>D</w:t>
      </w:r>
      <w:r>
        <w:rPr>
          <w:rFonts w:ascii="Times New Roman" w:hAnsi="Times New Roman" w:cs="Times New Roman"/>
          <w:b/>
          <w:bCs/>
          <w:szCs w:val="21"/>
          <w:highlight w:val="none"/>
        </w:rPr>
        <w:t>)</w:t>
      </w:r>
      <w:r>
        <w:rPr>
          <w:rFonts w:ascii="Times New Roman" w:hAnsi="Times New Roman" w:cs="Times New Roman"/>
          <w:szCs w:val="21"/>
          <w:highlight w:val="none"/>
        </w:rPr>
        <w:t xml:space="preserve"> </w:t>
      </w:r>
      <w:bookmarkStart w:id="16" w:name="OLE_LINK119"/>
      <w:r>
        <w:rPr>
          <w:rFonts w:ascii="Times New Roman" w:hAnsi="Times New Roman" w:cs="Times New Roman"/>
          <w:szCs w:val="21"/>
          <w:highlight w:val="none"/>
        </w:rPr>
        <w:t>Transwell assay</w:t>
      </w:r>
      <w:r>
        <w:rPr>
          <w:rFonts w:hint="eastAsia" w:ascii="Times New Roman" w:hAnsi="Times New Roman" w:cs="Times New Roman"/>
          <w:szCs w:val="21"/>
          <w:highlight w:val="none"/>
        </w:rPr>
        <w:t>s</w:t>
      </w:r>
      <w:r>
        <w:rPr>
          <w:rFonts w:ascii="Times New Roman" w:hAnsi="Times New Roman" w:cs="Times New Roman"/>
          <w:szCs w:val="21"/>
          <w:highlight w:val="none"/>
        </w:rPr>
        <w:t xml:space="preserve"> </w:t>
      </w:r>
      <w:bookmarkEnd w:id="16"/>
      <w:r>
        <w:rPr>
          <w:rFonts w:ascii="Times New Roman" w:hAnsi="Times New Roman" w:cs="Times New Roman"/>
          <w:szCs w:val="21"/>
          <w:highlight w:val="none"/>
        </w:rPr>
        <w:t>revealed that miR-222-3p could affect the migration of OC cells. 100×microscopic view of the bar, 100 µm.</w:t>
      </w:r>
      <w:r>
        <w:rPr>
          <w:rFonts w:hint="eastAsia" w:ascii="Times New Roman" w:hAnsi="Times New Roman" w:cs="Times New Roman"/>
          <w:szCs w:val="21"/>
          <w:highlight w:val="none"/>
        </w:rPr>
        <w:t xml:space="preserve"> </w:t>
      </w:r>
      <w:r>
        <w:rPr>
          <w:rFonts w:ascii="Times New Roman" w:hAnsi="Times New Roman" w:cs="Times New Roman"/>
          <w:szCs w:val="21"/>
          <w:highlight w:val="none"/>
        </w:rPr>
        <w:t xml:space="preserve">All data </w:t>
      </w:r>
      <w:r>
        <w:rPr>
          <w:rFonts w:ascii="Times New Roman" w:hAnsi="Times New Roman" w:cs="Times New Roman"/>
          <w:b/>
          <w:bCs/>
          <w:szCs w:val="21"/>
          <w:highlight w:val="none"/>
        </w:rPr>
        <w:t>(</w:t>
      </w:r>
      <w:r>
        <w:rPr>
          <w:rFonts w:hint="eastAsia" w:ascii="Times New Roman" w:hAnsi="Times New Roman" w:cs="Times New Roman"/>
          <w:b/>
          <w:bCs/>
          <w:szCs w:val="21"/>
          <w:highlight w:val="none"/>
        </w:rPr>
        <w:t>B</w:t>
      </w:r>
      <w:r>
        <w:rPr>
          <w:rFonts w:ascii="Times New Roman" w:hAnsi="Times New Roman" w:cs="Times New Roman"/>
          <w:b/>
          <w:bCs/>
          <w:szCs w:val="21"/>
          <w:highlight w:val="none"/>
        </w:rPr>
        <w:t>-</w:t>
      </w:r>
      <w:r>
        <w:rPr>
          <w:rFonts w:hint="eastAsia" w:ascii="Times New Roman" w:hAnsi="Times New Roman" w:cs="Times New Roman"/>
          <w:b/>
          <w:bCs/>
          <w:szCs w:val="21"/>
          <w:highlight w:val="none"/>
        </w:rPr>
        <w:t>D</w:t>
      </w:r>
      <w:r>
        <w:rPr>
          <w:rFonts w:ascii="Times New Roman" w:hAnsi="Times New Roman" w:cs="Times New Roman"/>
          <w:b/>
          <w:bCs/>
          <w:szCs w:val="21"/>
          <w:highlight w:val="none"/>
        </w:rPr>
        <w:t>)</w:t>
      </w:r>
      <w:r>
        <w:rPr>
          <w:rFonts w:hint="eastAsia" w:ascii="Times New Roman" w:hAnsi="Times New Roman" w:cs="Times New Roman"/>
          <w:b/>
          <w:bCs/>
          <w:szCs w:val="21"/>
          <w:highlight w:val="none"/>
        </w:rPr>
        <w:t xml:space="preserve"> </w:t>
      </w:r>
      <w:r>
        <w:rPr>
          <w:rFonts w:ascii="Times New Roman" w:hAnsi="Times New Roman" w:cs="Times New Roman"/>
          <w:szCs w:val="21"/>
          <w:highlight w:val="none"/>
        </w:rPr>
        <w:t>represent the mean ± SD in different assays</w:t>
      </w:r>
      <w:r>
        <w:rPr>
          <w:rFonts w:hint="eastAsia" w:ascii="Times New Roman" w:hAnsi="Times New Roman" w:cs="Times New Roman"/>
          <w:szCs w:val="21"/>
          <w:highlight w:val="none"/>
        </w:rPr>
        <w:t>, revealed by unpaired two-tailed t-test</w:t>
      </w:r>
      <w:r>
        <w:rPr>
          <w:rFonts w:ascii="Times New Roman" w:hAnsi="Times New Roman" w:cs="Times New Roman"/>
          <w:szCs w:val="21"/>
          <w:highlight w:val="none"/>
        </w:rPr>
        <w:t>.</w:t>
      </w:r>
    </w:p>
    <w:p>
      <w:pPr>
        <w:spacing w:before="156" w:beforeLines="50" w:after="156" w:afterLines="50" w:line="480" w:lineRule="auto"/>
        <w:rPr>
          <w:rFonts w:hint="eastAsia" w:ascii="Times New Roman" w:hAnsi="Times New Roman" w:cs="Times New Roman" w:eastAsiaTheme="minorEastAsia"/>
          <w:b/>
          <w:bCs/>
          <w:szCs w:val="21"/>
          <w:highlight w:val="none"/>
          <w:lang w:eastAsia="zh-CN"/>
        </w:rPr>
      </w:pPr>
      <w:r>
        <w:rPr>
          <w:rFonts w:hint="eastAsia" w:ascii="Times New Roman" w:hAnsi="Times New Roman" w:cs="Times New Roman" w:eastAsiaTheme="minorEastAsia"/>
          <w:b/>
          <w:bCs/>
          <w:szCs w:val="21"/>
          <w:highlight w:val="none"/>
          <w:lang w:eastAsia="zh-CN"/>
        </w:rPr>
        <w:drawing>
          <wp:inline distT="0" distB="0" distL="114300" distR="114300">
            <wp:extent cx="5273040" cy="4977765"/>
            <wp:effectExtent l="0" t="0" r="0" b="5715"/>
            <wp:docPr id="6" name="图片 6" descr="FS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FS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977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156" w:beforeLines="50" w:after="156" w:afterLines="50" w:line="480" w:lineRule="auto"/>
        <w:rPr>
          <w:rFonts w:ascii="Times New Roman" w:hAnsi="Times New Roman" w:cs="Times New Roman"/>
          <w:szCs w:val="21"/>
          <w:highlight w:val="none"/>
        </w:rPr>
      </w:pPr>
      <w:r>
        <w:rPr>
          <w:rFonts w:ascii="Times New Roman" w:hAnsi="Times New Roman" w:cs="Times New Roman"/>
          <w:b/>
          <w:bCs/>
          <w:szCs w:val="21"/>
          <w:highlight w:val="none"/>
        </w:rPr>
        <w:t xml:space="preserve">Fig. S2 </w:t>
      </w:r>
      <w:r>
        <w:rPr>
          <w:rFonts w:hint="eastAsia" w:ascii="Times New Roman" w:hAnsi="Times New Roman" w:cs="Times New Roman"/>
          <w:b/>
          <w:bCs/>
          <w:szCs w:val="21"/>
          <w:highlight w:val="none"/>
        </w:rPr>
        <w:t>CDK19 was highly expressed in OC cells and promoted the proliferation of OC cells</w:t>
      </w:r>
      <w:r>
        <w:rPr>
          <w:rFonts w:ascii="Times New Roman" w:hAnsi="Times New Roman" w:cs="Times New Roman"/>
          <w:b/>
          <w:bCs/>
          <w:szCs w:val="21"/>
          <w:highlight w:val="none"/>
        </w:rPr>
        <w:t>.</w:t>
      </w:r>
    </w:p>
    <w:p>
      <w:pPr>
        <w:spacing w:before="156" w:beforeLines="50" w:after="156" w:afterLines="50" w:line="480" w:lineRule="auto"/>
        <w:rPr>
          <w:rFonts w:ascii="Times New Roman" w:hAnsi="Times New Roman" w:cs="Times New Roman"/>
          <w:szCs w:val="21"/>
          <w:highlight w:val="none"/>
        </w:rPr>
      </w:pPr>
      <w:bookmarkStart w:id="17" w:name="OLE_LINK1"/>
      <w:r>
        <w:rPr>
          <w:rFonts w:ascii="Times New Roman" w:hAnsi="Times New Roman" w:cs="Times New Roman"/>
          <w:b/>
          <w:bCs/>
          <w:szCs w:val="21"/>
          <w:highlight w:val="none"/>
        </w:rPr>
        <w:t>(A)</w:t>
      </w:r>
      <w:r>
        <w:rPr>
          <w:rFonts w:ascii="Times New Roman" w:hAnsi="Times New Roman" w:cs="Times New Roman"/>
          <w:szCs w:val="21"/>
          <w:highlight w:val="none"/>
        </w:rPr>
        <w:t xml:space="preserve"> qPCR and </w:t>
      </w:r>
      <w:bookmarkStart w:id="18" w:name="OLE_LINK117"/>
      <w:r>
        <w:rPr>
          <w:rFonts w:ascii="Times New Roman" w:hAnsi="Times New Roman" w:cs="Times New Roman"/>
          <w:szCs w:val="21"/>
          <w:highlight w:val="none"/>
        </w:rPr>
        <w:t>Western blotting</w:t>
      </w:r>
      <w:bookmarkEnd w:id="18"/>
      <w:r>
        <w:rPr>
          <w:rFonts w:ascii="Times New Roman" w:hAnsi="Times New Roman" w:cs="Times New Roman"/>
          <w:szCs w:val="21"/>
          <w:highlight w:val="none"/>
        </w:rPr>
        <w:t xml:space="preserve"> </w:t>
      </w:r>
      <w:bookmarkStart w:id="19" w:name="OLE_LINK116"/>
      <w:r>
        <w:rPr>
          <w:rFonts w:ascii="Times New Roman" w:hAnsi="Times New Roman" w:cs="Times New Roman"/>
          <w:szCs w:val="21"/>
          <w:highlight w:val="none"/>
        </w:rPr>
        <w:t>analyses</w:t>
      </w:r>
      <w:bookmarkEnd w:id="19"/>
      <w:r>
        <w:rPr>
          <w:rFonts w:ascii="Times New Roman" w:hAnsi="Times New Roman" w:cs="Times New Roman"/>
          <w:szCs w:val="21"/>
          <w:highlight w:val="none"/>
        </w:rPr>
        <w:t xml:space="preserve"> of CDK19 levels in IOSE and four OC cell lines</w:t>
      </w:r>
      <w:r>
        <w:rPr>
          <w:rFonts w:hint="eastAsia" w:ascii="Times New Roman" w:hAnsi="Times New Roman" w:cs="Times New Roman"/>
          <w:szCs w:val="21"/>
          <w:highlight w:val="none"/>
        </w:rPr>
        <w:t xml:space="preserve">. </w:t>
      </w:r>
      <w:r>
        <w:rPr>
          <w:rFonts w:ascii="Times New Roman" w:hAnsi="Times New Roman" w:cs="Times New Roman"/>
          <w:b/>
          <w:bCs/>
          <w:szCs w:val="21"/>
          <w:highlight w:val="none"/>
        </w:rPr>
        <w:t>(</w:t>
      </w:r>
      <w:r>
        <w:rPr>
          <w:rFonts w:hint="eastAsia" w:ascii="Times New Roman" w:hAnsi="Times New Roman" w:cs="Times New Roman"/>
          <w:b/>
          <w:bCs/>
          <w:szCs w:val="21"/>
          <w:highlight w:val="none"/>
        </w:rPr>
        <w:t>B</w:t>
      </w:r>
      <w:r>
        <w:rPr>
          <w:rFonts w:ascii="Times New Roman" w:hAnsi="Times New Roman" w:cs="Times New Roman"/>
          <w:b/>
          <w:bCs/>
          <w:szCs w:val="21"/>
          <w:highlight w:val="none"/>
        </w:rPr>
        <w:t>)</w:t>
      </w:r>
      <w:r>
        <w:rPr>
          <w:rFonts w:ascii="Times New Roman" w:hAnsi="Times New Roman" w:cs="Times New Roman"/>
          <w:szCs w:val="21"/>
          <w:highlight w:val="none"/>
        </w:rPr>
        <w:t xml:space="preserve"> Western blotting analyses were used to detect CDK19 protein levels after transfection with miR-222-3p mimic or inhibitor in HO-8910 PM cells</w:t>
      </w:r>
      <w:r>
        <w:rPr>
          <w:rFonts w:hint="eastAsia" w:ascii="Times New Roman" w:hAnsi="Times New Roman" w:cs="Times New Roman"/>
          <w:szCs w:val="21"/>
          <w:highlight w:val="none"/>
        </w:rPr>
        <w:t xml:space="preserve"> or HO 8910 </w:t>
      </w:r>
      <w:r>
        <w:rPr>
          <w:rFonts w:ascii="Times New Roman" w:hAnsi="Times New Roman" w:cs="Times New Roman"/>
          <w:szCs w:val="21"/>
          <w:highlight w:val="none"/>
        </w:rPr>
        <w:t>cells, respectively.</w:t>
      </w:r>
      <w:r>
        <w:rPr>
          <w:rFonts w:hint="eastAsia" w:ascii="Times New Roman" w:hAnsi="Times New Roman" w:cs="Times New Roman"/>
          <w:szCs w:val="21"/>
          <w:highlight w:val="none"/>
        </w:rPr>
        <w:t xml:space="preserve"> </w:t>
      </w:r>
      <w:r>
        <w:rPr>
          <w:rFonts w:ascii="Times New Roman" w:hAnsi="Times New Roman" w:cs="Times New Roman"/>
          <w:b/>
          <w:bCs/>
          <w:szCs w:val="21"/>
          <w:highlight w:val="none"/>
        </w:rPr>
        <w:t>(</w:t>
      </w:r>
      <w:r>
        <w:rPr>
          <w:rFonts w:hint="eastAsia" w:ascii="Times New Roman" w:hAnsi="Times New Roman" w:cs="Times New Roman"/>
          <w:b/>
          <w:bCs/>
          <w:szCs w:val="21"/>
          <w:highlight w:val="none"/>
        </w:rPr>
        <w:t>C</w:t>
      </w:r>
      <w:r>
        <w:rPr>
          <w:rFonts w:ascii="Times New Roman" w:hAnsi="Times New Roman" w:cs="Times New Roman"/>
          <w:b/>
          <w:bCs/>
          <w:szCs w:val="21"/>
          <w:highlight w:val="none"/>
        </w:rPr>
        <w:t>)</w:t>
      </w:r>
      <w:r>
        <w:rPr>
          <w:rFonts w:ascii="Times New Roman" w:hAnsi="Times New Roman" w:cs="Times New Roman"/>
          <w:szCs w:val="21"/>
          <w:highlight w:val="none"/>
        </w:rPr>
        <w:t xml:space="preserve"> Meta-analysis describing forest plots of CDK19 expression as univariate.</w:t>
      </w:r>
      <w:r>
        <w:rPr>
          <w:rFonts w:hint="eastAsia" w:ascii="Times New Roman" w:hAnsi="Times New Roman" w:cs="Times New Roman"/>
          <w:szCs w:val="21"/>
          <w:highlight w:val="none"/>
        </w:rPr>
        <w:t xml:space="preserve"> </w:t>
      </w:r>
      <w:bookmarkEnd w:id="17"/>
      <w:r>
        <w:rPr>
          <w:rFonts w:ascii="Times New Roman" w:hAnsi="Times New Roman" w:cs="Times New Roman"/>
          <w:b/>
          <w:bCs/>
          <w:szCs w:val="21"/>
          <w:highlight w:val="none"/>
        </w:rPr>
        <w:t>(</w:t>
      </w:r>
      <w:r>
        <w:rPr>
          <w:rFonts w:hint="eastAsia" w:ascii="Times New Roman" w:hAnsi="Times New Roman" w:cs="Times New Roman"/>
          <w:b/>
          <w:bCs/>
          <w:szCs w:val="21"/>
          <w:highlight w:val="none"/>
        </w:rPr>
        <w:t>D</w:t>
      </w:r>
      <w:r>
        <w:rPr>
          <w:rFonts w:ascii="Times New Roman" w:hAnsi="Times New Roman" w:cs="Times New Roman"/>
          <w:b/>
          <w:bCs/>
          <w:szCs w:val="21"/>
          <w:highlight w:val="none"/>
        </w:rPr>
        <w:t>)</w:t>
      </w:r>
      <w:r>
        <w:rPr>
          <w:rFonts w:ascii="Times New Roman" w:hAnsi="Times New Roman" w:cs="Times New Roman"/>
          <w:szCs w:val="21"/>
          <w:highlight w:val="none"/>
        </w:rPr>
        <w:t xml:space="preserve"> Representative images of CDK19 expression in normal and tumor ovary tissues. Bar, 100 µm (Left) and 30 µm (Right).</w:t>
      </w:r>
      <w:r>
        <w:rPr>
          <w:rFonts w:hint="eastAsia" w:ascii="Times New Roman" w:hAnsi="Times New Roman" w:cs="Times New Roman"/>
          <w:szCs w:val="21"/>
          <w:highlight w:val="none"/>
        </w:rPr>
        <w:t xml:space="preserve"> </w:t>
      </w:r>
      <w:r>
        <w:rPr>
          <w:rFonts w:ascii="Times New Roman" w:hAnsi="Times New Roman" w:cs="Times New Roman"/>
          <w:b/>
          <w:bCs/>
          <w:szCs w:val="21"/>
          <w:highlight w:val="none"/>
        </w:rPr>
        <w:t>(</w:t>
      </w:r>
      <w:r>
        <w:rPr>
          <w:rFonts w:hint="eastAsia" w:ascii="Times New Roman" w:hAnsi="Times New Roman" w:cs="Times New Roman"/>
          <w:b/>
          <w:bCs/>
          <w:szCs w:val="21"/>
          <w:highlight w:val="none"/>
        </w:rPr>
        <w:t>E</w:t>
      </w:r>
      <w:r>
        <w:rPr>
          <w:rFonts w:ascii="Times New Roman" w:hAnsi="Times New Roman" w:cs="Times New Roman"/>
          <w:b/>
          <w:bCs/>
          <w:szCs w:val="21"/>
          <w:highlight w:val="none"/>
        </w:rPr>
        <w:t>)</w:t>
      </w:r>
      <w:r>
        <w:rPr>
          <w:rFonts w:ascii="Times New Roman" w:hAnsi="Times New Roman" w:cs="Times New Roman"/>
          <w:szCs w:val="21"/>
          <w:highlight w:val="none"/>
        </w:rPr>
        <w:t xml:space="preserve"> The proliferation ability of </w:t>
      </w:r>
      <w:bookmarkStart w:id="20" w:name="OLE_LINK6"/>
      <w:r>
        <w:rPr>
          <w:rFonts w:hint="eastAsia" w:ascii="Times New Roman" w:hAnsi="Times New Roman" w:cs="Times New Roman"/>
          <w:szCs w:val="21"/>
          <w:highlight w:val="none"/>
        </w:rPr>
        <w:t>OVCAR3</w:t>
      </w:r>
      <w:r>
        <w:rPr>
          <w:rFonts w:ascii="Times New Roman" w:hAnsi="Times New Roman" w:cs="Times New Roman"/>
          <w:szCs w:val="21"/>
          <w:highlight w:val="none"/>
        </w:rPr>
        <w:t xml:space="preserve"> </w:t>
      </w:r>
      <w:r>
        <w:rPr>
          <w:rFonts w:hint="eastAsia" w:ascii="Times New Roman" w:hAnsi="Times New Roman" w:cs="Times New Roman"/>
          <w:szCs w:val="21"/>
          <w:highlight w:val="none"/>
        </w:rPr>
        <w:t>after CDK19 transfection</w:t>
      </w:r>
      <w:bookmarkEnd w:id="20"/>
      <w:r>
        <w:rPr>
          <w:rFonts w:ascii="Times New Roman" w:hAnsi="Times New Roman" w:cs="Times New Roman"/>
          <w:szCs w:val="21"/>
          <w:highlight w:val="none"/>
        </w:rPr>
        <w:t xml:space="preserve"> was assessed by the </w:t>
      </w:r>
      <w:r>
        <w:rPr>
          <w:rFonts w:hint="eastAsia" w:ascii="Times New Roman" w:hAnsi="Times New Roman" w:cs="Times New Roman"/>
          <w:szCs w:val="21"/>
          <w:highlight w:val="none"/>
        </w:rPr>
        <w:t>EdU assays</w:t>
      </w:r>
      <w:r>
        <w:rPr>
          <w:rFonts w:ascii="Times New Roman" w:hAnsi="Times New Roman" w:cs="Times New Roman"/>
          <w:szCs w:val="21"/>
          <w:highlight w:val="none"/>
        </w:rPr>
        <w:t>,</w:t>
      </w:r>
      <w:r>
        <w:rPr>
          <w:rFonts w:hint="eastAsia" w:ascii="Times New Roman" w:hAnsi="Times New Roman" w:cs="Times New Roman"/>
          <w:szCs w:val="21"/>
          <w:highlight w:val="none"/>
        </w:rPr>
        <w:t xml:space="preserve"> the results were determined by an unpaired two-tailed t-test</w:t>
      </w:r>
      <w:r>
        <w:rPr>
          <w:rFonts w:ascii="Times New Roman" w:hAnsi="Times New Roman" w:cs="Times New Roman"/>
          <w:szCs w:val="21"/>
          <w:highlight w:val="none"/>
        </w:rPr>
        <w:t>.</w:t>
      </w:r>
      <w:r>
        <w:rPr>
          <w:rFonts w:hint="eastAsia" w:ascii="Times New Roman" w:hAnsi="Times New Roman" w:cs="Times New Roman"/>
          <w:szCs w:val="21"/>
          <w:highlight w:val="none"/>
        </w:rPr>
        <w:t xml:space="preserve"> </w:t>
      </w:r>
      <w:r>
        <w:rPr>
          <w:rFonts w:ascii="Times New Roman" w:hAnsi="Times New Roman" w:cs="Times New Roman"/>
          <w:b/>
          <w:bCs/>
          <w:szCs w:val="21"/>
          <w:highlight w:val="none"/>
        </w:rPr>
        <w:t>(</w:t>
      </w:r>
      <w:r>
        <w:rPr>
          <w:rFonts w:hint="eastAsia" w:ascii="Times New Roman" w:hAnsi="Times New Roman" w:cs="Times New Roman"/>
          <w:b/>
          <w:bCs/>
          <w:szCs w:val="21"/>
          <w:highlight w:val="none"/>
        </w:rPr>
        <w:t>F, G</w:t>
      </w:r>
      <w:r>
        <w:rPr>
          <w:rFonts w:ascii="Times New Roman" w:hAnsi="Times New Roman" w:cs="Times New Roman"/>
          <w:b/>
          <w:bCs/>
          <w:szCs w:val="21"/>
          <w:highlight w:val="none"/>
        </w:rPr>
        <w:t>)</w:t>
      </w:r>
      <w:r>
        <w:rPr>
          <w:rFonts w:ascii="Times New Roman" w:hAnsi="Times New Roman" w:cs="Times New Roman"/>
          <w:szCs w:val="21"/>
          <w:highlight w:val="none"/>
        </w:rPr>
        <w:t xml:space="preserve"> The</w:t>
      </w:r>
      <w:r>
        <w:rPr>
          <w:rFonts w:hint="eastAsia" w:ascii="Times New Roman" w:hAnsi="Times New Roman" w:cs="Times New Roman"/>
          <w:szCs w:val="21"/>
          <w:highlight w:val="none"/>
        </w:rPr>
        <w:t xml:space="preserve"> </w:t>
      </w:r>
      <w:r>
        <w:rPr>
          <w:rFonts w:ascii="Times New Roman" w:hAnsi="Times New Roman" w:cs="Times New Roman"/>
          <w:szCs w:val="21"/>
          <w:highlight w:val="none"/>
        </w:rPr>
        <w:t>colony formation assay</w:t>
      </w:r>
      <w:r>
        <w:rPr>
          <w:rFonts w:hint="eastAsia" w:ascii="Times New Roman" w:hAnsi="Times New Roman" w:cs="Times New Roman"/>
          <w:szCs w:val="21"/>
          <w:highlight w:val="none"/>
        </w:rPr>
        <w:t xml:space="preserve"> </w:t>
      </w:r>
      <w:r>
        <w:rPr>
          <w:rFonts w:ascii="Times New Roman" w:hAnsi="Times New Roman" w:cs="Times New Roman"/>
          <w:b/>
          <w:bCs/>
          <w:szCs w:val="21"/>
          <w:highlight w:val="none"/>
        </w:rPr>
        <w:t>(</w:t>
      </w:r>
      <w:r>
        <w:rPr>
          <w:rFonts w:hint="eastAsia" w:ascii="Times New Roman" w:hAnsi="Times New Roman" w:cs="Times New Roman"/>
          <w:b/>
          <w:bCs/>
          <w:szCs w:val="21"/>
          <w:highlight w:val="none"/>
        </w:rPr>
        <w:t>F</w:t>
      </w:r>
      <w:r>
        <w:rPr>
          <w:rFonts w:ascii="Times New Roman" w:hAnsi="Times New Roman" w:cs="Times New Roman"/>
          <w:b/>
          <w:bCs/>
          <w:szCs w:val="21"/>
          <w:highlight w:val="none"/>
        </w:rPr>
        <w:t>)</w:t>
      </w:r>
      <w:r>
        <w:rPr>
          <w:rFonts w:hint="eastAsia" w:ascii="Times New Roman" w:hAnsi="Times New Roman" w:cs="Times New Roman"/>
          <w:szCs w:val="21"/>
          <w:highlight w:val="none"/>
        </w:rPr>
        <w:t xml:space="preserve"> and </w:t>
      </w:r>
      <w:r>
        <w:rPr>
          <w:rFonts w:ascii="Times New Roman" w:hAnsi="Times New Roman" w:cs="Times New Roman"/>
          <w:szCs w:val="21"/>
          <w:highlight w:val="none"/>
        </w:rPr>
        <w:t xml:space="preserve">flow cytometry assay </w:t>
      </w:r>
      <w:r>
        <w:rPr>
          <w:rFonts w:ascii="Times New Roman" w:hAnsi="Times New Roman" w:cs="Times New Roman"/>
          <w:b/>
          <w:bCs/>
          <w:szCs w:val="21"/>
          <w:highlight w:val="none"/>
        </w:rPr>
        <w:t>(</w:t>
      </w:r>
      <w:r>
        <w:rPr>
          <w:rFonts w:hint="eastAsia" w:ascii="Times New Roman" w:hAnsi="Times New Roman" w:cs="Times New Roman"/>
          <w:b/>
          <w:bCs/>
          <w:szCs w:val="21"/>
          <w:highlight w:val="none"/>
        </w:rPr>
        <w:t>G</w:t>
      </w:r>
      <w:r>
        <w:rPr>
          <w:rFonts w:ascii="Times New Roman" w:hAnsi="Times New Roman" w:cs="Times New Roman"/>
          <w:b/>
          <w:bCs/>
          <w:szCs w:val="21"/>
          <w:highlight w:val="none"/>
        </w:rPr>
        <w:t>)</w:t>
      </w:r>
      <w:r>
        <w:rPr>
          <w:rFonts w:hint="eastAsia" w:ascii="Times New Roman" w:hAnsi="Times New Roman" w:cs="Times New Roman"/>
          <w:b/>
          <w:bCs/>
          <w:szCs w:val="21"/>
          <w:highlight w:val="none"/>
        </w:rPr>
        <w:t xml:space="preserve"> </w:t>
      </w:r>
      <w:r>
        <w:rPr>
          <w:rFonts w:ascii="Times New Roman" w:hAnsi="Times New Roman" w:cs="Times New Roman"/>
          <w:szCs w:val="21"/>
          <w:highlight w:val="none"/>
        </w:rPr>
        <w:t>revealed inhibition of proliferation when HO</w:t>
      </w:r>
      <w:r>
        <w:rPr>
          <w:rFonts w:hint="eastAsia" w:ascii="Times New Roman" w:hAnsi="Times New Roman" w:cs="Times New Roman"/>
          <w:szCs w:val="21"/>
          <w:highlight w:val="none"/>
        </w:rPr>
        <w:t>-</w:t>
      </w:r>
      <w:r>
        <w:rPr>
          <w:rFonts w:ascii="Times New Roman" w:hAnsi="Times New Roman" w:cs="Times New Roman"/>
          <w:szCs w:val="21"/>
          <w:highlight w:val="none"/>
        </w:rPr>
        <w:t xml:space="preserve">8910 PM cells were transfected with miR-222-3p mimic. Recovery assays showed that miR-222-3p suppressed the proliferation of </w:t>
      </w:r>
      <w:r>
        <w:rPr>
          <w:rFonts w:hint="eastAsia" w:ascii="Times New Roman" w:hAnsi="Times New Roman" w:cs="Times New Roman"/>
          <w:szCs w:val="21"/>
          <w:highlight w:val="none"/>
        </w:rPr>
        <w:t>HO-8910 PM</w:t>
      </w:r>
      <w:r>
        <w:rPr>
          <w:rFonts w:ascii="Times New Roman" w:hAnsi="Times New Roman" w:cs="Times New Roman"/>
          <w:szCs w:val="21"/>
          <w:highlight w:val="none"/>
        </w:rPr>
        <w:t xml:space="preserve"> cells due to its inhibitory effect on CDK19. </w:t>
      </w:r>
      <w:r>
        <w:rPr>
          <w:rFonts w:ascii="Times New Roman" w:hAnsi="Times New Roman" w:cs="Times New Roman"/>
          <w:b/>
          <w:bCs/>
          <w:szCs w:val="21"/>
          <w:highlight w:val="none"/>
        </w:rPr>
        <w:t>(</w:t>
      </w:r>
      <w:r>
        <w:rPr>
          <w:rFonts w:hint="eastAsia" w:ascii="Times New Roman" w:hAnsi="Times New Roman" w:cs="Times New Roman"/>
          <w:b/>
          <w:bCs/>
          <w:szCs w:val="21"/>
          <w:highlight w:val="none"/>
        </w:rPr>
        <w:t>H</w:t>
      </w:r>
      <w:r>
        <w:rPr>
          <w:rFonts w:ascii="Times New Roman" w:hAnsi="Times New Roman" w:cs="Times New Roman"/>
          <w:b/>
          <w:bCs/>
          <w:szCs w:val="21"/>
          <w:highlight w:val="none"/>
        </w:rPr>
        <w:t>)</w:t>
      </w:r>
      <w:r>
        <w:rPr>
          <w:rFonts w:ascii="Times New Roman" w:hAnsi="Times New Roman" w:cs="Times New Roman"/>
          <w:szCs w:val="21"/>
          <w:highlight w:val="none"/>
        </w:rPr>
        <w:t xml:space="preserve"> qPCR and Western blotting analyses of CDK19 expression levels in </w:t>
      </w:r>
      <w:r>
        <w:rPr>
          <w:rFonts w:hint="eastAsia" w:ascii="Times New Roman" w:hAnsi="Times New Roman" w:cs="Times New Roman"/>
          <w:szCs w:val="21"/>
          <w:highlight w:val="none"/>
        </w:rPr>
        <w:t>HO-8910 PM</w:t>
      </w:r>
      <w:r>
        <w:rPr>
          <w:rFonts w:ascii="Times New Roman" w:hAnsi="Times New Roman" w:cs="Times New Roman"/>
          <w:szCs w:val="21"/>
          <w:highlight w:val="none"/>
        </w:rPr>
        <w:t xml:space="preserve"> cells, and Image J calculated the relative expression rate. All data represent the mean ± SD in different assays. The results of </w:t>
      </w:r>
      <w:r>
        <w:rPr>
          <w:rFonts w:ascii="Times New Roman" w:hAnsi="Times New Roman" w:cs="Times New Roman"/>
          <w:b/>
          <w:bCs/>
          <w:szCs w:val="21"/>
          <w:highlight w:val="none"/>
        </w:rPr>
        <w:t xml:space="preserve">Fig. </w:t>
      </w:r>
      <w:r>
        <w:rPr>
          <w:rFonts w:hint="eastAsia" w:ascii="Times New Roman" w:hAnsi="Times New Roman" w:cs="Times New Roman"/>
          <w:b/>
          <w:bCs/>
          <w:szCs w:val="21"/>
          <w:highlight w:val="none"/>
        </w:rPr>
        <w:t>S</w:t>
      </w:r>
      <w:r>
        <w:rPr>
          <w:rFonts w:ascii="Times New Roman" w:hAnsi="Times New Roman" w:cs="Times New Roman"/>
          <w:b/>
          <w:bCs/>
          <w:szCs w:val="21"/>
          <w:highlight w:val="none"/>
        </w:rPr>
        <w:t>2</w:t>
      </w:r>
      <w:r>
        <w:rPr>
          <w:rFonts w:hint="eastAsia" w:ascii="Times New Roman" w:hAnsi="Times New Roman" w:cs="Times New Roman"/>
          <w:b/>
          <w:bCs/>
          <w:szCs w:val="21"/>
          <w:highlight w:val="none"/>
        </w:rPr>
        <w:t>F-H</w:t>
      </w:r>
      <w:r>
        <w:rPr>
          <w:rFonts w:ascii="Times New Roman" w:hAnsi="Times New Roman" w:cs="Times New Roman"/>
          <w:highlight w:val="none"/>
        </w:rPr>
        <w:t xml:space="preserve"> are presented as mean ± SD and determined by unpaired Two-way ANOVA</w:t>
      </w:r>
      <w:r>
        <w:rPr>
          <w:rFonts w:ascii="Times New Roman" w:hAnsi="Times New Roman" w:cs="Times New Roman"/>
          <w:szCs w:val="21"/>
          <w:highlight w:val="none"/>
        </w:rPr>
        <w:t xml:space="preserve">. </w:t>
      </w:r>
      <w:bookmarkStart w:id="21" w:name="OLE_LINK17"/>
      <w:r>
        <w:rPr>
          <w:rFonts w:ascii="Times New Roman" w:hAnsi="Times New Roman" w:cs="Times New Roman"/>
          <w:szCs w:val="21"/>
          <w:highlight w:val="none"/>
        </w:rPr>
        <w:t>*</w:t>
      </w:r>
      <w:r>
        <w:rPr>
          <w:rFonts w:ascii="Times New Roman" w:hAnsi="Times New Roman" w:cs="Times New Roman"/>
          <w:i/>
          <w:iCs/>
          <w:szCs w:val="21"/>
          <w:highlight w:val="none"/>
        </w:rPr>
        <w:t>p</w:t>
      </w:r>
      <w:r>
        <w:rPr>
          <w:rFonts w:ascii="Times New Roman" w:hAnsi="Times New Roman" w:cs="Times New Roman"/>
          <w:szCs w:val="21"/>
          <w:highlight w:val="none"/>
        </w:rPr>
        <w:t>&lt;0.05, **</w:t>
      </w:r>
      <w:r>
        <w:rPr>
          <w:rFonts w:ascii="Times New Roman" w:hAnsi="Times New Roman" w:cs="Times New Roman"/>
          <w:i/>
          <w:iCs/>
          <w:szCs w:val="21"/>
          <w:highlight w:val="none"/>
        </w:rPr>
        <w:t>p</w:t>
      </w:r>
      <w:r>
        <w:rPr>
          <w:rFonts w:ascii="Times New Roman" w:hAnsi="Times New Roman" w:cs="Times New Roman"/>
          <w:szCs w:val="21"/>
          <w:highlight w:val="none"/>
        </w:rPr>
        <w:t>&lt;0.01, ***</w:t>
      </w:r>
      <w:r>
        <w:rPr>
          <w:rFonts w:ascii="Times New Roman" w:hAnsi="Times New Roman" w:cs="Times New Roman"/>
          <w:i/>
          <w:iCs/>
          <w:szCs w:val="21"/>
          <w:highlight w:val="none"/>
        </w:rPr>
        <w:t>p</w:t>
      </w:r>
      <w:r>
        <w:rPr>
          <w:rFonts w:ascii="Times New Roman" w:hAnsi="Times New Roman" w:cs="Times New Roman"/>
          <w:szCs w:val="21"/>
          <w:highlight w:val="none"/>
        </w:rPr>
        <w:t>&lt;0.001, ****</w:t>
      </w:r>
      <w:r>
        <w:rPr>
          <w:rFonts w:ascii="Times New Roman" w:hAnsi="Times New Roman" w:cs="Times New Roman"/>
          <w:i/>
          <w:iCs/>
          <w:szCs w:val="21"/>
          <w:highlight w:val="none"/>
        </w:rPr>
        <w:t>p</w:t>
      </w:r>
      <w:r>
        <w:rPr>
          <w:rFonts w:ascii="Times New Roman" w:hAnsi="Times New Roman" w:cs="Times New Roman"/>
          <w:szCs w:val="21"/>
          <w:highlight w:val="none"/>
        </w:rPr>
        <w:t xml:space="preserve">&lt;0.0001. </w:t>
      </w:r>
      <w:bookmarkEnd w:id="21"/>
      <w:r>
        <w:rPr>
          <w:rFonts w:ascii="Times New Roman" w:hAnsi="Times New Roman" w:cs="Times New Roman"/>
          <w:szCs w:val="21"/>
          <w:highlight w:val="none"/>
        </w:rPr>
        <w:t>All of the experiments were performed in triplicate.</w:t>
      </w:r>
    </w:p>
    <w:p>
      <w:pPr>
        <w:spacing w:before="156" w:beforeLines="50" w:after="156" w:afterLines="50" w:line="480" w:lineRule="auto"/>
        <w:rPr>
          <w:rFonts w:hint="eastAsia" w:ascii="Times New Roman" w:hAnsi="Times New Roman" w:cs="Times New Roman" w:eastAsiaTheme="minorEastAsia"/>
          <w:b/>
          <w:bCs/>
          <w:szCs w:val="21"/>
          <w:highlight w:val="none"/>
          <w:lang w:eastAsia="zh-CN"/>
        </w:rPr>
      </w:pPr>
      <w:bookmarkStart w:id="25" w:name="_GoBack"/>
      <w:r>
        <w:rPr>
          <w:rFonts w:hint="eastAsia" w:ascii="Times New Roman" w:hAnsi="Times New Roman" w:cs="Times New Roman" w:eastAsiaTheme="minorEastAsia"/>
          <w:b/>
          <w:bCs/>
          <w:szCs w:val="21"/>
          <w:highlight w:val="none"/>
          <w:lang w:eastAsia="zh-CN"/>
        </w:rPr>
        <w:drawing>
          <wp:inline distT="0" distB="0" distL="114300" distR="114300">
            <wp:extent cx="5269865" cy="6219190"/>
            <wp:effectExtent l="0" t="0" r="3175" b="13970"/>
            <wp:docPr id="7" name="图片 7" descr="FS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FS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6219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25"/>
    </w:p>
    <w:p>
      <w:pPr>
        <w:spacing w:before="156" w:beforeLines="50" w:after="156" w:afterLines="50" w:line="480" w:lineRule="auto"/>
        <w:rPr>
          <w:rFonts w:ascii="Times New Roman" w:hAnsi="Times New Roman" w:cs="Times New Roman"/>
          <w:b/>
          <w:bCs/>
          <w:szCs w:val="21"/>
          <w:highlight w:val="none"/>
        </w:rPr>
      </w:pPr>
      <w:r>
        <w:rPr>
          <w:rFonts w:ascii="Times New Roman" w:hAnsi="Times New Roman" w:cs="Times New Roman"/>
          <w:b/>
          <w:bCs/>
          <w:szCs w:val="21"/>
          <w:highlight w:val="none"/>
        </w:rPr>
        <w:t>Fig. S3 Hotair can promote the proliferation and migration of OC cells.</w:t>
      </w:r>
    </w:p>
    <w:p>
      <w:pPr>
        <w:pStyle w:val="31"/>
        <w:spacing w:before="156" w:beforeLines="50" w:after="156" w:afterLines="50" w:line="480" w:lineRule="auto"/>
        <w:rPr>
          <w:highlight w:val="none"/>
        </w:rPr>
      </w:pPr>
      <w:r>
        <w:rPr>
          <w:b/>
          <w:bCs/>
          <w:highlight w:val="none"/>
        </w:rPr>
        <w:t>(A)</w:t>
      </w:r>
      <w:r>
        <w:rPr>
          <w:rFonts w:hint="eastAsia"/>
          <w:highlight w:val="none"/>
        </w:rPr>
        <w:t xml:space="preserve"> </w:t>
      </w:r>
      <w:r>
        <w:rPr>
          <w:highlight w:val="none"/>
        </w:rPr>
        <w:t xml:space="preserve">Anti-AGO2 RIP was performed in </w:t>
      </w:r>
      <w:r>
        <w:rPr>
          <w:rFonts w:hint="eastAsia"/>
          <w:highlight w:val="none"/>
        </w:rPr>
        <w:t>HO 8910</w:t>
      </w:r>
      <w:r>
        <w:rPr>
          <w:highlight w:val="none"/>
        </w:rPr>
        <w:t xml:space="preserve"> cells, followed by qRT-PCR to detect the expression of LncRNA Hotair or miR-222-3p associated with AGO2. </w:t>
      </w:r>
      <w:r>
        <w:rPr>
          <w:b/>
          <w:bCs/>
          <w:highlight w:val="none"/>
        </w:rPr>
        <w:t>(</w:t>
      </w:r>
      <w:r>
        <w:rPr>
          <w:rFonts w:hint="eastAsia"/>
          <w:b/>
          <w:bCs/>
          <w:highlight w:val="none"/>
          <w:lang w:val="en-US" w:eastAsia="zh-CN"/>
        </w:rPr>
        <w:t>B</w:t>
      </w:r>
      <w:r>
        <w:rPr>
          <w:rFonts w:hint="eastAsia"/>
          <w:b/>
          <w:bCs/>
          <w:highlight w:val="none"/>
        </w:rPr>
        <w:t>-E</w:t>
      </w:r>
      <w:r>
        <w:rPr>
          <w:b/>
          <w:bCs/>
          <w:highlight w:val="none"/>
        </w:rPr>
        <w:t>)</w:t>
      </w:r>
      <w:r>
        <w:rPr>
          <w:highlight w:val="none"/>
        </w:rPr>
        <w:t xml:space="preserve"> </w:t>
      </w:r>
      <w:r>
        <w:rPr>
          <w:rFonts w:hint="eastAsia"/>
          <w:highlight w:val="none"/>
        </w:rPr>
        <w:t>C</w:t>
      </w:r>
      <w:r>
        <w:rPr>
          <w:highlight w:val="none"/>
        </w:rPr>
        <w:t>olony formation</w:t>
      </w:r>
      <w:r>
        <w:rPr>
          <w:rFonts w:hint="eastAsia"/>
          <w:highlight w:val="none"/>
        </w:rPr>
        <w:t xml:space="preserve"> </w:t>
      </w:r>
      <w:r>
        <w:rPr>
          <w:b/>
          <w:bCs/>
          <w:highlight w:val="none"/>
        </w:rPr>
        <w:t>(</w:t>
      </w:r>
      <w:r>
        <w:rPr>
          <w:rFonts w:hint="eastAsia"/>
          <w:b/>
          <w:bCs/>
          <w:highlight w:val="none"/>
        </w:rPr>
        <w:t>C</w:t>
      </w:r>
      <w:r>
        <w:rPr>
          <w:b/>
          <w:bCs/>
          <w:highlight w:val="none"/>
        </w:rPr>
        <w:t>)</w:t>
      </w:r>
      <w:r>
        <w:rPr>
          <w:highlight w:val="none"/>
        </w:rPr>
        <w:t xml:space="preserve">, </w:t>
      </w:r>
      <w:r>
        <w:rPr>
          <w:rFonts w:hint="eastAsia"/>
          <w:highlight w:val="none"/>
        </w:rPr>
        <w:t>F</w:t>
      </w:r>
      <w:r>
        <w:rPr>
          <w:highlight w:val="none"/>
        </w:rPr>
        <w:t>low cytometry assay</w:t>
      </w:r>
      <w:r>
        <w:rPr>
          <w:rFonts w:hint="eastAsia"/>
          <w:highlight w:val="none"/>
        </w:rPr>
        <w:t xml:space="preserve"> </w:t>
      </w:r>
      <w:r>
        <w:rPr>
          <w:b/>
          <w:bCs/>
          <w:highlight w:val="none"/>
        </w:rPr>
        <w:t>(</w:t>
      </w:r>
      <w:r>
        <w:rPr>
          <w:rFonts w:hint="eastAsia"/>
          <w:b/>
          <w:bCs/>
          <w:highlight w:val="none"/>
          <w:lang w:val="en-US" w:eastAsia="zh-CN"/>
        </w:rPr>
        <w:t xml:space="preserve">B, </w:t>
      </w:r>
      <w:r>
        <w:rPr>
          <w:rFonts w:hint="eastAsia"/>
          <w:b/>
          <w:bCs/>
          <w:highlight w:val="none"/>
        </w:rPr>
        <w:t>D</w:t>
      </w:r>
      <w:r>
        <w:rPr>
          <w:b/>
          <w:bCs/>
          <w:highlight w:val="none"/>
        </w:rPr>
        <w:t>)</w:t>
      </w:r>
      <w:r>
        <w:rPr>
          <w:highlight w:val="none"/>
        </w:rPr>
        <w:t>, and EdU assay</w:t>
      </w:r>
      <w:r>
        <w:rPr>
          <w:rFonts w:hint="eastAsia"/>
          <w:highlight w:val="none"/>
        </w:rPr>
        <w:t xml:space="preserve"> </w:t>
      </w:r>
      <w:r>
        <w:rPr>
          <w:b/>
          <w:bCs/>
          <w:highlight w:val="none"/>
        </w:rPr>
        <w:t>(</w:t>
      </w:r>
      <w:r>
        <w:rPr>
          <w:rFonts w:hint="eastAsia"/>
          <w:b/>
          <w:bCs/>
          <w:highlight w:val="none"/>
        </w:rPr>
        <w:t>E</w:t>
      </w:r>
      <w:r>
        <w:rPr>
          <w:b/>
          <w:bCs/>
          <w:highlight w:val="none"/>
        </w:rPr>
        <w:t>)</w:t>
      </w:r>
      <w:r>
        <w:rPr>
          <w:highlight w:val="none"/>
        </w:rPr>
        <w:t xml:space="preserve"> showed that </w:t>
      </w:r>
      <w:r>
        <w:rPr>
          <w:rFonts w:hint="eastAsia"/>
          <w:highlight w:val="none"/>
          <w:lang w:val="en-US" w:eastAsia="zh-CN"/>
        </w:rPr>
        <w:t>OC</w:t>
      </w:r>
      <w:r>
        <w:rPr>
          <w:highlight w:val="none"/>
        </w:rPr>
        <w:t xml:space="preserve"> cell proliferation was promoted after transfection with OE-CDK19 plasmids. </w:t>
      </w:r>
      <w:bookmarkEnd w:id="13"/>
      <w:r>
        <w:rPr>
          <w:b/>
          <w:bCs/>
          <w:highlight w:val="none"/>
        </w:rPr>
        <w:t>(</w:t>
      </w:r>
      <w:r>
        <w:rPr>
          <w:rFonts w:hint="eastAsia"/>
          <w:b/>
          <w:bCs/>
          <w:highlight w:val="none"/>
        </w:rPr>
        <w:t>F</w:t>
      </w:r>
      <w:r>
        <w:rPr>
          <w:rFonts w:hint="eastAsia"/>
          <w:b/>
          <w:bCs/>
          <w:highlight w:val="none"/>
          <w:lang w:val="en-US" w:eastAsia="zh-CN"/>
        </w:rPr>
        <w:t>, G</w:t>
      </w:r>
      <w:r>
        <w:rPr>
          <w:b/>
          <w:bCs/>
          <w:highlight w:val="none"/>
        </w:rPr>
        <w:t>)</w:t>
      </w:r>
      <w:r>
        <w:rPr>
          <w:highlight w:val="none"/>
        </w:rPr>
        <w:t xml:space="preserve"> Transwell assay showed that </w:t>
      </w:r>
      <w:r>
        <w:rPr>
          <w:rFonts w:hint="eastAsia"/>
          <w:highlight w:val="none"/>
          <w:lang w:val="en-US" w:eastAsia="zh-CN"/>
        </w:rPr>
        <w:t>OC</w:t>
      </w:r>
      <w:r>
        <w:rPr>
          <w:rFonts w:hint="eastAsia"/>
          <w:highlight w:val="none"/>
        </w:rPr>
        <w:t xml:space="preserve"> </w:t>
      </w:r>
      <w:r>
        <w:rPr>
          <w:highlight w:val="none"/>
        </w:rPr>
        <w:t>cell</w:t>
      </w:r>
      <w:r>
        <w:rPr>
          <w:rFonts w:hint="eastAsia"/>
          <w:highlight w:val="none"/>
        </w:rPr>
        <w:t>s</w:t>
      </w:r>
      <w:r>
        <w:rPr>
          <w:highlight w:val="none"/>
        </w:rPr>
        <w:t xml:space="preserve"> migration was promoted after transfection with OE-CDK19 plasmids. The number of cells was counted by Image J (Right). </w:t>
      </w:r>
      <w:r>
        <w:rPr>
          <w:b/>
          <w:bCs/>
          <w:highlight w:val="none"/>
        </w:rPr>
        <w:t>(</w:t>
      </w:r>
      <w:r>
        <w:rPr>
          <w:rFonts w:hint="eastAsia"/>
          <w:b/>
          <w:bCs/>
          <w:highlight w:val="none"/>
          <w:lang w:val="en-US" w:eastAsia="zh-CN"/>
        </w:rPr>
        <w:t>H</w:t>
      </w:r>
      <w:r>
        <w:rPr>
          <w:b/>
          <w:bCs/>
          <w:highlight w:val="none"/>
        </w:rPr>
        <w:t>)</w:t>
      </w:r>
      <w:r>
        <w:rPr>
          <w:rFonts w:hint="eastAsia"/>
          <w:b/>
          <w:bCs/>
          <w:highlight w:val="none"/>
        </w:rPr>
        <w:t xml:space="preserve"> </w:t>
      </w:r>
      <w:r>
        <w:rPr>
          <w:highlight w:val="none"/>
        </w:rPr>
        <w:t>The flow cytometry assay was used to detect the rescue effect of OE-Hotair on</w:t>
      </w:r>
      <w:r>
        <w:rPr>
          <w:rFonts w:eastAsia="Arial Unicode MS"/>
          <w:highlight w:val="none"/>
        </w:rPr>
        <w:t xml:space="preserve"> </w:t>
      </w:r>
      <w:r>
        <w:rPr>
          <w:rFonts w:hint="eastAsia"/>
          <w:highlight w:val="none"/>
        </w:rPr>
        <w:t xml:space="preserve">OC cells </w:t>
      </w:r>
      <w:r>
        <w:rPr>
          <w:highlight w:val="none"/>
        </w:rPr>
        <w:t>proliferation abilities (Left).</w:t>
      </w:r>
      <w:r>
        <w:rPr>
          <w:rFonts w:hint="eastAsia"/>
          <w:highlight w:val="none"/>
        </w:rPr>
        <w:t xml:space="preserve"> </w:t>
      </w:r>
      <w:r>
        <w:rPr>
          <w:highlight w:val="none"/>
        </w:rPr>
        <w:t xml:space="preserve">Results are presented as mean ± SD and determined by unpaired Two-way ANOVA (Right). </w:t>
      </w:r>
      <w:r>
        <w:rPr>
          <w:b/>
          <w:bCs/>
          <w:highlight w:val="none"/>
        </w:rPr>
        <w:t>(</w:t>
      </w:r>
      <w:r>
        <w:rPr>
          <w:rFonts w:hint="eastAsia"/>
          <w:b/>
          <w:bCs/>
          <w:highlight w:val="none"/>
          <w:lang w:val="en-US" w:eastAsia="zh-CN"/>
        </w:rPr>
        <w:t>I</w:t>
      </w:r>
      <w:r>
        <w:rPr>
          <w:b/>
          <w:bCs/>
          <w:highlight w:val="none"/>
        </w:rPr>
        <w:t>)</w:t>
      </w:r>
      <w:r>
        <w:rPr>
          <w:rFonts w:hint="eastAsia"/>
          <w:b/>
          <w:bCs/>
          <w:highlight w:val="none"/>
        </w:rPr>
        <w:t xml:space="preserve"> </w:t>
      </w:r>
      <w:r>
        <w:rPr>
          <w:rFonts w:hint="eastAsia"/>
          <w:highlight w:val="none"/>
        </w:rPr>
        <w:t>EdU</w:t>
      </w:r>
      <w:r>
        <w:rPr>
          <w:highlight w:val="none"/>
        </w:rPr>
        <w:t xml:space="preserve"> assay was used to detect the rescue effect of OE-Hotair on</w:t>
      </w:r>
      <w:r>
        <w:rPr>
          <w:rFonts w:eastAsia="Arial Unicode MS"/>
          <w:highlight w:val="none"/>
        </w:rPr>
        <w:t xml:space="preserve"> </w:t>
      </w:r>
      <w:r>
        <w:rPr>
          <w:rFonts w:hint="eastAsia"/>
          <w:highlight w:val="none"/>
        </w:rPr>
        <w:t xml:space="preserve">OC cells </w:t>
      </w:r>
      <w:r>
        <w:rPr>
          <w:highlight w:val="none"/>
        </w:rPr>
        <w:t>proliferation abilities (Left).</w:t>
      </w:r>
      <w:r>
        <w:rPr>
          <w:rFonts w:hint="eastAsia"/>
          <w:highlight w:val="none"/>
        </w:rPr>
        <w:t xml:space="preserve"> </w:t>
      </w:r>
      <w:r>
        <w:rPr>
          <w:highlight w:val="none"/>
        </w:rPr>
        <w:t>Scale bar, 100 µm</w:t>
      </w:r>
      <w:r>
        <w:rPr>
          <w:rFonts w:hint="eastAsia"/>
          <w:highlight w:val="none"/>
        </w:rPr>
        <w:t xml:space="preserve">. </w:t>
      </w:r>
      <w:r>
        <w:rPr>
          <w:highlight w:val="none"/>
        </w:rPr>
        <w:t>The number of cells was counted (Right).</w:t>
      </w:r>
      <w:r>
        <w:rPr>
          <w:rFonts w:hint="eastAsia"/>
          <w:highlight w:val="none"/>
        </w:rPr>
        <w:t xml:space="preserve"> </w:t>
      </w:r>
      <w:r>
        <w:rPr>
          <w:b/>
          <w:bCs/>
          <w:highlight w:val="none"/>
        </w:rPr>
        <w:t>(</w:t>
      </w:r>
      <w:r>
        <w:rPr>
          <w:rFonts w:hint="eastAsia"/>
          <w:b/>
          <w:bCs/>
          <w:highlight w:val="none"/>
          <w:lang w:val="en-US" w:eastAsia="zh-CN"/>
        </w:rPr>
        <w:t>J</w:t>
      </w:r>
      <w:r>
        <w:rPr>
          <w:b/>
          <w:bCs/>
          <w:highlight w:val="none"/>
        </w:rPr>
        <w:t>)</w:t>
      </w:r>
      <w:r>
        <w:rPr>
          <w:highlight w:val="none"/>
        </w:rPr>
        <w:t xml:space="preserve"> Transwell assay was used to detect the rescue effect of OE-Hotair on</w:t>
      </w:r>
      <w:r>
        <w:rPr>
          <w:rFonts w:eastAsia="Arial Unicode MS"/>
          <w:highlight w:val="none"/>
        </w:rPr>
        <w:t xml:space="preserve"> </w:t>
      </w:r>
      <w:r>
        <w:rPr>
          <w:rFonts w:hint="eastAsia"/>
          <w:highlight w:val="none"/>
        </w:rPr>
        <w:t>OC cells</w:t>
      </w:r>
      <w:r>
        <w:rPr>
          <w:highlight w:val="none"/>
        </w:rPr>
        <w:t>'</w:t>
      </w:r>
      <w:r>
        <w:rPr>
          <w:rFonts w:hint="eastAsia"/>
          <w:highlight w:val="none"/>
        </w:rPr>
        <w:t xml:space="preserve"> </w:t>
      </w:r>
      <w:r>
        <w:rPr>
          <w:highlight w:val="none"/>
        </w:rPr>
        <w:t xml:space="preserve">migration abilities. </w:t>
      </w:r>
      <w:bookmarkStart w:id="22" w:name="OLE_LINK125"/>
      <w:r>
        <w:rPr>
          <w:highlight w:val="none"/>
        </w:rPr>
        <w:t>Scale bar, 100 µm</w:t>
      </w:r>
      <w:bookmarkEnd w:id="22"/>
      <w:r>
        <w:rPr>
          <w:highlight w:val="none"/>
        </w:rPr>
        <w:t xml:space="preserve"> (Left). </w:t>
      </w:r>
      <w:bookmarkStart w:id="23" w:name="OLE_LINK138"/>
      <w:r>
        <w:rPr>
          <w:highlight w:val="none"/>
        </w:rPr>
        <w:t>The number of cells was counted (Right).</w:t>
      </w:r>
      <w:bookmarkEnd w:id="23"/>
      <w:r>
        <w:rPr>
          <w:rFonts w:hint="eastAsia"/>
          <w:highlight w:val="none"/>
        </w:rPr>
        <w:t xml:space="preserve"> </w:t>
      </w:r>
      <w:r>
        <w:rPr>
          <w:highlight w:val="none"/>
        </w:rPr>
        <w:t xml:space="preserve">Results are presented as mean ± SD and determined by </w:t>
      </w:r>
      <w:bookmarkStart w:id="24" w:name="OLE_LINK20"/>
      <w:r>
        <w:rPr>
          <w:highlight w:val="none"/>
        </w:rPr>
        <w:t>unpaired Two-way ANOVA</w:t>
      </w:r>
      <w:bookmarkEnd w:id="24"/>
      <w:r>
        <w:rPr>
          <w:highlight w:val="none"/>
        </w:rPr>
        <w:t xml:space="preserve"> (Right)</w:t>
      </w:r>
      <w:r>
        <w:rPr>
          <w:rFonts w:hint="eastAsia"/>
          <w:highlight w:val="none"/>
        </w:rPr>
        <w:t xml:space="preserve">. </w:t>
      </w:r>
      <w:r>
        <w:rPr>
          <w:highlight w:val="none"/>
        </w:rPr>
        <w:t>*</w:t>
      </w:r>
      <w:r>
        <w:rPr>
          <w:i/>
          <w:iCs/>
          <w:highlight w:val="none"/>
        </w:rPr>
        <w:t>p</w:t>
      </w:r>
      <w:r>
        <w:rPr>
          <w:highlight w:val="none"/>
        </w:rPr>
        <w:t>&lt;0.05, **</w:t>
      </w:r>
      <w:r>
        <w:rPr>
          <w:i/>
          <w:iCs/>
          <w:highlight w:val="none"/>
        </w:rPr>
        <w:t>p</w:t>
      </w:r>
      <w:r>
        <w:rPr>
          <w:highlight w:val="none"/>
        </w:rPr>
        <w:t>&lt;0.01, ***</w:t>
      </w:r>
      <w:r>
        <w:rPr>
          <w:i/>
          <w:iCs/>
          <w:highlight w:val="none"/>
        </w:rPr>
        <w:t>p</w:t>
      </w:r>
      <w:r>
        <w:rPr>
          <w:highlight w:val="none"/>
        </w:rPr>
        <w:t>&lt;0.001, ****</w:t>
      </w:r>
      <w:r>
        <w:rPr>
          <w:i/>
          <w:iCs/>
          <w:highlight w:val="none"/>
        </w:rPr>
        <w:t>p</w:t>
      </w:r>
      <w:r>
        <w:rPr>
          <w:highlight w:val="none"/>
        </w:rPr>
        <w:t>&lt;0.0001</w:t>
      </w:r>
      <w:r>
        <w:rPr>
          <w:rFonts w:hint="eastAsia"/>
          <w:highlight w:val="none"/>
        </w:rPr>
        <w:t>.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imesNewRomanPSMT">
    <w:altName w:val="等线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TimesNewRomanPS-Bold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dvP4C4E74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fndpmAdvTT1b53b5fb . 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wvhsbAdvTTb5929f4c + 03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JnkgpcAdvTT86d47313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2" name="文本框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7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LJ1z8sAgAAVw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YsnXPywCAABX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rFonts w:hint="eastAsia"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hideSpellingErrors/>
  <w:hideGrammaticalError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bA0tbAwMjEyN7MwNLBU0lEKTi0uzszPAykwNK0FAHV6cIctAAAA"/>
    <w:docVar w:name="EN.InstantFormat" w:val="饬⭨耀頄⭨뿰!頸⭨頜⭨릉&quot;顐⭨頴⭨댢#顨⭨題⭨겻$颀⭨顤⭨Ꙕ%题⭨顼⭨鿭&amp;颰⭨颔⭨馆'飈⭨颬⭨錟(飠⭨飄⭨貸)飸⭨飜⭨虑*餐⭨飴⭨翪+館⭨餌⭨禃,饀⭨餤⭨猜-饘⭨餼⭨沵.馄⭨YY馜⭨Ȳȭ쳀馴⭨蓮駌⭨ ZZ駤⭨Ȯ쳀䲽蓮駼⭨騔⭨`ɛȮ騬⭨쳀䙖蓮驄⭨VV驜⭨ɰȭ쳀驴⭨蓮验⭨__骤⭨Ȯ쳀㦈蓮骼⭨體⭨Tʚȭ髬⭨쳀㌡蓮鬄⭨_x000a_[[鬜⭨ʮȮ쳀鬴⭨蓮魌⭨ ^^魤⭨ȭ쳀♓!蓮魼⭨鮔⭨X˘ȭ鮬⭨쳀Ῥ&quot;蓮鯄⭨VV鯜⭨˭ȭ쳀鯴⭨蓮鰌⭨ YY鰤⭨ȭ쳀ጞ$蓮鰼⭨鱔⭨\̖ȯ鱬⭨쳀ಷ%蓮鲄⭨__鲜⭨̫ȭ쳀鲴⭨蓮鳌⭨bb鳤⭨ȭ쳀￩&amp;蓮鳼⭨ 鴔⭨]͕Ȯ鴬⭨쳀廬'蓮鵄⭨bb鵜⭨ͪȭ쳀鵴⭨蓮鶌⭨__鶤⭨ȭ쳀)蓮鶼⭨鷔⭨鷬⭨鸄⭨鸜⭨鸴⭨鹌⭨鹤⭨鹼⭨"/>
    <w:docVar w:name="EN.Layout" w:val="&lt;ENLayout&gt;&lt;Style&gt;Genome Biology lh&lt;/Style&gt;&lt;LeftDelim&gt;{&lt;/LeftDelim&gt;&lt;RightDelim&gt;}&lt;/RightDelim&gt;&lt;FontName&gt;Calibri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9e925fxvlr0ts4earv6pxvwp0e5ddat5wetf&quot;&gt;My EndNote Library&lt;record-ids&gt;&lt;item&gt;1&lt;/item&gt;&lt;item&gt;2&lt;/item&gt;&lt;item&gt;3&lt;/item&gt;&lt;item&gt;6&lt;/item&gt;&lt;item&gt;7&lt;/item&gt;&lt;item&gt;8&lt;/item&gt;&lt;item&gt;9&lt;/item&gt;&lt;item&gt;10&lt;/item&gt;&lt;item&gt;11&lt;/item&gt;&lt;item&gt;12&lt;/item&gt;&lt;item&gt;13&lt;/item&gt;&lt;item&gt;15&lt;/item&gt;&lt;item&gt;16&lt;/item&gt;&lt;item&gt;17&lt;/item&gt;&lt;item&gt;18&lt;/item&gt;&lt;item&gt;19&lt;/item&gt;&lt;item&gt;20&lt;/item&gt;&lt;item&gt;21&lt;/item&gt;&lt;item&gt;22&lt;/item&gt;&lt;item&gt;23&lt;/item&gt;&lt;item&gt;29&lt;/item&gt;&lt;item&gt;30&lt;/item&gt;&lt;item&gt;35&lt;/item&gt;&lt;item&gt;42&lt;/item&gt;&lt;item&gt;43&lt;/item&gt;&lt;item&gt;45&lt;/item&gt;&lt;item&gt;46&lt;/item&gt;&lt;item&gt;606&lt;/item&gt;&lt;item&gt;607&lt;/item&gt;&lt;item&gt;608&lt;/item&gt;&lt;item&gt;609&lt;/item&gt;&lt;item&gt;610&lt;/item&gt;&lt;item&gt;611&lt;/item&gt;&lt;item&gt;612&lt;/item&gt;&lt;item&gt;613&lt;/item&gt;&lt;item&gt;614&lt;/item&gt;&lt;item&gt;615&lt;/item&gt;&lt;item&gt;616&lt;/item&gt;&lt;/record-ids&gt;&lt;/item&gt;&lt;/Libraries&gt;"/>
  </w:docVars>
  <w:rsids>
    <w:rsidRoot w:val="00172A27"/>
    <w:rsid w:val="0001570F"/>
    <w:rsid w:val="00027D79"/>
    <w:rsid w:val="0003399C"/>
    <w:rsid w:val="00044899"/>
    <w:rsid w:val="00073912"/>
    <w:rsid w:val="00097227"/>
    <w:rsid w:val="000B6B08"/>
    <w:rsid w:val="000D67C1"/>
    <w:rsid w:val="000E5285"/>
    <w:rsid w:val="000F0D6D"/>
    <w:rsid w:val="001142A5"/>
    <w:rsid w:val="0013172B"/>
    <w:rsid w:val="0014349A"/>
    <w:rsid w:val="00144E03"/>
    <w:rsid w:val="0015081A"/>
    <w:rsid w:val="00160C34"/>
    <w:rsid w:val="00161214"/>
    <w:rsid w:val="00172A27"/>
    <w:rsid w:val="00180532"/>
    <w:rsid w:val="00183156"/>
    <w:rsid w:val="00190F24"/>
    <w:rsid w:val="001D1789"/>
    <w:rsid w:val="001D3A98"/>
    <w:rsid w:val="001E0C15"/>
    <w:rsid w:val="00210A76"/>
    <w:rsid w:val="00211E16"/>
    <w:rsid w:val="00235581"/>
    <w:rsid w:val="002537A7"/>
    <w:rsid w:val="002D6ED3"/>
    <w:rsid w:val="002E4855"/>
    <w:rsid w:val="002F306B"/>
    <w:rsid w:val="00301CD1"/>
    <w:rsid w:val="0031215E"/>
    <w:rsid w:val="00315F87"/>
    <w:rsid w:val="0033004A"/>
    <w:rsid w:val="00361A7B"/>
    <w:rsid w:val="00362AE8"/>
    <w:rsid w:val="00370A37"/>
    <w:rsid w:val="003A2475"/>
    <w:rsid w:val="003C0172"/>
    <w:rsid w:val="003E2825"/>
    <w:rsid w:val="0040103A"/>
    <w:rsid w:val="004357A2"/>
    <w:rsid w:val="00443141"/>
    <w:rsid w:val="00475B74"/>
    <w:rsid w:val="004A6EC0"/>
    <w:rsid w:val="004B7FED"/>
    <w:rsid w:val="004C509C"/>
    <w:rsid w:val="004C529F"/>
    <w:rsid w:val="004D61DA"/>
    <w:rsid w:val="00525FD4"/>
    <w:rsid w:val="005274D8"/>
    <w:rsid w:val="005366C3"/>
    <w:rsid w:val="005424E0"/>
    <w:rsid w:val="005503B2"/>
    <w:rsid w:val="00557126"/>
    <w:rsid w:val="0057365C"/>
    <w:rsid w:val="00576007"/>
    <w:rsid w:val="0059077E"/>
    <w:rsid w:val="0059331C"/>
    <w:rsid w:val="005D323D"/>
    <w:rsid w:val="005D7A04"/>
    <w:rsid w:val="005E578E"/>
    <w:rsid w:val="005F3935"/>
    <w:rsid w:val="005F45DA"/>
    <w:rsid w:val="0062179A"/>
    <w:rsid w:val="00635083"/>
    <w:rsid w:val="0065046E"/>
    <w:rsid w:val="006540B6"/>
    <w:rsid w:val="00686566"/>
    <w:rsid w:val="006C3424"/>
    <w:rsid w:val="006D0CBC"/>
    <w:rsid w:val="006E2B1C"/>
    <w:rsid w:val="0073156D"/>
    <w:rsid w:val="007373A1"/>
    <w:rsid w:val="00780DCE"/>
    <w:rsid w:val="007A7E75"/>
    <w:rsid w:val="007C7E7A"/>
    <w:rsid w:val="007E22F5"/>
    <w:rsid w:val="007F7F28"/>
    <w:rsid w:val="00801C0A"/>
    <w:rsid w:val="00804FC2"/>
    <w:rsid w:val="00810FD5"/>
    <w:rsid w:val="00817445"/>
    <w:rsid w:val="00820EBC"/>
    <w:rsid w:val="00837B94"/>
    <w:rsid w:val="00853A9D"/>
    <w:rsid w:val="0085581F"/>
    <w:rsid w:val="0086507F"/>
    <w:rsid w:val="00872039"/>
    <w:rsid w:val="008873BD"/>
    <w:rsid w:val="008A2A72"/>
    <w:rsid w:val="008B6171"/>
    <w:rsid w:val="008B6BCB"/>
    <w:rsid w:val="008C0B8C"/>
    <w:rsid w:val="008D1B64"/>
    <w:rsid w:val="008D2799"/>
    <w:rsid w:val="008F09E2"/>
    <w:rsid w:val="00951BE5"/>
    <w:rsid w:val="0097487A"/>
    <w:rsid w:val="009C61E3"/>
    <w:rsid w:val="009F12B8"/>
    <w:rsid w:val="00A20AE5"/>
    <w:rsid w:val="00A32760"/>
    <w:rsid w:val="00A66918"/>
    <w:rsid w:val="00A750A4"/>
    <w:rsid w:val="00A80280"/>
    <w:rsid w:val="00AA7781"/>
    <w:rsid w:val="00AB6E67"/>
    <w:rsid w:val="00AD233E"/>
    <w:rsid w:val="00AD4EDE"/>
    <w:rsid w:val="00AE5D31"/>
    <w:rsid w:val="00B01793"/>
    <w:rsid w:val="00B24FD6"/>
    <w:rsid w:val="00B76FE7"/>
    <w:rsid w:val="00BA4954"/>
    <w:rsid w:val="00BB1E21"/>
    <w:rsid w:val="00BE2F6F"/>
    <w:rsid w:val="00BE625A"/>
    <w:rsid w:val="00BF1C67"/>
    <w:rsid w:val="00C30B09"/>
    <w:rsid w:val="00C30D41"/>
    <w:rsid w:val="00C64999"/>
    <w:rsid w:val="00CB2538"/>
    <w:rsid w:val="00CB3EDC"/>
    <w:rsid w:val="00CC2F27"/>
    <w:rsid w:val="00CC4208"/>
    <w:rsid w:val="00D01D47"/>
    <w:rsid w:val="00D01DFB"/>
    <w:rsid w:val="00D14E8C"/>
    <w:rsid w:val="00D270C0"/>
    <w:rsid w:val="00D36EC9"/>
    <w:rsid w:val="00D54BCA"/>
    <w:rsid w:val="00D6195C"/>
    <w:rsid w:val="00D628B0"/>
    <w:rsid w:val="00D66189"/>
    <w:rsid w:val="00D7737A"/>
    <w:rsid w:val="00D85205"/>
    <w:rsid w:val="00D942DB"/>
    <w:rsid w:val="00DC1359"/>
    <w:rsid w:val="00DF6B12"/>
    <w:rsid w:val="00E009B1"/>
    <w:rsid w:val="00E979CE"/>
    <w:rsid w:val="00EA4217"/>
    <w:rsid w:val="00EB1162"/>
    <w:rsid w:val="00EB7799"/>
    <w:rsid w:val="00EF5734"/>
    <w:rsid w:val="00F0076D"/>
    <w:rsid w:val="00F00C29"/>
    <w:rsid w:val="00F02ABB"/>
    <w:rsid w:val="00F14A22"/>
    <w:rsid w:val="00F933C8"/>
    <w:rsid w:val="00FA773A"/>
    <w:rsid w:val="00FA7DE5"/>
    <w:rsid w:val="00FF6D8C"/>
    <w:rsid w:val="01954698"/>
    <w:rsid w:val="01A01078"/>
    <w:rsid w:val="01FB59F7"/>
    <w:rsid w:val="021B3291"/>
    <w:rsid w:val="02271469"/>
    <w:rsid w:val="02F233FB"/>
    <w:rsid w:val="033A635B"/>
    <w:rsid w:val="034D49DF"/>
    <w:rsid w:val="03785CD4"/>
    <w:rsid w:val="039A6CD5"/>
    <w:rsid w:val="03BA20D5"/>
    <w:rsid w:val="03F423BB"/>
    <w:rsid w:val="043563B8"/>
    <w:rsid w:val="046039B6"/>
    <w:rsid w:val="049F6020"/>
    <w:rsid w:val="04E245AB"/>
    <w:rsid w:val="0522185F"/>
    <w:rsid w:val="052C5568"/>
    <w:rsid w:val="05D75B9A"/>
    <w:rsid w:val="066C61A4"/>
    <w:rsid w:val="06886760"/>
    <w:rsid w:val="06A50507"/>
    <w:rsid w:val="06C70AC7"/>
    <w:rsid w:val="07413867"/>
    <w:rsid w:val="07564153"/>
    <w:rsid w:val="078C1FF3"/>
    <w:rsid w:val="07A93DB8"/>
    <w:rsid w:val="07E65D50"/>
    <w:rsid w:val="07EA6E04"/>
    <w:rsid w:val="07FF6B6E"/>
    <w:rsid w:val="08264809"/>
    <w:rsid w:val="086A0099"/>
    <w:rsid w:val="0878357F"/>
    <w:rsid w:val="088941E4"/>
    <w:rsid w:val="09B329E9"/>
    <w:rsid w:val="09DE0AB7"/>
    <w:rsid w:val="0A0C3455"/>
    <w:rsid w:val="0A160878"/>
    <w:rsid w:val="0A7F07CF"/>
    <w:rsid w:val="0AC320CE"/>
    <w:rsid w:val="0AD65A5A"/>
    <w:rsid w:val="0B0D6AA1"/>
    <w:rsid w:val="0B287D8B"/>
    <w:rsid w:val="0B58325E"/>
    <w:rsid w:val="0BE2459D"/>
    <w:rsid w:val="0BF85885"/>
    <w:rsid w:val="0C2739D6"/>
    <w:rsid w:val="0C551AF0"/>
    <w:rsid w:val="0C70237E"/>
    <w:rsid w:val="0CA07561"/>
    <w:rsid w:val="0CEA0C09"/>
    <w:rsid w:val="0D016648"/>
    <w:rsid w:val="0D452FD9"/>
    <w:rsid w:val="0D6A2FDC"/>
    <w:rsid w:val="0D8D246C"/>
    <w:rsid w:val="0E9849F0"/>
    <w:rsid w:val="0F094E6A"/>
    <w:rsid w:val="0F2A13D7"/>
    <w:rsid w:val="0F497630"/>
    <w:rsid w:val="0F9568FC"/>
    <w:rsid w:val="0FAC69BC"/>
    <w:rsid w:val="0FC26F0D"/>
    <w:rsid w:val="110F02D5"/>
    <w:rsid w:val="110F7784"/>
    <w:rsid w:val="1175666F"/>
    <w:rsid w:val="11997505"/>
    <w:rsid w:val="11CF725E"/>
    <w:rsid w:val="12133FD0"/>
    <w:rsid w:val="12432BB5"/>
    <w:rsid w:val="12D7118B"/>
    <w:rsid w:val="12E73C90"/>
    <w:rsid w:val="134073B6"/>
    <w:rsid w:val="13464E1F"/>
    <w:rsid w:val="135E479B"/>
    <w:rsid w:val="13D03A2E"/>
    <w:rsid w:val="141E3685"/>
    <w:rsid w:val="14455203"/>
    <w:rsid w:val="14BC3EA0"/>
    <w:rsid w:val="14F50176"/>
    <w:rsid w:val="15192D96"/>
    <w:rsid w:val="155953FF"/>
    <w:rsid w:val="157F7A0A"/>
    <w:rsid w:val="15B36088"/>
    <w:rsid w:val="15E801C5"/>
    <w:rsid w:val="167802EE"/>
    <w:rsid w:val="16E9252A"/>
    <w:rsid w:val="16EF5529"/>
    <w:rsid w:val="1706091F"/>
    <w:rsid w:val="17714259"/>
    <w:rsid w:val="17F8111D"/>
    <w:rsid w:val="184610F5"/>
    <w:rsid w:val="18680E32"/>
    <w:rsid w:val="18CA6221"/>
    <w:rsid w:val="18E44128"/>
    <w:rsid w:val="191335A2"/>
    <w:rsid w:val="1942197F"/>
    <w:rsid w:val="19897749"/>
    <w:rsid w:val="199030D2"/>
    <w:rsid w:val="19C74A25"/>
    <w:rsid w:val="19D747AF"/>
    <w:rsid w:val="19EC3514"/>
    <w:rsid w:val="1A347445"/>
    <w:rsid w:val="1A593B89"/>
    <w:rsid w:val="1A702197"/>
    <w:rsid w:val="1B0E0038"/>
    <w:rsid w:val="1B7F0CB0"/>
    <w:rsid w:val="1BB97119"/>
    <w:rsid w:val="1BBD7B49"/>
    <w:rsid w:val="1CA4592F"/>
    <w:rsid w:val="1D096643"/>
    <w:rsid w:val="1D181941"/>
    <w:rsid w:val="1D5413ED"/>
    <w:rsid w:val="1D6D17DB"/>
    <w:rsid w:val="1D920B61"/>
    <w:rsid w:val="1E0E0E66"/>
    <w:rsid w:val="1E180919"/>
    <w:rsid w:val="1E52128E"/>
    <w:rsid w:val="1E6471CD"/>
    <w:rsid w:val="1E9B68F0"/>
    <w:rsid w:val="1EF25099"/>
    <w:rsid w:val="1F200D6C"/>
    <w:rsid w:val="1F5405B6"/>
    <w:rsid w:val="1F5C75A9"/>
    <w:rsid w:val="1F892553"/>
    <w:rsid w:val="205A6CFC"/>
    <w:rsid w:val="207F172E"/>
    <w:rsid w:val="20A60D48"/>
    <w:rsid w:val="20A80755"/>
    <w:rsid w:val="217C74CC"/>
    <w:rsid w:val="21B47CB8"/>
    <w:rsid w:val="21ED08F4"/>
    <w:rsid w:val="21F73E10"/>
    <w:rsid w:val="226960E2"/>
    <w:rsid w:val="226C1ADC"/>
    <w:rsid w:val="22AB2501"/>
    <w:rsid w:val="235446F2"/>
    <w:rsid w:val="23607EDE"/>
    <w:rsid w:val="23CF4E46"/>
    <w:rsid w:val="23E44E4D"/>
    <w:rsid w:val="242D6B48"/>
    <w:rsid w:val="24447B66"/>
    <w:rsid w:val="24BF2850"/>
    <w:rsid w:val="24D702C9"/>
    <w:rsid w:val="25453442"/>
    <w:rsid w:val="25940A0C"/>
    <w:rsid w:val="25D77E43"/>
    <w:rsid w:val="262D0F79"/>
    <w:rsid w:val="268E51D8"/>
    <w:rsid w:val="269A64BF"/>
    <w:rsid w:val="274C56B2"/>
    <w:rsid w:val="27556223"/>
    <w:rsid w:val="275C61C0"/>
    <w:rsid w:val="278657F0"/>
    <w:rsid w:val="27AD2B40"/>
    <w:rsid w:val="27C11C24"/>
    <w:rsid w:val="27F376CA"/>
    <w:rsid w:val="282C4054"/>
    <w:rsid w:val="28976411"/>
    <w:rsid w:val="289B2460"/>
    <w:rsid w:val="28B53647"/>
    <w:rsid w:val="2A8A799D"/>
    <w:rsid w:val="2A9A7507"/>
    <w:rsid w:val="2B0A409B"/>
    <w:rsid w:val="2B2A2A57"/>
    <w:rsid w:val="2B505DD6"/>
    <w:rsid w:val="2B61432B"/>
    <w:rsid w:val="2B96799E"/>
    <w:rsid w:val="2BA123CA"/>
    <w:rsid w:val="2BBA5EF3"/>
    <w:rsid w:val="2C5C6787"/>
    <w:rsid w:val="2CA1503F"/>
    <w:rsid w:val="2CA82144"/>
    <w:rsid w:val="2CB440E0"/>
    <w:rsid w:val="2CB85AF3"/>
    <w:rsid w:val="2D73340D"/>
    <w:rsid w:val="2D8A308A"/>
    <w:rsid w:val="2E001BFF"/>
    <w:rsid w:val="2E7C4B07"/>
    <w:rsid w:val="2E85211F"/>
    <w:rsid w:val="2EFA0E8B"/>
    <w:rsid w:val="2F2117B4"/>
    <w:rsid w:val="2FA17A7B"/>
    <w:rsid w:val="31540348"/>
    <w:rsid w:val="3161677C"/>
    <w:rsid w:val="31CA3849"/>
    <w:rsid w:val="32683DC6"/>
    <w:rsid w:val="3269431C"/>
    <w:rsid w:val="32954CDC"/>
    <w:rsid w:val="32FB53F9"/>
    <w:rsid w:val="32FD292C"/>
    <w:rsid w:val="330F36B6"/>
    <w:rsid w:val="33A02D66"/>
    <w:rsid w:val="33C34542"/>
    <w:rsid w:val="33C80610"/>
    <w:rsid w:val="33D52CFA"/>
    <w:rsid w:val="341700D6"/>
    <w:rsid w:val="341A4664"/>
    <w:rsid w:val="34EE38B6"/>
    <w:rsid w:val="351074D9"/>
    <w:rsid w:val="3564500A"/>
    <w:rsid w:val="36676F03"/>
    <w:rsid w:val="36B50902"/>
    <w:rsid w:val="36DA597B"/>
    <w:rsid w:val="36E36908"/>
    <w:rsid w:val="36EF5700"/>
    <w:rsid w:val="370A624A"/>
    <w:rsid w:val="37811278"/>
    <w:rsid w:val="37A37CEB"/>
    <w:rsid w:val="381C659B"/>
    <w:rsid w:val="381E65ED"/>
    <w:rsid w:val="38731F4E"/>
    <w:rsid w:val="392E052D"/>
    <w:rsid w:val="39C6106A"/>
    <w:rsid w:val="39EC1543"/>
    <w:rsid w:val="3A0F7F32"/>
    <w:rsid w:val="3A2B1ABF"/>
    <w:rsid w:val="3B342CA2"/>
    <w:rsid w:val="3B475673"/>
    <w:rsid w:val="3B5E147B"/>
    <w:rsid w:val="3B6C178D"/>
    <w:rsid w:val="3B897C2B"/>
    <w:rsid w:val="3BAC11F4"/>
    <w:rsid w:val="3BBB1A04"/>
    <w:rsid w:val="3BF5061B"/>
    <w:rsid w:val="3CCB2B87"/>
    <w:rsid w:val="3CF44F07"/>
    <w:rsid w:val="3D1A4E05"/>
    <w:rsid w:val="3DD565AD"/>
    <w:rsid w:val="3E0440BC"/>
    <w:rsid w:val="3E0D09C1"/>
    <w:rsid w:val="3EA40AE0"/>
    <w:rsid w:val="3EB10E2A"/>
    <w:rsid w:val="3EF07770"/>
    <w:rsid w:val="3F2A117C"/>
    <w:rsid w:val="3F487458"/>
    <w:rsid w:val="3FA56795"/>
    <w:rsid w:val="3FCE34E2"/>
    <w:rsid w:val="401368FF"/>
    <w:rsid w:val="404F5B64"/>
    <w:rsid w:val="40F22D59"/>
    <w:rsid w:val="410E4EA3"/>
    <w:rsid w:val="41157895"/>
    <w:rsid w:val="415A7BE4"/>
    <w:rsid w:val="419C6711"/>
    <w:rsid w:val="42640415"/>
    <w:rsid w:val="426B4C27"/>
    <w:rsid w:val="426D129D"/>
    <w:rsid w:val="42807BDD"/>
    <w:rsid w:val="42EA0959"/>
    <w:rsid w:val="43BB638C"/>
    <w:rsid w:val="43DE7E3E"/>
    <w:rsid w:val="43F80514"/>
    <w:rsid w:val="44074371"/>
    <w:rsid w:val="44DD3875"/>
    <w:rsid w:val="450E0641"/>
    <w:rsid w:val="453934D6"/>
    <w:rsid w:val="45FC7296"/>
    <w:rsid w:val="462579BB"/>
    <w:rsid w:val="46270B90"/>
    <w:rsid w:val="464E7A4C"/>
    <w:rsid w:val="46754496"/>
    <w:rsid w:val="468F27E1"/>
    <w:rsid w:val="46A52691"/>
    <w:rsid w:val="46A7047F"/>
    <w:rsid w:val="46AE0746"/>
    <w:rsid w:val="478523A4"/>
    <w:rsid w:val="479C7AD6"/>
    <w:rsid w:val="47A75FBF"/>
    <w:rsid w:val="47D815F0"/>
    <w:rsid w:val="4829382E"/>
    <w:rsid w:val="48670265"/>
    <w:rsid w:val="48781209"/>
    <w:rsid w:val="489350D1"/>
    <w:rsid w:val="4935737C"/>
    <w:rsid w:val="499E5513"/>
    <w:rsid w:val="49EE2D8B"/>
    <w:rsid w:val="4A514B19"/>
    <w:rsid w:val="4A6707EB"/>
    <w:rsid w:val="4A6C664F"/>
    <w:rsid w:val="4AB901A1"/>
    <w:rsid w:val="4ADB304E"/>
    <w:rsid w:val="4B0A494B"/>
    <w:rsid w:val="4B195017"/>
    <w:rsid w:val="4B386016"/>
    <w:rsid w:val="4B872412"/>
    <w:rsid w:val="4BC7055D"/>
    <w:rsid w:val="4C254ACF"/>
    <w:rsid w:val="4C9176A5"/>
    <w:rsid w:val="4CB31BF1"/>
    <w:rsid w:val="4CC34E44"/>
    <w:rsid w:val="4CD20E58"/>
    <w:rsid w:val="4D5F2557"/>
    <w:rsid w:val="4D997A1B"/>
    <w:rsid w:val="4DF646EE"/>
    <w:rsid w:val="4E69257D"/>
    <w:rsid w:val="4EA82044"/>
    <w:rsid w:val="4EC43F09"/>
    <w:rsid w:val="4F231B40"/>
    <w:rsid w:val="4F4F3F6F"/>
    <w:rsid w:val="4FC16776"/>
    <w:rsid w:val="50046C0A"/>
    <w:rsid w:val="503E5948"/>
    <w:rsid w:val="507864A6"/>
    <w:rsid w:val="50B87E37"/>
    <w:rsid w:val="51A50CEE"/>
    <w:rsid w:val="51B22A46"/>
    <w:rsid w:val="524671C7"/>
    <w:rsid w:val="52A95AD1"/>
    <w:rsid w:val="52E951CF"/>
    <w:rsid w:val="535A3558"/>
    <w:rsid w:val="5366517E"/>
    <w:rsid w:val="53E34858"/>
    <w:rsid w:val="53ED3214"/>
    <w:rsid w:val="54433ED1"/>
    <w:rsid w:val="54844637"/>
    <w:rsid w:val="55174D17"/>
    <w:rsid w:val="5523346B"/>
    <w:rsid w:val="552865AE"/>
    <w:rsid w:val="55385363"/>
    <w:rsid w:val="55F108E6"/>
    <w:rsid w:val="561C71CF"/>
    <w:rsid w:val="56212852"/>
    <w:rsid w:val="562F65B8"/>
    <w:rsid w:val="5693188B"/>
    <w:rsid w:val="56E25838"/>
    <w:rsid w:val="56FA61F3"/>
    <w:rsid w:val="570F570D"/>
    <w:rsid w:val="573A202C"/>
    <w:rsid w:val="57576F32"/>
    <w:rsid w:val="575D4E2C"/>
    <w:rsid w:val="5814081C"/>
    <w:rsid w:val="58A30464"/>
    <w:rsid w:val="58E46297"/>
    <w:rsid w:val="58F60D90"/>
    <w:rsid w:val="592C2B53"/>
    <w:rsid w:val="59CD39C1"/>
    <w:rsid w:val="5A9B3952"/>
    <w:rsid w:val="5AA13A97"/>
    <w:rsid w:val="5ACE062D"/>
    <w:rsid w:val="5ADA539D"/>
    <w:rsid w:val="5B0A193A"/>
    <w:rsid w:val="5B54580C"/>
    <w:rsid w:val="5B865630"/>
    <w:rsid w:val="5BEF6594"/>
    <w:rsid w:val="5C806E9D"/>
    <w:rsid w:val="5CD46342"/>
    <w:rsid w:val="5D8F0032"/>
    <w:rsid w:val="5DEA666D"/>
    <w:rsid w:val="5E1E46AC"/>
    <w:rsid w:val="5E513965"/>
    <w:rsid w:val="5E52044A"/>
    <w:rsid w:val="5E931041"/>
    <w:rsid w:val="5EFE28EE"/>
    <w:rsid w:val="5F5926DE"/>
    <w:rsid w:val="5F6D34AD"/>
    <w:rsid w:val="5F743585"/>
    <w:rsid w:val="5FA128BF"/>
    <w:rsid w:val="6008606D"/>
    <w:rsid w:val="60311B34"/>
    <w:rsid w:val="60343BAD"/>
    <w:rsid w:val="608835AC"/>
    <w:rsid w:val="60B75D06"/>
    <w:rsid w:val="60C26FA1"/>
    <w:rsid w:val="610A5132"/>
    <w:rsid w:val="611A2212"/>
    <w:rsid w:val="61225FFD"/>
    <w:rsid w:val="613C77CA"/>
    <w:rsid w:val="615565DF"/>
    <w:rsid w:val="61AF60AD"/>
    <w:rsid w:val="61B642FB"/>
    <w:rsid w:val="61BD1CE8"/>
    <w:rsid w:val="62042BE2"/>
    <w:rsid w:val="62051432"/>
    <w:rsid w:val="62B63924"/>
    <w:rsid w:val="63104581"/>
    <w:rsid w:val="63AE526E"/>
    <w:rsid w:val="640C3CB8"/>
    <w:rsid w:val="64790567"/>
    <w:rsid w:val="6513506E"/>
    <w:rsid w:val="65223666"/>
    <w:rsid w:val="653E3296"/>
    <w:rsid w:val="65630915"/>
    <w:rsid w:val="65851E3E"/>
    <w:rsid w:val="65C2723E"/>
    <w:rsid w:val="6618693A"/>
    <w:rsid w:val="661E26BC"/>
    <w:rsid w:val="662E6919"/>
    <w:rsid w:val="663A0134"/>
    <w:rsid w:val="66C809EE"/>
    <w:rsid w:val="66E34347"/>
    <w:rsid w:val="66F32C75"/>
    <w:rsid w:val="67695A33"/>
    <w:rsid w:val="679C070C"/>
    <w:rsid w:val="683906D6"/>
    <w:rsid w:val="683B20FB"/>
    <w:rsid w:val="688B0F94"/>
    <w:rsid w:val="689439AD"/>
    <w:rsid w:val="68B9071B"/>
    <w:rsid w:val="69061F20"/>
    <w:rsid w:val="690C3A01"/>
    <w:rsid w:val="691F746E"/>
    <w:rsid w:val="69202464"/>
    <w:rsid w:val="69562D62"/>
    <w:rsid w:val="6984712B"/>
    <w:rsid w:val="69A73B36"/>
    <w:rsid w:val="69B57239"/>
    <w:rsid w:val="69B639DD"/>
    <w:rsid w:val="69EC1711"/>
    <w:rsid w:val="6A402376"/>
    <w:rsid w:val="6A48064E"/>
    <w:rsid w:val="6A725A5D"/>
    <w:rsid w:val="6B2E7428"/>
    <w:rsid w:val="6B731479"/>
    <w:rsid w:val="6BFB7DA2"/>
    <w:rsid w:val="6C276351"/>
    <w:rsid w:val="6C7240BF"/>
    <w:rsid w:val="6CC51C2B"/>
    <w:rsid w:val="6D8E66DE"/>
    <w:rsid w:val="6DD57B93"/>
    <w:rsid w:val="6EB00067"/>
    <w:rsid w:val="6EC34FC2"/>
    <w:rsid w:val="6EC6589D"/>
    <w:rsid w:val="6EEE7FBB"/>
    <w:rsid w:val="6EF02DAA"/>
    <w:rsid w:val="6F1B0D18"/>
    <w:rsid w:val="6F5020AA"/>
    <w:rsid w:val="6F9762C4"/>
    <w:rsid w:val="6FAC1BB5"/>
    <w:rsid w:val="6FAF5E02"/>
    <w:rsid w:val="6FC90D3C"/>
    <w:rsid w:val="6FD9198F"/>
    <w:rsid w:val="6FE751EC"/>
    <w:rsid w:val="70072020"/>
    <w:rsid w:val="704B6265"/>
    <w:rsid w:val="70B85E95"/>
    <w:rsid w:val="7145014A"/>
    <w:rsid w:val="717719AE"/>
    <w:rsid w:val="718C3495"/>
    <w:rsid w:val="71FE4F58"/>
    <w:rsid w:val="720B0B73"/>
    <w:rsid w:val="72346CAE"/>
    <w:rsid w:val="72700B2C"/>
    <w:rsid w:val="7304170B"/>
    <w:rsid w:val="7305707B"/>
    <w:rsid w:val="73421DAF"/>
    <w:rsid w:val="73583CB0"/>
    <w:rsid w:val="73653197"/>
    <w:rsid w:val="73995776"/>
    <w:rsid w:val="73E91E8A"/>
    <w:rsid w:val="74F769B5"/>
    <w:rsid w:val="75ED23AE"/>
    <w:rsid w:val="76031E04"/>
    <w:rsid w:val="764B4C35"/>
    <w:rsid w:val="765F6815"/>
    <w:rsid w:val="77161162"/>
    <w:rsid w:val="77742ECB"/>
    <w:rsid w:val="778A285C"/>
    <w:rsid w:val="77AB0E38"/>
    <w:rsid w:val="786F2BD0"/>
    <w:rsid w:val="78812ECD"/>
    <w:rsid w:val="78BE5439"/>
    <w:rsid w:val="79297BCF"/>
    <w:rsid w:val="79681362"/>
    <w:rsid w:val="79733540"/>
    <w:rsid w:val="79DF4452"/>
    <w:rsid w:val="7A401259"/>
    <w:rsid w:val="7A410818"/>
    <w:rsid w:val="7A554EEC"/>
    <w:rsid w:val="7A6421FF"/>
    <w:rsid w:val="7A9E5B6C"/>
    <w:rsid w:val="7ABD3F72"/>
    <w:rsid w:val="7BA53EC0"/>
    <w:rsid w:val="7BE626FE"/>
    <w:rsid w:val="7BF819CC"/>
    <w:rsid w:val="7C82213A"/>
    <w:rsid w:val="7C8B7E84"/>
    <w:rsid w:val="7C915290"/>
    <w:rsid w:val="7C9A3D17"/>
    <w:rsid w:val="7CE2582F"/>
    <w:rsid w:val="7D031797"/>
    <w:rsid w:val="7D2C5EE0"/>
    <w:rsid w:val="7D2D4DCC"/>
    <w:rsid w:val="7D4801B0"/>
    <w:rsid w:val="7D6A0440"/>
    <w:rsid w:val="7D930BEA"/>
    <w:rsid w:val="7DDF07DB"/>
    <w:rsid w:val="7E2E1EEF"/>
    <w:rsid w:val="7E300C8B"/>
    <w:rsid w:val="7E3C1E25"/>
    <w:rsid w:val="7E602BF6"/>
    <w:rsid w:val="7E6B3C2A"/>
    <w:rsid w:val="7EA14CD5"/>
    <w:rsid w:val="7ED5708F"/>
    <w:rsid w:val="7F7E1968"/>
    <w:rsid w:val="7FF31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qFormat="1"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kern w:val="0"/>
      <w:sz w:val="36"/>
      <w:szCs w:val="36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 w:eastAsia="宋体" w:cs="Times New Roman"/>
      <w:b/>
      <w:kern w:val="0"/>
      <w:sz w:val="27"/>
      <w:szCs w:val="27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0"/>
    <w:qFormat/>
    <w:uiPriority w:val="0"/>
    <w:pPr>
      <w:jc w:val="left"/>
    </w:pPr>
  </w:style>
  <w:style w:type="paragraph" w:styleId="6">
    <w:name w:val="Balloon Text"/>
    <w:basedOn w:val="1"/>
    <w:link w:val="22"/>
    <w:qFormat/>
    <w:uiPriority w:val="0"/>
    <w:rPr>
      <w:sz w:val="18"/>
      <w:szCs w:val="18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9">
    <w:name w:val="Normal (Web)"/>
    <w:basedOn w:val="1"/>
    <w:qFormat/>
    <w:uiPriority w:val="0"/>
    <w:rPr>
      <w:sz w:val="24"/>
    </w:rPr>
  </w:style>
  <w:style w:type="paragraph" w:styleId="10">
    <w:name w:val="annotation subject"/>
    <w:basedOn w:val="5"/>
    <w:next w:val="5"/>
    <w:link w:val="21"/>
    <w:qFormat/>
    <w:uiPriority w:val="0"/>
    <w:rPr>
      <w:b/>
      <w:bCs/>
    </w:r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basedOn w:val="13"/>
    <w:qFormat/>
    <w:uiPriority w:val="0"/>
    <w:rPr>
      <w:b/>
    </w:rPr>
  </w:style>
  <w:style w:type="character" w:styleId="15">
    <w:name w:val="line number"/>
    <w:basedOn w:val="13"/>
    <w:qFormat/>
    <w:uiPriority w:val="0"/>
  </w:style>
  <w:style w:type="character" w:styleId="16">
    <w:name w:val="Hyperlink"/>
    <w:basedOn w:val="13"/>
    <w:qFormat/>
    <w:uiPriority w:val="0"/>
    <w:rPr>
      <w:color w:val="0000FF"/>
      <w:u w:val="single"/>
    </w:rPr>
  </w:style>
  <w:style w:type="character" w:styleId="17">
    <w:name w:val="annotation reference"/>
    <w:basedOn w:val="13"/>
    <w:qFormat/>
    <w:uiPriority w:val="0"/>
    <w:rPr>
      <w:sz w:val="21"/>
      <w:szCs w:val="21"/>
    </w:rPr>
  </w:style>
  <w:style w:type="character" w:customStyle="1" w:styleId="18">
    <w:name w:val="fontstyle01"/>
    <w:basedOn w:val="13"/>
    <w:qFormat/>
    <w:uiPriority w:val="0"/>
    <w:rPr>
      <w:rFonts w:ascii="TimesNewRomanPSMT" w:hAnsi="TimesNewRomanPSMT" w:eastAsia="TimesNewRomanPSMT" w:cs="TimesNewRomanPSMT"/>
      <w:color w:val="000000"/>
      <w:sz w:val="22"/>
      <w:szCs w:val="22"/>
    </w:rPr>
  </w:style>
  <w:style w:type="character" w:customStyle="1" w:styleId="19">
    <w:name w:val="fontstyle21"/>
    <w:basedOn w:val="13"/>
    <w:qFormat/>
    <w:uiPriority w:val="0"/>
    <w:rPr>
      <w:rFonts w:ascii="TimesNewRomanPS-BoldMT" w:hAnsi="TimesNewRomanPS-BoldMT" w:eastAsia="TimesNewRomanPS-BoldMT" w:cs="TimesNewRomanPS-BoldMT"/>
      <w:b/>
      <w:color w:val="000000"/>
      <w:sz w:val="22"/>
      <w:szCs w:val="22"/>
    </w:rPr>
  </w:style>
  <w:style w:type="character" w:customStyle="1" w:styleId="20">
    <w:name w:val="批注文字 字符"/>
    <w:basedOn w:val="13"/>
    <w:link w:val="5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21">
    <w:name w:val="批注主题 字符"/>
    <w:basedOn w:val="20"/>
    <w:link w:val="10"/>
    <w:qFormat/>
    <w:uiPriority w:val="0"/>
    <w:rPr>
      <w:rFonts w:asciiTheme="minorHAnsi" w:hAnsiTheme="minorHAnsi" w:eastAsiaTheme="minorEastAsia" w:cstheme="minorBidi"/>
      <w:b/>
      <w:bCs/>
      <w:kern w:val="2"/>
      <w:sz w:val="21"/>
      <w:szCs w:val="24"/>
    </w:rPr>
  </w:style>
  <w:style w:type="character" w:customStyle="1" w:styleId="22">
    <w:name w:val="批注框文本 字符"/>
    <w:basedOn w:val="13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23">
    <w:name w:val="fontstyle31"/>
    <w:basedOn w:val="13"/>
    <w:qFormat/>
    <w:uiPriority w:val="0"/>
    <w:rPr>
      <w:rFonts w:ascii="AdvP4C4E74" w:hAnsi="AdvP4C4E74" w:eastAsia="AdvP4C4E74" w:cs="AdvP4C4E74"/>
      <w:color w:val="000000"/>
      <w:sz w:val="18"/>
      <w:szCs w:val="18"/>
    </w:rPr>
  </w:style>
  <w:style w:type="character" w:customStyle="1" w:styleId="24">
    <w:name w:val="fontstyle41"/>
    <w:basedOn w:val="13"/>
    <w:qFormat/>
    <w:uiPriority w:val="0"/>
    <w:rPr>
      <w:rFonts w:ascii="FfndpmAdvTT1b53b5fb . I" w:hAnsi="FfndpmAdvTT1b53b5fb . I" w:eastAsia="FfndpmAdvTT1b53b5fb . I" w:cs="FfndpmAdvTT1b53b5fb . I"/>
      <w:color w:val="131413"/>
      <w:sz w:val="20"/>
      <w:szCs w:val="20"/>
    </w:rPr>
  </w:style>
  <w:style w:type="character" w:customStyle="1" w:styleId="25">
    <w:name w:val="fontstyle51"/>
    <w:basedOn w:val="13"/>
    <w:qFormat/>
    <w:uiPriority w:val="0"/>
    <w:rPr>
      <w:rFonts w:ascii="HwvhsbAdvTTb5929f4c + 03" w:hAnsi="HwvhsbAdvTTb5929f4c + 03" w:eastAsia="HwvhsbAdvTTb5929f4c + 03" w:cs="HwvhsbAdvTTb5929f4c + 03"/>
      <w:color w:val="131413"/>
      <w:sz w:val="20"/>
      <w:szCs w:val="20"/>
    </w:rPr>
  </w:style>
  <w:style w:type="character" w:customStyle="1" w:styleId="26">
    <w:name w:val="fontstyle11"/>
    <w:basedOn w:val="13"/>
    <w:qFormat/>
    <w:uiPriority w:val="0"/>
    <w:rPr>
      <w:rFonts w:ascii="JnkgpcAdvTT86d47313" w:hAnsi="JnkgpcAdvTT86d47313" w:eastAsia="JnkgpcAdvTT86d47313" w:cs="JnkgpcAdvTT86d47313"/>
      <w:color w:val="131413"/>
      <w:sz w:val="20"/>
      <w:szCs w:val="20"/>
    </w:rPr>
  </w:style>
  <w:style w:type="paragraph" w:customStyle="1" w:styleId="27">
    <w:name w:val="EndNote Bibliography Title"/>
    <w:basedOn w:val="1"/>
    <w:link w:val="28"/>
    <w:qFormat/>
    <w:uiPriority w:val="0"/>
    <w:pPr>
      <w:jc w:val="center"/>
    </w:pPr>
    <w:rPr>
      <w:rFonts w:ascii="Calibri" w:hAnsi="Calibri" w:cs="Calibri"/>
      <w:sz w:val="20"/>
    </w:rPr>
  </w:style>
  <w:style w:type="character" w:customStyle="1" w:styleId="28">
    <w:name w:val="EndNote Bibliography Title 字符"/>
    <w:basedOn w:val="13"/>
    <w:link w:val="27"/>
    <w:qFormat/>
    <w:uiPriority w:val="0"/>
    <w:rPr>
      <w:rFonts w:ascii="Calibri" w:hAnsi="Calibri" w:cs="Calibri" w:eastAsiaTheme="minorEastAsia"/>
      <w:kern w:val="2"/>
      <w:szCs w:val="24"/>
    </w:rPr>
  </w:style>
  <w:style w:type="paragraph" w:customStyle="1" w:styleId="29">
    <w:name w:val="EndNote Bibliography"/>
    <w:basedOn w:val="1"/>
    <w:link w:val="30"/>
    <w:qFormat/>
    <w:uiPriority w:val="0"/>
    <w:rPr>
      <w:rFonts w:ascii="Calibri" w:hAnsi="Calibri" w:cs="Calibri"/>
      <w:sz w:val="20"/>
    </w:rPr>
  </w:style>
  <w:style w:type="character" w:customStyle="1" w:styleId="30">
    <w:name w:val="EndNote Bibliography 字符"/>
    <w:basedOn w:val="13"/>
    <w:link w:val="29"/>
    <w:qFormat/>
    <w:uiPriority w:val="0"/>
    <w:rPr>
      <w:rFonts w:ascii="Calibri" w:hAnsi="Calibri" w:cs="Calibri" w:eastAsiaTheme="minorEastAsia"/>
      <w:kern w:val="2"/>
      <w:szCs w:val="24"/>
    </w:rPr>
  </w:style>
  <w:style w:type="paragraph" w:customStyle="1" w:styleId="31">
    <w:name w:val="正文1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2">
    <w:name w:val="List Paragraph"/>
    <w:basedOn w:val="1"/>
    <w:qFormat/>
    <w:uiPriority w:val="99"/>
    <w:pPr>
      <w:ind w:firstLine="420" w:firstLineChars="200"/>
    </w:pPr>
  </w:style>
  <w:style w:type="character" w:customStyle="1" w:styleId="33">
    <w:name w:val="未处理的提及1"/>
    <w:basedOn w:val="13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34">
    <w:name w:val="修订1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customStyle="1" w:styleId="35">
    <w:name w:val="修订2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customStyle="1" w:styleId="36">
    <w:name w:val="Revision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image" Target="media/image3.tiff"/><Relationship Id="rId6" Type="http://schemas.openxmlformats.org/officeDocument/2006/relationships/image" Target="media/image2.tiff"/><Relationship Id="rId5" Type="http://schemas.openxmlformats.org/officeDocument/2006/relationships/image" Target="media/image1.tiff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C2737DD-4CFC-4721-8817-1320A80B1EF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727</Words>
  <Characters>4149</Characters>
  <Lines>34</Lines>
  <Paragraphs>9</Paragraphs>
  <TotalTime>3</TotalTime>
  <ScaleCrop>false</ScaleCrop>
  <LinksUpToDate>false</LinksUpToDate>
  <CharactersWithSpaces>4867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2021-08-28T04:56:00Z</dcterms:created>
  <dc:creator>小涵</dc:creator>
  <cp:lastModifiedBy>WPS_1576386740</cp:lastModifiedBy>
  <dcterms:modified xsi:type="dcterms:W3CDTF">2022-04-08T16:09:37Z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1A6757F03B204AEC82D99F69E9AFD998</vt:lpwstr>
  </property>
</Properties>
</file>