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2D54CA" w14:textId="193E0E40" w:rsidR="004A0E07" w:rsidRPr="0021171B" w:rsidRDefault="004A0E07" w:rsidP="00322B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</w:pPr>
      <w:r w:rsidRPr="0021171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  <w:t xml:space="preserve">Supplementary </w:t>
      </w:r>
      <w:r w:rsidR="00E93DF1" w:rsidRPr="0021171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  <w:t>Figures</w:t>
      </w:r>
    </w:p>
    <w:p w14:paraId="325B481E" w14:textId="77777777" w:rsidR="00532C49" w:rsidRPr="0021171B" w:rsidRDefault="00532C49" w:rsidP="00322B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GB"/>
        </w:rPr>
      </w:pPr>
      <w:r w:rsidRPr="002117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GB"/>
        </w:rPr>
        <w:t>Zhdanov A.V. et al.</w:t>
      </w:r>
    </w:p>
    <w:p w14:paraId="7CB57D45" w14:textId="47D430A7" w:rsidR="00532C49" w:rsidRPr="0021171B" w:rsidRDefault="00532C49" w:rsidP="00322B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GB"/>
        </w:rPr>
      </w:pPr>
      <w:r w:rsidRPr="002117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GB"/>
        </w:rPr>
        <w:t xml:space="preserve">Ghrelin rapidly elevates protein synthesis </w:t>
      </w:r>
      <w:r w:rsidRPr="0021171B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en-GB"/>
        </w:rPr>
        <w:t>in vitro</w:t>
      </w:r>
      <w:r w:rsidRPr="002117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GB"/>
        </w:rPr>
        <w:t xml:space="preserve"> by employing the rpS6K-eEF2K-eEF2 signalling axis</w:t>
      </w:r>
    </w:p>
    <w:p w14:paraId="03AD35A3" w14:textId="77777777" w:rsidR="00744738" w:rsidRDefault="00744738" w:rsidP="00322B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</w:pPr>
    </w:p>
    <w:p w14:paraId="1CEAC8AC" w14:textId="77777777" w:rsidR="004970AA" w:rsidRPr="0021171B" w:rsidRDefault="004970AA" w:rsidP="00322B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</w:pPr>
    </w:p>
    <w:p w14:paraId="0B49CADB" w14:textId="1FFB10F9" w:rsidR="004A0E07" w:rsidRPr="0021171B" w:rsidRDefault="002C09F4" w:rsidP="00322B59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21171B">
        <w:rPr>
          <w:noProof/>
          <w:color w:val="000000" w:themeColor="text1"/>
          <w:lang w:val="en-US"/>
        </w:rPr>
        <w:drawing>
          <wp:inline distT="0" distB="0" distL="0" distR="0" wp14:anchorId="6DB269FE" wp14:editId="195F8B01">
            <wp:extent cx="5547872" cy="6503044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8434" cy="6503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72DD9" w14:textId="77777777" w:rsidR="00757FF2" w:rsidRPr="0021171B" w:rsidRDefault="00757FF2" w:rsidP="00322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en-GB"/>
        </w:rPr>
      </w:pPr>
    </w:p>
    <w:p w14:paraId="28BAB0DF" w14:textId="37EB96AD" w:rsidR="00744738" w:rsidRPr="0021171B" w:rsidRDefault="004A0E07" w:rsidP="00322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21171B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</w:rPr>
        <w:t xml:space="preserve">Figure </w:t>
      </w:r>
      <w:r w:rsidR="00026689" w:rsidRPr="0021171B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</w:rPr>
        <w:t>S</w:t>
      </w:r>
      <w:r w:rsidRPr="0021171B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</w:rPr>
        <w:t>1</w:t>
      </w:r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. </w:t>
      </w:r>
      <w:r w:rsidRPr="0021171B">
        <w:rPr>
          <w:rFonts w:ascii="Times New Roman" w:eastAsia="Times New Roman" w:hAnsi="Times New Roman" w:cs="Times New Roman"/>
          <w:b/>
          <w:color w:val="000000" w:themeColor="text1"/>
          <w:lang w:eastAsia="en-GB"/>
        </w:rPr>
        <w:t xml:space="preserve">Effect of ghrelin on </w:t>
      </w:r>
      <w:r w:rsidRPr="0021171B">
        <w:rPr>
          <w:rFonts w:ascii="Times New Roman" w:eastAsia="Times New Roman" w:hAnsi="Times New Roman" w:cs="Times New Roman"/>
          <w:b/>
          <w:i/>
          <w:color w:val="000000" w:themeColor="text1"/>
          <w:lang w:eastAsia="en-GB"/>
        </w:rPr>
        <w:t>de novo</w:t>
      </w:r>
      <w:r w:rsidRPr="0021171B">
        <w:rPr>
          <w:rFonts w:ascii="Times New Roman" w:eastAsia="Times New Roman" w:hAnsi="Times New Roman" w:cs="Times New Roman"/>
          <w:b/>
          <w:color w:val="000000" w:themeColor="text1"/>
          <w:lang w:eastAsia="en-GB"/>
        </w:rPr>
        <w:t xml:space="preserve"> production of SNAP</w:t>
      </w:r>
      <w:r w:rsidR="009564BE" w:rsidRPr="0021171B">
        <w:rPr>
          <w:rFonts w:ascii="Times New Roman" w:eastAsia="Times New Roman" w:hAnsi="Times New Roman" w:cs="Times New Roman"/>
          <w:b/>
          <w:color w:val="000000" w:themeColor="text1"/>
          <w:lang w:eastAsia="en-GB"/>
        </w:rPr>
        <w:t xml:space="preserve">, </w:t>
      </w:r>
      <w:proofErr w:type="spellStart"/>
      <w:r w:rsidRPr="0021171B">
        <w:rPr>
          <w:rFonts w:ascii="Times New Roman" w:eastAsia="Times New Roman" w:hAnsi="Times New Roman" w:cs="Times New Roman"/>
          <w:b/>
          <w:color w:val="000000" w:themeColor="text1"/>
          <w:lang w:eastAsia="en-GB"/>
        </w:rPr>
        <w:t>Gaussia</w:t>
      </w:r>
      <w:proofErr w:type="spellEnd"/>
      <w:r w:rsidRPr="0021171B">
        <w:rPr>
          <w:rFonts w:ascii="Times New Roman" w:eastAsia="Times New Roman" w:hAnsi="Times New Roman" w:cs="Times New Roman"/>
          <w:b/>
          <w:color w:val="000000" w:themeColor="text1"/>
          <w:lang w:eastAsia="en-GB"/>
        </w:rPr>
        <w:t xml:space="preserve"> luciferase (</w:t>
      </w:r>
      <w:proofErr w:type="spellStart"/>
      <w:r w:rsidRPr="0021171B">
        <w:rPr>
          <w:rFonts w:ascii="Times New Roman" w:eastAsia="Times New Roman" w:hAnsi="Times New Roman" w:cs="Times New Roman"/>
          <w:b/>
          <w:i/>
          <w:color w:val="000000" w:themeColor="text1"/>
          <w:lang w:eastAsia="en-GB"/>
        </w:rPr>
        <w:t>G</w:t>
      </w:r>
      <w:r w:rsidRPr="0021171B">
        <w:rPr>
          <w:rFonts w:ascii="Times New Roman" w:eastAsia="Times New Roman" w:hAnsi="Times New Roman" w:cs="Times New Roman"/>
          <w:b/>
          <w:color w:val="000000" w:themeColor="text1"/>
          <w:lang w:eastAsia="en-GB"/>
        </w:rPr>
        <w:t>Luc</w:t>
      </w:r>
      <w:proofErr w:type="spellEnd"/>
      <w:r w:rsidRPr="0021171B">
        <w:rPr>
          <w:rFonts w:ascii="Times New Roman" w:eastAsia="Times New Roman" w:hAnsi="Times New Roman" w:cs="Times New Roman"/>
          <w:b/>
          <w:color w:val="000000" w:themeColor="text1"/>
          <w:lang w:eastAsia="en-GB"/>
        </w:rPr>
        <w:t xml:space="preserve">) </w:t>
      </w:r>
      <w:r w:rsidR="009564BE" w:rsidRPr="0021171B">
        <w:rPr>
          <w:rFonts w:ascii="Times New Roman" w:eastAsia="Times New Roman" w:hAnsi="Times New Roman" w:cs="Times New Roman"/>
          <w:b/>
          <w:color w:val="000000" w:themeColor="text1"/>
          <w:lang w:eastAsia="en-GB"/>
        </w:rPr>
        <w:t xml:space="preserve">and total proteins </w:t>
      </w:r>
      <w:r w:rsidRPr="0021171B">
        <w:rPr>
          <w:rFonts w:ascii="Times New Roman" w:eastAsia="Times New Roman" w:hAnsi="Times New Roman" w:cs="Times New Roman"/>
          <w:b/>
          <w:color w:val="000000" w:themeColor="text1"/>
          <w:lang w:eastAsia="en-GB"/>
        </w:rPr>
        <w:t>in HEK293</w:t>
      </w:r>
      <w:r w:rsidRPr="0021171B">
        <w:rPr>
          <w:rFonts w:ascii="Times New Roman" w:eastAsia="Times New Roman" w:hAnsi="Times New Roman" w:cs="Times New Roman"/>
          <w:b/>
          <w:color w:val="000000" w:themeColor="text1"/>
          <w:vertAlign w:val="superscript"/>
          <w:lang w:eastAsia="en-GB"/>
        </w:rPr>
        <w:t>GHS-R1</w:t>
      </w:r>
      <w:r w:rsidRPr="0021171B">
        <w:rPr>
          <w:rFonts w:ascii="Symbol" w:eastAsia="Times New Roman" w:hAnsi="Symbol" w:cs="Times New Roman"/>
          <w:b/>
          <w:color w:val="000000" w:themeColor="text1"/>
          <w:vertAlign w:val="superscript"/>
          <w:lang w:eastAsia="en-GB"/>
        </w:rPr>
        <w:t></w:t>
      </w:r>
      <w:r w:rsidRPr="0021171B">
        <w:rPr>
          <w:rFonts w:ascii="Times New Roman" w:eastAsia="Times New Roman" w:hAnsi="Times New Roman" w:cs="Times New Roman"/>
          <w:b/>
          <w:color w:val="000000" w:themeColor="text1"/>
          <w:vertAlign w:val="superscript"/>
          <w:lang w:eastAsia="en-GB"/>
        </w:rPr>
        <w:t xml:space="preserve">-EGFP+ </w:t>
      </w:r>
      <w:r w:rsidRPr="0021171B">
        <w:rPr>
          <w:rFonts w:ascii="Times New Roman" w:eastAsia="Times New Roman" w:hAnsi="Times New Roman" w:cs="Times New Roman"/>
          <w:b/>
          <w:color w:val="000000" w:themeColor="text1"/>
          <w:lang w:eastAsia="en-GB"/>
        </w:rPr>
        <w:t>cells</w:t>
      </w:r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. </w:t>
      </w:r>
      <w:proofErr w:type="gramStart"/>
      <w:r w:rsidR="0058736C" w:rsidRPr="0021171B">
        <w:rPr>
          <w:rFonts w:ascii="Arial" w:eastAsia="Times New Roman" w:hAnsi="Arial" w:cs="Arial"/>
          <w:b/>
          <w:color w:val="000000" w:themeColor="text1"/>
          <w:lang w:eastAsia="en-GB"/>
        </w:rPr>
        <w:t>a</w:t>
      </w:r>
      <w:proofErr w:type="gramEnd"/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 Scheme of the </w:t>
      </w:r>
      <w:r w:rsidR="00C85129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SNAP </w:t>
      </w:r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experiment. Cells were transfected with pcDNA3.4-SNAP plasmid and then seeded and grown on 6-well plates for 38 h, including a 14 h incubation in DMEM supplemented with 1% FBS (pre-incubations and ghrelin treatment). Cells were incubated with SNAP-Cell® Block (10 </w:t>
      </w:r>
      <w:r w:rsidRPr="0021171B">
        <w:rPr>
          <w:rFonts w:ascii="Symbol" w:eastAsia="Times New Roman" w:hAnsi="Symbol" w:cs="Times New Roman"/>
          <w:color w:val="000000" w:themeColor="text1"/>
          <w:lang w:eastAsia="en-GB"/>
        </w:rPr>
        <w:t></w:t>
      </w:r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M, 15 min), quickly washed (time ‘zero’), treated with or without ghrelin (100 </w:t>
      </w:r>
      <w:proofErr w:type="spellStart"/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>nM</w:t>
      </w:r>
      <w:proofErr w:type="spellEnd"/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) for indicated time and lysed with PLB (1.5 </w:t>
      </w:r>
      <w:proofErr w:type="spellStart"/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>mM</w:t>
      </w:r>
      <w:proofErr w:type="spellEnd"/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 Mg</w:t>
      </w:r>
      <w:r w:rsidRPr="0021171B">
        <w:rPr>
          <w:rFonts w:ascii="Times New Roman" w:eastAsia="Times New Roman" w:hAnsi="Times New Roman" w:cs="Times New Roman"/>
          <w:color w:val="000000" w:themeColor="text1"/>
          <w:vertAlign w:val="superscript"/>
          <w:lang w:eastAsia="en-GB"/>
        </w:rPr>
        <w:t>2+</w:t>
      </w:r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). In the ‘Block only’ control samples, cells were lysed immediately after treatment with SNAP-Cell® Block. After lysate clarification, SNAP was stained with SNAP-Cell® 647-SiR dye (2 </w:t>
      </w:r>
      <w:r w:rsidRPr="0021171B">
        <w:rPr>
          <w:rFonts w:ascii="Symbol" w:eastAsia="Times New Roman" w:hAnsi="Symbol" w:cs="Times New Roman"/>
          <w:color w:val="000000" w:themeColor="text1"/>
          <w:lang w:eastAsia="en-GB"/>
        </w:rPr>
        <w:t></w:t>
      </w:r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M, 30-60 min at 37°C). Proteins were separated on 4-10% gel and analysed on a Typhoon Trio Imager using Cy5 settings. </w:t>
      </w:r>
      <w:proofErr w:type="gramStart"/>
      <w:r w:rsidR="0058736C" w:rsidRPr="0021171B">
        <w:rPr>
          <w:rFonts w:ascii="Arial" w:eastAsia="Times New Roman" w:hAnsi="Arial" w:cs="Arial"/>
          <w:b/>
          <w:color w:val="000000" w:themeColor="text1"/>
          <w:lang w:eastAsia="en-GB"/>
        </w:rPr>
        <w:t>b</w:t>
      </w:r>
      <w:proofErr w:type="gramEnd"/>
      <w:r w:rsidR="0058736C" w:rsidRPr="0021171B">
        <w:rPr>
          <w:rFonts w:ascii="Arial" w:eastAsia="Times New Roman" w:hAnsi="Arial" w:cs="Arial"/>
          <w:b/>
          <w:color w:val="000000" w:themeColor="text1"/>
          <w:lang w:eastAsia="en-GB"/>
        </w:rPr>
        <w:t xml:space="preserve"> </w:t>
      </w:r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>Levels of SNAP in ghrelin (+) and ghrelin (-) cells</w:t>
      </w:r>
      <w:r w:rsidR="00C85129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 following 15 and 30 min of ghrelin treatment</w:t>
      </w:r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; </w:t>
      </w:r>
      <w:r w:rsidRPr="0021171B">
        <w:rPr>
          <w:rFonts w:ascii="Symbol" w:eastAsia="Times New Roman" w:hAnsi="Symbol" w:cs="Times New Roman"/>
          <w:color w:val="000000" w:themeColor="text1"/>
          <w:lang w:eastAsia="en-GB"/>
        </w:rPr>
        <w:t></w:t>
      </w:r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-tubulin staining was used for loading control; N=3. </w:t>
      </w:r>
      <w:proofErr w:type="gramStart"/>
      <w:r w:rsidR="0058736C" w:rsidRPr="0021171B">
        <w:rPr>
          <w:rFonts w:ascii="Arial" w:eastAsia="Times New Roman" w:hAnsi="Arial" w:cs="Arial"/>
          <w:b/>
          <w:color w:val="000000" w:themeColor="text1"/>
          <w:lang w:eastAsia="en-GB"/>
        </w:rPr>
        <w:t>c</w:t>
      </w:r>
      <w:proofErr w:type="gramEnd"/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 Effects of ghrelin on </w:t>
      </w:r>
      <w:r w:rsidRPr="0021171B">
        <w:rPr>
          <w:rFonts w:ascii="Times New Roman" w:eastAsia="Times New Roman" w:hAnsi="Times New Roman" w:cs="Times New Roman"/>
          <w:i/>
          <w:color w:val="000000" w:themeColor="text1"/>
          <w:lang w:eastAsia="en-GB"/>
        </w:rPr>
        <w:t>de novo</w:t>
      </w:r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 production of </w:t>
      </w:r>
      <w:proofErr w:type="spellStart"/>
      <w:r w:rsidRPr="0021171B">
        <w:rPr>
          <w:rFonts w:ascii="Times New Roman" w:eastAsia="Times New Roman" w:hAnsi="Times New Roman" w:cs="Times New Roman"/>
          <w:i/>
          <w:color w:val="000000" w:themeColor="text1"/>
          <w:lang w:eastAsia="en-GB"/>
        </w:rPr>
        <w:t>Gaussia</w:t>
      </w:r>
      <w:proofErr w:type="spellEnd"/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 luciferase (</w:t>
      </w:r>
      <w:proofErr w:type="spellStart"/>
      <w:r w:rsidRPr="0021171B">
        <w:rPr>
          <w:rFonts w:ascii="Times New Roman" w:eastAsia="Times New Roman" w:hAnsi="Times New Roman" w:cs="Times New Roman"/>
          <w:i/>
          <w:color w:val="000000" w:themeColor="text1"/>
          <w:lang w:eastAsia="en-GB"/>
        </w:rPr>
        <w:t>G</w:t>
      </w:r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>Luc</w:t>
      </w:r>
      <w:proofErr w:type="spellEnd"/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, N=5) and SNAP (stained with SNAP-Cell® 647-SiR dye, N=4). </w:t>
      </w:r>
      <w:r w:rsidR="0058736C" w:rsidRPr="0021171B">
        <w:rPr>
          <w:rFonts w:ascii="Arial" w:eastAsia="Times New Roman" w:hAnsi="Arial" w:cs="Arial"/>
          <w:b/>
          <w:color w:val="000000" w:themeColor="text1"/>
          <w:lang w:eastAsia="en-GB"/>
        </w:rPr>
        <w:t>d</w:t>
      </w:r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 </w:t>
      </w:r>
      <w:r w:rsidR="00632B3B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>Metabolic</w:t>
      </w:r>
      <w:r w:rsidR="001B7978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 labelling of </w:t>
      </w:r>
      <w:r w:rsidR="00632B3B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newly produced proteins using </w:t>
      </w:r>
      <w:r w:rsidR="00D04884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>Click-</w:t>
      </w:r>
      <w:proofErr w:type="spellStart"/>
      <w:r w:rsidR="00D04884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>iT</w:t>
      </w:r>
      <w:proofErr w:type="spellEnd"/>
      <w:r w:rsidR="00D04884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® HPG Alexa Fluor 594 kit: confocal analysis </w:t>
      </w:r>
      <w:r w:rsidR="005F04B3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of </w:t>
      </w:r>
      <w:r w:rsidR="00277398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>Alexa Fluor 594</w:t>
      </w:r>
      <w:r w:rsidR="00321144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, </w:t>
      </w:r>
      <w:r w:rsidR="00973861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>EGFP</w:t>
      </w:r>
      <w:r w:rsidR="005B05D8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 </w:t>
      </w:r>
      <w:r w:rsidR="00DE2A4B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>and</w:t>
      </w:r>
      <w:r w:rsidR="00DE2A4B" w:rsidRPr="0021171B">
        <w:rPr>
          <w:color w:val="000000" w:themeColor="text1"/>
        </w:rPr>
        <w:t xml:space="preserve"> </w:t>
      </w:r>
      <w:proofErr w:type="spellStart"/>
      <w:r w:rsidR="00DE2A4B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>NuclearMask</w:t>
      </w:r>
      <w:proofErr w:type="spellEnd"/>
      <w:r w:rsidR="00DE2A4B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>™ Blue Stain</w:t>
      </w:r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 signals in mock and ghrelin treated cells (</w:t>
      </w:r>
      <w:r w:rsidR="005B05D8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100 </w:t>
      </w:r>
      <w:proofErr w:type="spellStart"/>
      <w:r w:rsidR="005B05D8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>nM</w:t>
      </w:r>
      <w:proofErr w:type="spellEnd"/>
      <w:r w:rsidR="005B05D8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, </w:t>
      </w:r>
      <w:r w:rsidR="00EA6521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>30 min</w:t>
      </w:r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>)</w:t>
      </w:r>
      <w:r w:rsidR="00B63022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. </w:t>
      </w:r>
      <w:r w:rsidR="00FB4027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Images show single planes (DIC) or stacks of </w:t>
      </w:r>
      <w:r w:rsidR="005B05D8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>seven</w:t>
      </w:r>
      <w:r w:rsidR="00FB4027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 focal planes taken with a 0.5 </w:t>
      </w:r>
      <w:r w:rsidR="00FB4027" w:rsidRPr="0021171B">
        <w:rPr>
          <w:rFonts w:ascii="Symbol" w:eastAsia="Times New Roman" w:hAnsi="Symbol" w:cs="Times New Roman"/>
          <w:color w:val="000000" w:themeColor="text1"/>
          <w:lang w:eastAsia="en-GB"/>
        </w:rPr>
        <w:t></w:t>
      </w:r>
      <w:r w:rsidR="00FB4027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>m step (</w:t>
      </w:r>
      <w:r w:rsidR="005B05D8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>fluorescent dyes</w:t>
      </w:r>
      <w:r w:rsidR="00FB4027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>).</w:t>
      </w:r>
      <w:r w:rsidR="00B63022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 Relevant quantitative analysis is shown in Fig. 1.</w:t>
      </w:r>
    </w:p>
    <w:p w14:paraId="12A319D9" w14:textId="77777777" w:rsidR="00744738" w:rsidRPr="0021171B" w:rsidRDefault="00744738" w:rsidP="00322B59">
      <w:pPr>
        <w:jc w:val="both"/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br w:type="page"/>
      </w:r>
    </w:p>
    <w:p w14:paraId="527939B6" w14:textId="53A4EF0B" w:rsidR="003A7767" w:rsidRDefault="005809A0" w:rsidP="00322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</w:rPr>
      </w:pPr>
      <w:r w:rsidRPr="0021171B">
        <w:rPr>
          <w:noProof/>
          <w:color w:val="000000" w:themeColor="text1"/>
          <w:lang w:val="en-US"/>
        </w:rPr>
        <w:drawing>
          <wp:inline distT="0" distB="0" distL="0" distR="0" wp14:anchorId="4257F88D" wp14:editId="731F22C4">
            <wp:extent cx="5486400" cy="729657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8" cy="7296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3626B" w14:textId="77777777" w:rsidR="001A0207" w:rsidRDefault="001A0207" w:rsidP="00322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</w:rPr>
      </w:pPr>
    </w:p>
    <w:p w14:paraId="7D7D86AF" w14:textId="77777777" w:rsidR="001A0207" w:rsidRPr="0021171B" w:rsidRDefault="001A0207" w:rsidP="00322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</w:rPr>
      </w:pPr>
    </w:p>
    <w:p w14:paraId="34DB614B" w14:textId="7EA7F9D3" w:rsidR="008D33DA" w:rsidRPr="0021171B" w:rsidRDefault="008D33DA" w:rsidP="00322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21171B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</w:rPr>
        <w:t>Figure S2</w:t>
      </w:r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. </w:t>
      </w:r>
      <w:r w:rsidRPr="0021171B">
        <w:rPr>
          <w:rFonts w:ascii="Times New Roman" w:eastAsia="Times New Roman" w:hAnsi="Times New Roman" w:cs="Times New Roman"/>
          <w:b/>
          <w:color w:val="000000" w:themeColor="text1"/>
          <w:lang w:eastAsia="en-GB"/>
        </w:rPr>
        <w:t>Ghrelin-induced changes in protein phosphorylation in HEK293</w:t>
      </w:r>
      <w:r w:rsidRPr="0021171B">
        <w:rPr>
          <w:rFonts w:ascii="Times New Roman" w:eastAsia="Times New Roman" w:hAnsi="Times New Roman" w:cs="Times New Roman"/>
          <w:b/>
          <w:color w:val="000000" w:themeColor="text1"/>
          <w:vertAlign w:val="superscript"/>
          <w:lang w:eastAsia="en-GB"/>
        </w:rPr>
        <w:t>GHS-R1</w:t>
      </w:r>
      <w:r w:rsidRPr="0021171B">
        <w:rPr>
          <w:rFonts w:ascii="Symbol" w:eastAsia="Times New Roman" w:hAnsi="Symbol" w:cs="Times New Roman"/>
          <w:b/>
          <w:color w:val="000000" w:themeColor="text1"/>
          <w:vertAlign w:val="superscript"/>
          <w:lang w:eastAsia="en-GB"/>
        </w:rPr>
        <w:t></w:t>
      </w:r>
      <w:r w:rsidRPr="0021171B">
        <w:rPr>
          <w:rFonts w:ascii="Times New Roman" w:eastAsia="Times New Roman" w:hAnsi="Times New Roman" w:cs="Times New Roman"/>
          <w:b/>
          <w:color w:val="000000" w:themeColor="text1"/>
          <w:vertAlign w:val="superscript"/>
          <w:lang w:eastAsia="en-GB"/>
        </w:rPr>
        <w:t xml:space="preserve">-EGFP+ </w:t>
      </w:r>
      <w:r w:rsidRPr="0021171B">
        <w:rPr>
          <w:rFonts w:ascii="Times New Roman" w:eastAsia="Times New Roman" w:hAnsi="Times New Roman" w:cs="Times New Roman"/>
          <w:b/>
          <w:color w:val="000000" w:themeColor="text1"/>
          <w:lang w:eastAsia="en-GB"/>
        </w:rPr>
        <w:t>cells</w:t>
      </w:r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>: effect of treatment time</w:t>
      </w:r>
      <w:r w:rsidR="005809A0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 (</w:t>
      </w:r>
      <w:r w:rsidRPr="0021171B">
        <w:rPr>
          <w:rFonts w:ascii="Arial" w:eastAsia="Times New Roman" w:hAnsi="Arial" w:cs="Arial"/>
          <w:b/>
          <w:color w:val="000000" w:themeColor="text1"/>
          <w:lang w:eastAsia="en-GB"/>
        </w:rPr>
        <w:t>a</w:t>
      </w:r>
      <w:r w:rsidR="005809A0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>) and ghrelin concentration (</w:t>
      </w:r>
      <w:r w:rsidR="005809A0" w:rsidRPr="0021171B">
        <w:rPr>
          <w:rFonts w:ascii="Arial" w:eastAsia="Times New Roman" w:hAnsi="Arial" w:cs="Arial"/>
          <w:b/>
          <w:color w:val="000000" w:themeColor="text1"/>
          <w:lang w:eastAsia="en-GB"/>
        </w:rPr>
        <w:t>b</w:t>
      </w:r>
      <w:r w:rsidR="005809A0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); </w:t>
      </w:r>
      <w:r w:rsidR="00E521A7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representative images of </w:t>
      </w:r>
      <w:r w:rsidR="005809A0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independent experiments. </w:t>
      </w:r>
      <w:proofErr w:type="gramStart"/>
      <w:r w:rsidR="005809A0" w:rsidRPr="0021171B">
        <w:rPr>
          <w:rFonts w:ascii="Arial" w:eastAsia="Times New Roman" w:hAnsi="Arial" w:cs="Arial"/>
          <w:b/>
          <w:color w:val="000000" w:themeColor="text1"/>
          <w:lang w:eastAsia="en-GB"/>
        </w:rPr>
        <w:t>c</w:t>
      </w:r>
      <w:proofErr w:type="gramEnd"/>
      <w:r w:rsidR="005809A0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 Time-dependent response of CREB (Ser133 phosphorylation) to 100 </w:t>
      </w:r>
      <w:proofErr w:type="spellStart"/>
      <w:r w:rsidR="005809A0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>nM</w:t>
      </w:r>
      <w:proofErr w:type="spellEnd"/>
      <w:r w:rsidR="005809A0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 ghrelin; (N = 1). </w:t>
      </w:r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>Cells were pre-incubated for 12-1</w:t>
      </w:r>
      <w:r w:rsidR="00573156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>6</w:t>
      </w:r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 h in serum-free DMEM </w:t>
      </w:r>
      <w:r w:rsidR="00573156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supplemented with NEAA and </w:t>
      </w:r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then treated with ghrelin </w:t>
      </w:r>
      <w:r w:rsidR="005809A0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>as indicated</w:t>
      </w:r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>. Data were normalised to the corresponding total protein levels.</w:t>
      </w:r>
    </w:p>
    <w:p w14:paraId="2829D912" w14:textId="71EC2C15" w:rsidR="004A0E07" w:rsidRPr="0021171B" w:rsidRDefault="004A0E07" w:rsidP="00322B59">
      <w:pPr>
        <w:jc w:val="both"/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br w:type="page"/>
      </w:r>
    </w:p>
    <w:p w14:paraId="62FB85CC" w14:textId="232BD469" w:rsidR="004A0E07" w:rsidRPr="0021171B" w:rsidRDefault="005723CE" w:rsidP="00322B59">
      <w:pPr>
        <w:spacing w:after="0"/>
        <w:jc w:val="both"/>
        <w:rPr>
          <w:color w:val="000000" w:themeColor="text1"/>
        </w:rPr>
      </w:pPr>
      <w:r w:rsidRPr="0021171B">
        <w:rPr>
          <w:noProof/>
          <w:color w:val="000000" w:themeColor="text1"/>
          <w:lang w:val="en-US"/>
        </w:rPr>
        <w:drawing>
          <wp:inline distT="0" distB="0" distL="0" distR="0" wp14:anchorId="4608B013" wp14:editId="513CB35D">
            <wp:extent cx="5731510" cy="4605369"/>
            <wp:effectExtent l="0" t="0" r="2540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605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8DB38" w14:textId="77777777" w:rsidR="004A0E07" w:rsidRPr="0021171B" w:rsidRDefault="004A0E07" w:rsidP="00322B59">
      <w:pPr>
        <w:spacing w:after="0"/>
        <w:jc w:val="both"/>
        <w:rPr>
          <w:color w:val="000000" w:themeColor="text1"/>
        </w:rPr>
      </w:pPr>
    </w:p>
    <w:p w14:paraId="20585F3C" w14:textId="6DC41492" w:rsidR="008B7986" w:rsidRPr="0021171B" w:rsidRDefault="004A0E07" w:rsidP="00322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21171B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</w:rPr>
        <w:t xml:space="preserve">Figure </w:t>
      </w:r>
      <w:r w:rsidR="00026689" w:rsidRPr="0021171B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</w:rPr>
        <w:t>S</w:t>
      </w:r>
      <w:r w:rsidR="005723CE" w:rsidRPr="0021171B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</w:rPr>
        <w:t>3</w:t>
      </w:r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. </w:t>
      </w:r>
      <w:r w:rsidRPr="0021171B">
        <w:rPr>
          <w:rFonts w:ascii="Times New Roman" w:eastAsia="Times New Roman" w:hAnsi="Times New Roman" w:cs="Times New Roman"/>
          <w:b/>
          <w:color w:val="000000" w:themeColor="text1"/>
          <w:lang w:eastAsia="en-GB"/>
        </w:rPr>
        <w:t>Effect of ghrelin on GHS-R1</w:t>
      </w:r>
      <w:r w:rsidRPr="0021171B">
        <w:rPr>
          <w:rFonts w:ascii="Symbol" w:eastAsia="Times New Roman" w:hAnsi="Symbol" w:cs="Times New Roman"/>
          <w:b/>
          <w:color w:val="000000" w:themeColor="text1"/>
          <w:lang w:eastAsia="en-GB"/>
        </w:rPr>
        <w:t></w:t>
      </w:r>
      <w:r w:rsidRPr="0021171B">
        <w:rPr>
          <w:rFonts w:ascii="Times New Roman" w:eastAsia="Times New Roman" w:hAnsi="Times New Roman" w:cs="Times New Roman"/>
          <w:b/>
          <w:color w:val="000000" w:themeColor="text1"/>
          <w:lang w:eastAsia="en-GB"/>
        </w:rPr>
        <w:t xml:space="preserve"> internalisation and cytosolic Ca</w:t>
      </w:r>
      <w:r w:rsidRPr="0021171B">
        <w:rPr>
          <w:rFonts w:ascii="Times New Roman" w:eastAsia="Times New Roman" w:hAnsi="Times New Roman" w:cs="Times New Roman"/>
          <w:b/>
          <w:color w:val="000000" w:themeColor="text1"/>
          <w:vertAlign w:val="superscript"/>
          <w:lang w:eastAsia="en-GB"/>
        </w:rPr>
        <w:t>2+</w:t>
      </w:r>
      <w:r w:rsidRPr="0021171B">
        <w:rPr>
          <w:rFonts w:ascii="Times New Roman" w:eastAsia="Times New Roman" w:hAnsi="Times New Roman" w:cs="Times New Roman"/>
          <w:b/>
          <w:color w:val="000000" w:themeColor="text1"/>
          <w:lang w:eastAsia="en-GB"/>
        </w:rPr>
        <w:t xml:space="preserve"> levels in HEK293</w:t>
      </w:r>
      <w:r w:rsidRPr="0021171B">
        <w:rPr>
          <w:rFonts w:ascii="Times New Roman" w:eastAsia="Times New Roman" w:hAnsi="Times New Roman" w:cs="Times New Roman"/>
          <w:b/>
          <w:color w:val="000000" w:themeColor="text1"/>
          <w:vertAlign w:val="superscript"/>
          <w:lang w:eastAsia="en-GB"/>
        </w:rPr>
        <w:t>GHS-R1</w:t>
      </w:r>
      <w:r w:rsidRPr="0021171B">
        <w:rPr>
          <w:rFonts w:ascii="Symbol" w:eastAsia="Times New Roman" w:hAnsi="Symbol" w:cs="Times New Roman"/>
          <w:b/>
          <w:color w:val="000000" w:themeColor="text1"/>
          <w:vertAlign w:val="superscript"/>
          <w:lang w:eastAsia="en-GB"/>
        </w:rPr>
        <w:t></w:t>
      </w:r>
      <w:r w:rsidRPr="0021171B">
        <w:rPr>
          <w:rFonts w:ascii="Times New Roman" w:eastAsia="Times New Roman" w:hAnsi="Times New Roman" w:cs="Times New Roman"/>
          <w:b/>
          <w:color w:val="000000" w:themeColor="text1"/>
          <w:vertAlign w:val="superscript"/>
          <w:lang w:eastAsia="en-GB"/>
        </w:rPr>
        <w:t xml:space="preserve">-EGFP+ </w:t>
      </w:r>
      <w:r w:rsidRPr="0021171B">
        <w:rPr>
          <w:rFonts w:ascii="Times New Roman" w:eastAsia="Times New Roman" w:hAnsi="Times New Roman" w:cs="Times New Roman"/>
          <w:b/>
          <w:color w:val="000000" w:themeColor="text1"/>
          <w:lang w:eastAsia="en-GB"/>
        </w:rPr>
        <w:t>cells</w:t>
      </w:r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. Live cell confocal imaging analysis. </w:t>
      </w:r>
      <w:proofErr w:type="gramStart"/>
      <w:r w:rsidR="00B97386" w:rsidRPr="0021171B">
        <w:rPr>
          <w:rFonts w:ascii="Arial" w:eastAsia="Times New Roman" w:hAnsi="Arial" w:cs="Arial"/>
          <w:b/>
          <w:color w:val="000000" w:themeColor="text1"/>
          <w:lang w:eastAsia="en-GB"/>
        </w:rPr>
        <w:t>a</w:t>
      </w:r>
      <w:r w:rsidR="002D573A" w:rsidRPr="0021171B">
        <w:rPr>
          <w:rFonts w:ascii="Arial" w:eastAsia="Times New Roman" w:hAnsi="Arial" w:cs="Arial"/>
          <w:b/>
          <w:color w:val="000000" w:themeColor="text1"/>
          <w:lang w:eastAsia="en-GB"/>
        </w:rPr>
        <w:t>-c</w:t>
      </w:r>
      <w:proofErr w:type="gramEnd"/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 Ghrelin-induced changes in GFP intensity across representative cells, a line profile analy</w:t>
      </w:r>
      <w:r w:rsidR="002D573A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>sis (arrows show cell borders) and r</w:t>
      </w:r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>atios between cytosolic</w:t>
      </w:r>
      <w:r w:rsidR="00E521A7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>-</w:t>
      </w:r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 and plasma membrane</w:t>
      </w:r>
      <w:r w:rsidR="00E521A7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>-</w:t>
      </w:r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 (PM) associated GFP signals before and 30 min after addition of ghrelin. </w:t>
      </w:r>
      <w:proofErr w:type="gramStart"/>
      <w:r w:rsidR="002D573A" w:rsidRPr="0021171B">
        <w:rPr>
          <w:rFonts w:ascii="Arial" w:eastAsia="Times New Roman" w:hAnsi="Arial" w:cs="Arial"/>
          <w:b/>
          <w:color w:val="000000" w:themeColor="text1"/>
          <w:lang w:eastAsia="en-GB"/>
        </w:rPr>
        <w:t>d</w:t>
      </w:r>
      <w:proofErr w:type="gramEnd"/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 Changes in OGB-1 (Ca</w:t>
      </w:r>
      <w:r w:rsidRPr="0021171B">
        <w:rPr>
          <w:rFonts w:ascii="Times New Roman" w:eastAsia="Times New Roman" w:hAnsi="Times New Roman" w:cs="Times New Roman"/>
          <w:color w:val="000000" w:themeColor="text1"/>
          <w:vertAlign w:val="superscript"/>
          <w:lang w:eastAsia="en-GB"/>
        </w:rPr>
        <w:t>2+</w:t>
      </w:r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 indicator) </w:t>
      </w:r>
      <w:r w:rsidR="002D573A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lifetime (LT) </w:t>
      </w:r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>upon ghrelin treatment</w:t>
      </w:r>
      <w:r w:rsidR="002D573A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>, confocal FLIM analysis</w:t>
      </w:r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. Images produced by </w:t>
      </w:r>
      <w:proofErr w:type="spellStart"/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>SPCImage</w:t>
      </w:r>
      <w:proofErr w:type="spellEnd"/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 software show LT of the dye as rainbow false colours. OGB-1 LT increase and colours change from ‘cold’ to ‘warm’ upon binding of OGB-1 with Ca</w:t>
      </w:r>
      <w:r w:rsidRPr="0021171B">
        <w:rPr>
          <w:rFonts w:ascii="Times New Roman" w:eastAsia="Times New Roman" w:hAnsi="Times New Roman" w:cs="Times New Roman"/>
          <w:color w:val="000000" w:themeColor="text1"/>
          <w:vertAlign w:val="superscript"/>
          <w:lang w:eastAsia="en-GB"/>
        </w:rPr>
        <w:t>2+</w:t>
      </w:r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. </w:t>
      </w:r>
      <w:proofErr w:type="gramStart"/>
      <w:r w:rsidR="002D573A" w:rsidRPr="0021171B">
        <w:rPr>
          <w:rFonts w:ascii="Arial" w:eastAsia="Times New Roman" w:hAnsi="Arial" w:cs="Arial"/>
          <w:b/>
          <w:color w:val="000000" w:themeColor="text1"/>
          <w:lang w:eastAsia="en-GB"/>
        </w:rPr>
        <w:t>e</w:t>
      </w:r>
      <w:proofErr w:type="gramEnd"/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 LT images of GFP alone (no OGB-1 staining), shown with the same colour settings as in (</w:t>
      </w:r>
      <w:r w:rsidR="002D573A" w:rsidRPr="0021171B">
        <w:rPr>
          <w:rFonts w:ascii="Arial" w:eastAsia="Times New Roman" w:hAnsi="Arial" w:cs="Arial"/>
          <w:b/>
          <w:color w:val="000000" w:themeColor="text1"/>
          <w:lang w:eastAsia="en-GB"/>
        </w:rPr>
        <w:t>d</w:t>
      </w:r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). </w:t>
      </w:r>
      <w:r w:rsidR="002D573A" w:rsidRPr="0021171B">
        <w:rPr>
          <w:rFonts w:ascii="Arial" w:eastAsia="Times New Roman" w:hAnsi="Arial" w:cs="Arial"/>
          <w:b/>
          <w:color w:val="000000" w:themeColor="text1"/>
          <w:lang w:eastAsia="en-GB"/>
        </w:rPr>
        <w:t>f</w:t>
      </w:r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 Histograms of GFP and OGB-1 LT distribution in fields of view during ghrelin treatment; right panel shows cumulative LT histogram, from which the 25</w:t>
      </w:r>
      <w:r w:rsidRPr="0021171B">
        <w:rPr>
          <w:rFonts w:ascii="Times New Roman" w:eastAsia="Times New Roman" w:hAnsi="Times New Roman" w:cs="Times New Roman"/>
          <w:color w:val="000000" w:themeColor="text1"/>
          <w:vertAlign w:val="superscript"/>
          <w:lang w:eastAsia="en-GB"/>
        </w:rPr>
        <w:t>th</w:t>
      </w:r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>, 50</w:t>
      </w:r>
      <w:r w:rsidRPr="0021171B">
        <w:rPr>
          <w:rFonts w:ascii="Times New Roman" w:eastAsia="Times New Roman" w:hAnsi="Times New Roman" w:cs="Times New Roman"/>
          <w:color w:val="000000" w:themeColor="text1"/>
          <w:vertAlign w:val="superscript"/>
          <w:lang w:eastAsia="en-GB"/>
        </w:rPr>
        <w:t>th</w:t>
      </w:r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 and 75</w:t>
      </w:r>
      <w:r w:rsidRPr="0021171B">
        <w:rPr>
          <w:rFonts w:ascii="Times New Roman" w:eastAsia="Times New Roman" w:hAnsi="Times New Roman" w:cs="Times New Roman"/>
          <w:color w:val="000000" w:themeColor="text1"/>
          <w:vertAlign w:val="superscript"/>
          <w:lang w:eastAsia="en-GB"/>
        </w:rPr>
        <w:t>th</w:t>
      </w:r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 percentile values can be calculated (dotted lines). An increase in these values report on the elevation of Ca</w:t>
      </w:r>
      <w:r w:rsidRPr="0021171B">
        <w:rPr>
          <w:rFonts w:ascii="Times New Roman" w:eastAsia="Times New Roman" w:hAnsi="Times New Roman" w:cs="Times New Roman"/>
          <w:color w:val="000000" w:themeColor="text1"/>
          <w:vertAlign w:val="superscript"/>
          <w:lang w:eastAsia="en-GB"/>
        </w:rPr>
        <w:t>2+</w:t>
      </w:r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 levels. </w:t>
      </w:r>
      <w:proofErr w:type="gramStart"/>
      <w:r w:rsidR="002D573A" w:rsidRPr="0021171B">
        <w:rPr>
          <w:rFonts w:ascii="Arial" w:eastAsia="Times New Roman" w:hAnsi="Arial" w:cs="Arial"/>
          <w:b/>
          <w:color w:val="000000" w:themeColor="text1"/>
          <w:lang w:eastAsia="en-GB"/>
        </w:rPr>
        <w:t>g</w:t>
      </w:r>
      <w:proofErr w:type="gramEnd"/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 </w:t>
      </w:r>
      <w:r w:rsidR="002D573A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>Ca</w:t>
      </w:r>
      <w:r w:rsidR="002D573A" w:rsidRPr="0021171B">
        <w:rPr>
          <w:rFonts w:ascii="Times New Roman" w:eastAsia="Times New Roman" w:hAnsi="Times New Roman" w:cs="Times New Roman"/>
          <w:color w:val="000000" w:themeColor="text1"/>
          <w:vertAlign w:val="superscript"/>
          <w:lang w:eastAsia="en-GB"/>
        </w:rPr>
        <w:t>2+</w:t>
      </w:r>
      <w:r w:rsidR="002D573A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 levels in cells treated by FCCP (1 </w:t>
      </w:r>
      <w:r w:rsidR="002D573A" w:rsidRPr="0021171B">
        <w:rPr>
          <w:rFonts w:ascii="Symbol" w:eastAsia="Times New Roman" w:hAnsi="Symbol" w:cs="Times New Roman"/>
          <w:color w:val="000000" w:themeColor="text1"/>
          <w:lang w:eastAsia="en-GB"/>
        </w:rPr>
        <w:t></w:t>
      </w:r>
      <w:r w:rsidR="002D573A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M) and ghrelin (30 min, </w:t>
      </w:r>
      <w:r w:rsidR="008B7986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50 </w:t>
      </w:r>
      <w:proofErr w:type="spellStart"/>
      <w:r w:rsidR="008B7986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>nM</w:t>
      </w:r>
      <w:proofErr w:type="spellEnd"/>
      <w:r w:rsidR="008B7986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, see Fig. 6e). </w:t>
      </w:r>
      <w:r w:rsidR="002D573A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>Confocal FLIM analysis of OGB-1 probe is shown as cumulative LT distribution histogram.</w:t>
      </w:r>
      <w:r w:rsidR="008B7986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 </w:t>
      </w:r>
    </w:p>
    <w:p w14:paraId="140ED3B4" w14:textId="7694F614" w:rsidR="004A0E07" w:rsidRPr="0021171B" w:rsidRDefault="004A0E07" w:rsidP="00322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>In all experiments (</w:t>
      </w:r>
      <w:r w:rsidR="00B97386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>N</w:t>
      </w:r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=3), cells were pre-incubated in DMEM supplemented with 1% FBS for 12-14 h and then treated with 100 </w:t>
      </w:r>
      <w:proofErr w:type="spellStart"/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>nM</w:t>
      </w:r>
      <w:proofErr w:type="spellEnd"/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 ghrelin. Fluorescence images are stacks of three focal planes taken with 0.5 </w:t>
      </w:r>
      <w:r w:rsidRPr="0021171B">
        <w:rPr>
          <w:rFonts w:ascii="Symbol" w:eastAsia="Times New Roman" w:hAnsi="Symbol" w:cs="Times New Roman"/>
          <w:color w:val="000000" w:themeColor="text1"/>
          <w:lang w:eastAsia="en-GB"/>
        </w:rPr>
        <w:t></w:t>
      </w:r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>m steps (</w:t>
      </w:r>
      <w:r w:rsidR="00B97386" w:rsidRPr="0021171B">
        <w:rPr>
          <w:rFonts w:ascii="Arial" w:eastAsia="Times New Roman" w:hAnsi="Arial" w:cs="Arial"/>
          <w:b/>
          <w:color w:val="000000" w:themeColor="text1"/>
          <w:lang w:eastAsia="en-GB"/>
        </w:rPr>
        <w:t>a</w:t>
      </w:r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) or three focal planes taken with 1 </w:t>
      </w:r>
      <w:r w:rsidRPr="0021171B">
        <w:rPr>
          <w:rFonts w:ascii="Symbol" w:eastAsia="Times New Roman" w:hAnsi="Symbol" w:cs="Times New Roman"/>
          <w:color w:val="000000" w:themeColor="text1"/>
          <w:lang w:eastAsia="en-GB"/>
        </w:rPr>
        <w:t></w:t>
      </w:r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>m steps (</w:t>
      </w:r>
      <w:r w:rsidR="008B7986" w:rsidRPr="0021171B">
        <w:rPr>
          <w:rFonts w:ascii="Arial" w:eastAsia="Times New Roman" w:hAnsi="Arial" w:cs="Arial"/>
          <w:b/>
          <w:color w:val="000000" w:themeColor="text1"/>
          <w:lang w:eastAsia="en-GB"/>
        </w:rPr>
        <w:t>d</w:t>
      </w:r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). </w:t>
      </w:r>
    </w:p>
    <w:p w14:paraId="1A02F178" w14:textId="77777777" w:rsidR="008F5C1D" w:rsidRPr="0021171B" w:rsidRDefault="008F5C1D" w:rsidP="00322B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en-GB"/>
        </w:rPr>
      </w:pPr>
      <w:r w:rsidRPr="0021171B"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  <w:lang w:eastAsia="en-GB"/>
        </w:rPr>
        <w:t>Statistical details:</w:t>
      </w:r>
    </w:p>
    <w:p w14:paraId="69713B76" w14:textId="61EA4F71" w:rsidR="00744738" w:rsidRPr="0021171B" w:rsidRDefault="001A279B" w:rsidP="00322B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en-GB"/>
        </w:rPr>
      </w:pPr>
      <w:r w:rsidRPr="0021171B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en-GB"/>
        </w:rPr>
        <w:t>(</w:t>
      </w:r>
      <w:r w:rsidRPr="0021171B">
        <w:rPr>
          <w:rFonts w:ascii="Arial Bold" w:eastAsia="Times New Roman" w:hAnsi="Arial Bold" w:cs="Times New Roman"/>
          <w:color w:val="000000" w:themeColor="text1"/>
          <w:sz w:val="16"/>
          <w:szCs w:val="16"/>
          <w:lang w:eastAsia="en-GB"/>
        </w:rPr>
        <w:t>d</w:t>
      </w:r>
      <w:r w:rsidR="008F5C1D" w:rsidRPr="0021171B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en-GB"/>
        </w:rPr>
        <w:t xml:space="preserve">) </w:t>
      </w:r>
      <w:r w:rsidRPr="0021171B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en-GB"/>
        </w:rPr>
        <w:t>Receptor internalisation</w:t>
      </w:r>
      <w:r w:rsidR="008F5C1D" w:rsidRPr="0021171B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en-GB"/>
        </w:rPr>
        <w:t xml:space="preserve">, </w:t>
      </w:r>
      <w:r w:rsidR="005B3F8A" w:rsidRPr="0021171B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en-GB"/>
        </w:rPr>
        <w:t xml:space="preserve">independent samples T test, </w:t>
      </w:r>
      <w:r w:rsidR="005D23B6" w:rsidRPr="0021171B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en-GB"/>
        </w:rPr>
        <w:t>N=</w:t>
      </w:r>
      <w:r w:rsidR="008F5C1D" w:rsidRPr="0021171B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en-GB"/>
        </w:rPr>
        <w:t xml:space="preserve">3. </w:t>
      </w:r>
      <w:bookmarkStart w:id="0" w:name="_Hlk104305315"/>
      <w:proofErr w:type="gramStart"/>
      <w:r w:rsidR="008F5C1D" w:rsidRPr="0021171B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en-GB"/>
        </w:rPr>
        <w:t>T(</w:t>
      </w:r>
      <w:proofErr w:type="gramEnd"/>
      <w:r w:rsidRPr="0021171B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en-GB"/>
        </w:rPr>
        <w:t>24</w:t>
      </w:r>
      <w:r w:rsidR="008F5C1D" w:rsidRPr="0021171B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en-GB"/>
        </w:rPr>
        <w:t>)=</w:t>
      </w:r>
      <w:r w:rsidRPr="0021171B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en-GB"/>
        </w:rPr>
        <w:t>-17.164</w:t>
      </w:r>
      <w:r w:rsidR="008F5C1D" w:rsidRPr="0021171B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en-GB"/>
        </w:rPr>
        <w:t xml:space="preserve">, </w:t>
      </w:r>
      <w:r w:rsidRPr="0021171B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en-GB"/>
        </w:rPr>
        <w:t>p</w:t>
      </w:r>
      <w:r w:rsidR="008F5C1D" w:rsidRPr="0021171B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en-GB"/>
        </w:rPr>
        <w:t>&lt;0.001</w:t>
      </w:r>
      <w:r w:rsidRPr="0021171B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en-GB"/>
        </w:rPr>
        <w:t>.</w:t>
      </w:r>
    </w:p>
    <w:bookmarkEnd w:id="0"/>
    <w:p w14:paraId="5CD6652F" w14:textId="77777777" w:rsidR="00744738" w:rsidRPr="0021171B" w:rsidRDefault="00744738" w:rsidP="00322B59">
      <w:pPr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en-GB"/>
        </w:rPr>
      </w:pPr>
      <w:r w:rsidRPr="0021171B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en-GB"/>
        </w:rPr>
        <w:br w:type="page"/>
      </w:r>
    </w:p>
    <w:p w14:paraId="7E5DC554" w14:textId="42CAD9F1" w:rsidR="008B7986" w:rsidRDefault="008B7986" w:rsidP="00322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</w:rPr>
      </w:pPr>
      <w:r w:rsidRPr="0021171B">
        <w:rPr>
          <w:noProof/>
          <w:color w:val="000000" w:themeColor="text1"/>
          <w:lang w:val="en-US"/>
        </w:rPr>
        <w:drawing>
          <wp:inline distT="0" distB="0" distL="0" distR="0" wp14:anchorId="6F549BBA" wp14:editId="15838324">
            <wp:extent cx="5425555" cy="4797380"/>
            <wp:effectExtent l="0" t="0" r="381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765" cy="479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7CA10" w14:textId="77777777" w:rsidR="001A0207" w:rsidRPr="0021171B" w:rsidRDefault="001A0207" w:rsidP="00322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</w:rPr>
      </w:pPr>
    </w:p>
    <w:p w14:paraId="16439EBE" w14:textId="62BF402B" w:rsidR="008B7986" w:rsidRPr="0021171B" w:rsidRDefault="008B7986" w:rsidP="00322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21171B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</w:rPr>
        <w:t>Figure S4</w:t>
      </w:r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>. Time- and concentration-dependent effects of ghrelin on protein phosphorylation in HEK293</w:t>
      </w:r>
      <w:r w:rsidRPr="0021171B">
        <w:rPr>
          <w:rFonts w:ascii="Times New Roman" w:eastAsia="Times New Roman" w:hAnsi="Times New Roman" w:cs="Times New Roman"/>
          <w:color w:val="000000" w:themeColor="text1"/>
          <w:vertAlign w:val="superscript"/>
          <w:lang w:eastAsia="en-GB"/>
        </w:rPr>
        <w:t>GHS-R1</w:t>
      </w:r>
      <w:r w:rsidRPr="0021171B">
        <w:rPr>
          <w:rFonts w:ascii="Symbol" w:eastAsia="Times New Roman" w:hAnsi="Symbol" w:cs="Times New Roman"/>
          <w:color w:val="000000" w:themeColor="text1"/>
          <w:vertAlign w:val="superscript"/>
          <w:lang w:eastAsia="en-GB"/>
        </w:rPr>
        <w:t></w:t>
      </w:r>
      <w:r w:rsidRPr="0021171B">
        <w:rPr>
          <w:rFonts w:ascii="Times New Roman" w:eastAsia="Times New Roman" w:hAnsi="Times New Roman" w:cs="Times New Roman"/>
          <w:color w:val="000000" w:themeColor="text1"/>
          <w:vertAlign w:val="superscript"/>
          <w:lang w:eastAsia="en-GB"/>
        </w:rPr>
        <w:t xml:space="preserve">-EGFP+ </w:t>
      </w:r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>cells (</w:t>
      </w:r>
      <w:r w:rsidR="00322B59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representative </w:t>
      </w:r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>independent experiments</w:t>
      </w:r>
      <w:r w:rsidR="001A0207">
        <w:rPr>
          <w:rFonts w:ascii="Times New Roman" w:eastAsia="Times New Roman" w:hAnsi="Times New Roman" w:cs="Times New Roman"/>
          <w:color w:val="000000" w:themeColor="text1"/>
          <w:lang w:eastAsia="en-GB"/>
        </w:rPr>
        <w:t>, Western blotting analysis</w:t>
      </w:r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). </w:t>
      </w:r>
      <w:proofErr w:type="spellStart"/>
      <w:proofErr w:type="gramStart"/>
      <w:r w:rsidRPr="0021171B">
        <w:rPr>
          <w:rFonts w:ascii="Arial" w:eastAsia="Times New Roman" w:hAnsi="Arial" w:cs="Arial"/>
          <w:b/>
          <w:color w:val="000000" w:themeColor="text1"/>
          <w:lang w:eastAsia="en-GB"/>
        </w:rPr>
        <w:t>a</w:t>
      </w:r>
      <w:proofErr w:type="spellEnd"/>
      <w:proofErr w:type="gramEnd"/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 Effect of </w:t>
      </w:r>
      <w:r w:rsidR="00322B59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treatment </w:t>
      </w:r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time. </w:t>
      </w:r>
      <w:proofErr w:type="gramStart"/>
      <w:r w:rsidRPr="0021171B">
        <w:rPr>
          <w:rFonts w:ascii="Arial" w:eastAsia="Times New Roman" w:hAnsi="Arial" w:cs="Arial"/>
          <w:b/>
          <w:color w:val="000000" w:themeColor="text1"/>
          <w:lang w:eastAsia="en-GB"/>
        </w:rPr>
        <w:t>b</w:t>
      </w:r>
      <w:proofErr w:type="gramEnd"/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 Effect of </w:t>
      </w:r>
      <w:r w:rsidR="00322B59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>ghrelin concentration</w:t>
      </w:r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. </w:t>
      </w:r>
      <w:proofErr w:type="gramStart"/>
      <w:r w:rsidRPr="0021171B">
        <w:rPr>
          <w:rFonts w:ascii="Arial" w:eastAsia="Times New Roman" w:hAnsi="Arial" w:cs="Arial"/>
          <w:b/>
          <w:color w:val="000000" w:themeColor="text1"/>
          <w:lang w:eastAsia="en-GB"/>
        </w:rPr>
        <w:t>c</w:t>
      </w:r>
      <w:proofErr w:type="gramEnd"/>
      <w:r w:rsidRPr="0021171B">
        <w:rPr>
          <w:rFonts w:ascii="Arial" w:eastAsia="Times New Roman" w:hAnsi="Arial" w:cs="Arial"/>
          <w:b/>
          <w:color w:val="000000" w:themeColor="text1"/>
          <w:lang w:eastAsia="en-GB"/>
        </w:rPr>
        <w:t xml:space="preserve"> </w:t>
      </w:r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>Quantitative analysis of p-rpS6 levels</w:t>
      </w:r>
      <w:r w:rsidR="00322B59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; data are presented as </w:t>
      </w:r>
      <w:proofErr w:type="spellStart"/>
      <w:r w:rsidR="00322B59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>mean±SD</w:t>
      </w:r>
      <w:proofErr w:type="spellEnd"/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. Cells were pre-incubated for 15-16 h in serum-free DMEM supplemented with NEAA. </w:t>
      </w:r>
    </w:p>
    <w:p w14:paraId="3B2DA90E" w14:textId="022495B0" w:rsidR="008B7986" w:rsidRPr="0021171B" w:rsidRDefault="00322B59" w:rsidP="00322B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en-GB"/>
        </w:rPr>
      </w:pPr>
      <w:r w:rsidRPr="0021171B"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  <w:lang w:eastAsia="en-GB"/>
        </w:rPr>
        <w:t>Statistical details:</w:t>
      </w:r>
    </w:p>
    <w:p w14:paraId="75B4A816" w14:textId="226B6E6E" w:rsidR="00E97154" w:rsidRPr="0021171B" w:rsidRDefault="00E97154" w:rsidP="00322B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en-GB"/>
        </w:rPr>
      </w:pPr>
      <w:r w:rsidRPr="0021171B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en-GB"/>
        </w:rPr>
        <w:t>(</w:t>
      </w:r>
      <w:r w:rsidR="008B7986" w:rsidRPr="0021171B">
        <w:rPr>
          <w:rFonts w:ascii="Arial Bold" w:eastAsia="Times New Roman" w:hAnsi="Arial Bold" w:cs="Times New Roman"/>
          <w:color w:val="000000" w:themeColor="text1"/>
          <w:sz w:val="16"/>
          <w:szCs w:val="16"/>
          <w:lang w:eastAsia="en-GB"/>
        </w:rPr>
        <w:t>c</w:t>
      </w:r>
      <w:r w:rsidRPr="0021171B"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  <w:lang w:eastAsia="en-GB"/>
        </w:rPr>
        <w:t>)</w:t>
      </w:r>
      <w:r w:rsidR="00322B59" w:rsidRPr="0021171B"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  <w:lang w:eastAsia="en-GB"/>
        </w:rPr>
        <w:t xml:space="preserve"> E</w:t>
      </w:r>
      <w:r w:rsidR="00DB1F85" w:rsidRPr="0021171B"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  <w:lang w:eastAsia="en-GB"/>
        </w:rPr>
        <w:t>ffect of ghrelin treatment time:</w:t>
      </w:r>
      <w:r w:rsidR="00DB1F85" w:rsidRPr="0021171B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en-GB"/>
        </w:rPr>
        <w:t xml:space="preserve"> p-rpS6 (4,16) = 150.75, p&lt;0.001, one-way ANOVA, p&lt;0.001 for 15, 30, 45 and 60 min, </w:t>
      </w:r>
      <w:proofErr w:type="spellStart"/>
      <w:r w:rsidR="00DB1F85" w:rsidRPr="0021171B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en-GB"/>
        </w:rPr>
        <w:t>Dunnett</w:t>
      </w:r>
      <w:proofErr w:type="spellEnd"/>
      <w:r w:rsidR="00DB1F85" w:rsidRPr="0021171B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en-GB"/>
        </w:rPr>
        <w:t xml:space="preserve"> post hoc test vs mock treatment (N=5)</w:t>
      </w:r>
      <w:r w:rsidR="00322B59" w:rsidRPr="0021171B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en-GB"/>
        </w:rPr>
        <w:t>. G</w:t>
      </w:r>
      <w:r w:rsidR="00DB1F85" w:rsidRPr="0021171B"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  <w:lang w:eastAsia="en-GB"/>
        </w:rPr>
        <w:t xml:space="preserve">hrelin </w:t>
      </w:r>
      <w:r w:rsidRPr="0021171B"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  <w:lang w:eastAsia="en-GB"/>
        </w:rPr>
        <w:t>concentration effect:</w:t>
      </w:r>
      <w:r w:rsidRPr="0021171B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en-GB"/>
        </w:rPr>
        <w:t xml:space="preserve"> </w:t>
      </w:r>
      <w:r w:rsidR="00DB1F85" w:rsidRPr="0021171B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en-GB"/>
        </w:rPr>
        <w:t>p-rpS6 (4</w:t>
      </w:r>
      <w:proofErr w:type="gramStart"/>
      <w:r w:rsidR="00DB1F85" w:rsidRPr="0021171B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en-GB"/>
        </w:rPr>
        <w:t>,16</w:t>
      </w:r>
      <w:proofErr w:type="gramEnd"/>
      <w:r w:rsidR="00DB1F85" w:rsidRPr="0021171B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en-GB"/>
        </w:rPr>
        <w:t>) = 79.086, p&lt;0.001, one-way ANOVA, p=0.002 for 15 min, p=0.01</w:t>
      </w:r>
      <w:r w:rsidR="00322B59" w:rsidRPr="0021171B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en-GB"/>
        </w:rPr>
        <w:t xml:space="preserve"> </w:t>
      </w:r>
      <w:r w:rsidR="00DB1F85" w:rsidRPr="0021171B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en-GB"/>
        </w:rPr>
        <w:t xml:space="preserve">for 30 min, p&lt;0.001 for 45 and 60 min, </w:t>
      </w:r>
      <w:proofErr w:type="spellStart"/>
      <w:r w:rsidR="00DB1F85" w:rsidRPr="0021171B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en-GB"/>
        </w:rPr>
        <w:t>Dunnett</w:t>
      </w:r>
      <w:proofErr w:type="spellEnd"/>
      <w:r w:rsidR="00DB1F85" w:rsidRPr="0021171B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en-GB"/>
        </w:rPr>
        <w:t xml:space="preserve"> post hoc test vs mock treatment (N=5)</w:t>
      </w:r>
    </w:p>
    <w:p w14:paraId="2197A345" w14:textId="77777777" w:rsidR="008B7986" w:rsidRPr="0021171B" w:rsidRDefault="008B7986" w:rsidP="00322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br w:type="page"/>
      </w:r>
    </w:p>
    <w:p w14:paraId="485B57AC" w14:textId="77777777" w:rsidR="008F5C1D" w:rsidRPr="0021171B" w:rsidRDefault="008F5C1D" w:rsidP="00322B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en-GB"/>
        </w:rPr>
      </w:pPr>
    </w:p>
    <w:p w14:paraId="1D2470AA" w14:textId="77777777" w:rsidR="008F5C1D" w:rsidRPr="0021171B" w:rsidRDefault="008F5C1D" w:rsidP="00322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en-GB"/>
        </w:rPr>
      </w:pPr>
    </w:p>
    <w:p w14:paraId="17DC6A7F" w14:textId="38D010B5" w:rsidR="004A0E07" w:rsidRPr="0021171B" w:rsidRDefault="009312A3" w:rsidP="00322B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bookmarkStart w:id="1" w:name="_GoBack"/>
      <w:r w:rsidRPr="0021171B">
        <w:rPr>
          <w:noProof/>
          <w:color w:val="000000" w:themeColor="text1"/>
          <w:lang w:val="en-US"/>
        </w:rPr>
        <w:drawing>
          <wp:inline distT="0" distB="0" distL="0" distR="0" wp14:anchorId="416D004D" wp14:editId="6B0EA92C">
            <wp:extent cx="5731510" cy="2574379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74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7DEE5643" w14:textId="77777777" w:rsidR="004A0E07" w:rsidRPr="0021171B" w:rsidRDefault="004A0E07" w:rsidP="00322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en-GB"/>
        </w:rPr>
      </w:pPr>
    </w:p>
    <w:p w14:paraId="3B703729" w14:textId="36DF78AD" w:rsidR="00110047" w:rsidRPr="0021171B" w:rsidRDefault="004A0E07" w:rsidP="00322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21171B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</w:rPr>
        <w:t xml:space="preserve">Figure </w:t>
      </w:r>
      <w:r w:rsidR="00026689" w:rsidRPr="0021171B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</w:rPr>
        <w:t>S</w:t>
      </w:r>
      <w:r w:rsidR="005723CE" w:rsidRPr="0021171B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</w:rPr>
        <w:t>5</w:t>
      </w:r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>. Effect of ghrelin on eEF2 (Thr56) and eEF2K (Ser366) phosphorylation in HEK293</w:t>
      </w:r>
      <w:r w:rsidRPr="0021171B">
        <w:rPr>
          <w:rFonts w:ascii="Times New Roman" w:eastAsia="Times New Roman" w:hAnsi="Times New Roman" w:cs="Times New Roman"/>
          <w:color w:val="000000" w:themeColor="text1"/>
          <w:vertAlign w:val="superscript"/>
          <w:lang w:eastAsia="en-GB"/>
        </w:rPr>
        <w:t>GHS-R1</w:t>
      </w:r>
      <w:r w:rsidRPr="0021171B">
        <w:rPr>
          <w:rFonts w:ascii="Symbol" w:eastAsia="Times New Roman" w:hAnsi="Symbol" w:cs="Times New Roman"/>
          <w:color w:val="000000" w:themeColor="text1"/>
          <w:vertAlign w:val="superscript"/>
          <w:lang w:eastAsia="en-GB"/>
        </w:rPr>
        <w:t></w:t>
      </w:r>
      <w:r w:rsidRPr="0021171B">
        <w:rPr>
          <w:rFonts w:ascii="Times New Roman" w:eastAsia="Times New Roman" w:hAnsi="Times New Roman" w:cs="Times New Roman"/>
          <w:color w:val="000000" w:themeColor="text1"/>
          <w:vertAlign w:val="superscript"/>
          <w:lang w:eastAsia="en-GB"/>
        </w:rPr>
        <w:t xml:space="preserve">-EGFP+ </w:t>
      </w:r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cells at different glucose concentrations. Cells were pre-incubated in DMEM supplemented with 1% FBS (dialysed to remove glucose) and </w:t>
      </w:r>
      <w:r w:rsidR="00ED072A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>0</w:t>
      </w:r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-20 </w:t>
      </w:r>
      <w:proofErr w:type="spellStart"/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>mM</w:t>
      </w:r>
      <w:proofErr w:type="spellEnd"/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 glucose for 14 h and then treated with ghrelin (100 </w:t>
      </w:r>
      <w:proofErr w:type="spellStart"/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>nM</w:t>
      </w:r>
      <w:proofErr w:type="spellEnd"/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, 30 min). </w:t>
      </w:r>
      <w:proofErr w:type="gramStart"/>
      <w:r w:rsidR="00ED072A" w:rsidRPr="0021171B">
        <w:rPr>
          <w:rFonts w:ascii="Arial Bold" w:eastAsia="Times New Roman" w:hAnsi="Arial Bold" w:cs="Times New Roman"/>
          <w:color w:val="000000" w:themeColor="text1"/>
          <w:lang w:eastAsia="en-GB"/>
        </w:rPr>
        <w:t>a</w:t>
      </w:r>
      <w:proofErr w:type="gramEnd"/>
      <w:r w:rsidR="00ED072A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 Glucose concentration-dependent dynamics of p-eEF2</w:t>
      </w:r>
      <w:r w:rsidR="00340773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 and p-eEF2K</w:t>
      </w:r>
      <w:r w:rsidR="00ED072A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 levels in response to ghrelin</w:t>
      </w:r>
      <w:r w:rsidR="003543CE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>.</w:t>
      </w:r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 </w:t>
      </w:r>
      <w:proofErr w:type="gramStart"/>
      <w:r w:rsidR="00ED072A" w:rsidRPr="0021171B">
        <w:rPr>
          <w:rFonts w:ascii="Arial Bold" w:eastAsia="Times New Roman" w:hAnsi="Arial Bold" w:cs="Times New Roman"/>
          <w:color w:val="000000" w:themeColor="text1"/>
          <w:lang w:eastAsia="en-GB"/>
        </w:rPr>
        <w:t>b</w:t>
      </w:r>
      <w:proofErr w:type="gramEnd"/>
      <w:r w:rsidR="00ED072A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, </w:t>
      </w:r>
      <w:r w:rsidR="00ED072A" w:rsidRPr="0021171B">
        <w:rPr>
          <w:rFonts w:ascii="Arial Bold" w:eastAsia="Times New Roman" w:hAnsi="Arial Bold" w:cs="Times New Roman"/>
          <w:color w:val="000000" w:themeColor="text1"/>
          <w:lang w:eastAsia="en-GB"/>
        </w:rPr>
        <w:t>c</w:t>
      </w:r>
      <w:r w:rsidR="00ED072A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 Representative biological replicates of the effects of glucose </w:t>
      </w:r>
      <w:r w:rsidR="00FA51B9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>concentrations</w:t>
      </w:r>
      <w:r w:rsidR="00ED072A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 on responses of </w:t>
      </w:r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eEF2 </w:t>
      </w:r>
      <w:r w:rsidR="00ED072A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and eEF2K to ghrelin treatment. Maximal </w:t>
      </w:r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>kinase activity is seen in glucose-deprived cells, in which the total eEF2</w:t>
      </w:r>
      <w:r w:rsidR="00FA51B9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>K levels are strongly reduced (4-</w:t>
      </w:r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>7-fold</w:t>
      </w:r>
      <w:r w:rsidR="003543CE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>).</w:t>
      </w:r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 </w:t>
      </w:r>
      <w:r w:rsidR="00FA51B9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>In (</w:t>
      </w:r>
      <w:r w:rsidR="00FA51B9" w:rsidRPr="0021171B">
        <w:rPr>
          <w:rFonts w:ascii="Arial Bold" w:eastAsia="Times New Roman" w:hAnsi="Arial Bold" w:cs="Times New Roman"/>
          <w:color w:val="000000" w:themeColor="text1"/>
          <w:lang w:eastAsia="en-GB"/>
        </w:rPr>
        <w:t>a</w:t>
      </w:r>
      <w:r w:rsidR="00FA51B9"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), </w:t>
      </w:r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p-ERK is used as a positive control of the response to ghrelin; </w:t>
      </w:r>
      <w:r w:rsidRPr="0021171B">
        <w:rPr>
          <w:rFonts w:ascii="Symbol" w:eastAsia="Times New Roman" w:hAnsi="Symbol" w:cs="Times New Roman"/>
          <w:color w:val="000000" w:themeColor="text1"/>
          <w:lang w:eastAsia="en-GB"/>
        </w:rPr>
        <w:t></w:t>
      </w:r>
      <w:r w:rsidRPr="0021171B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-tubulin levels serve for data normalisation. </w:t>
      </w:r>
    </w:p>
    <w:sectPr w:rsidR="00110047" w:rsidRPr="0021171B" w:rsidSect="004970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60"/>
  <w:proofState w:spelling="clean" w:grammar="clean"/>
  <w:documentProtection w:edit="trackedChange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E07"/>
    <w:rsid w:val="00022AC1"/>
    <w:rsid w:val="000239A1"/>
    <w:rsid w:val="00026689"/>
    <w:rsid w:val="00027186"/>
    <w:rsid w:val="00027887"/>
    <w:rsid w:val="000332EF"/>
    <w:rsid w:val="00041711"/>
    <w:rsid w:val="0007095C"/>
    <w:rsid w:val="000844F6"/>
    <w:rsid w:val="0008579B"/>
    <w:rsid w:val="00086942"/>
    <w:rsid w:val="000B53B3"/>
    <w:rsid w:val="000D140A"/>
    <w:rsid w:val="000D5E60"/>
    <w:rsid w:val="00100590"/>
    <w:rsid w:val="00103671"/>
    <w:rsid w:val="00107AF6"/>
    <w:rsid w:val="00114F0B"/>
    <w:rsid w:val="00125511"/>
    <w:rsid w:val="001344D2"/>
    <w:rsid w:val="00137D3D"/>
    <w:rsid w:val="00152B4D"/>
    <w:rsid w:val="00156DA8"/>
    <w:rsid w:val="001633B7"/>
    <w:rsid w:val="001723AD"/>
    <w:rsid w:val="00182D9F"/>
    <w:rsid w:val="00183498"/>
    <w:rsid w:val="0018484E"/>
    <w:rsid w:val="00190BF4"/>
    <w:rsid w:val="00190FA5"/>
    <w:rsid w:val="00191D0F"/>
    <w:rsid w:val="001A0207"/>
    <w:rsid w:val="001A279B"/>
    <w:rsid w:val="001A3EE0"/>
    <w:rsid w:val="001A7FFB"/>
    <w:rsid w:val="001B7978"/>
    <w:rsid w:val="001E41C2"/>
    <w:rsid w:val="001F09A1"/>
    <w:rsid w:val="001F5DF7"/>
    <w:rsid w:val="0021171B"/>
    <w:rsid w:val="0021216D"/>
    <w:rsid w:val="00222CFA"/>
    <w:rsid w:val="00226137"/>
    <w:rsid w:val="00237232"/>
    <w:rsid w:val="00270B88"/>
    <w:rsid w:val="00277398"/>
    <w:rsid w:val="00280E7F"/>
    <w:rsid w:val="00293F14"/>
    <w:rsid w:val="00295F90"/>
    <w:rsid w:val="00296056"/>
    <w:rsid w:val="002A260B"/>
    <w:rsid w:val="002A32B0"/>
    <w:rsid w:val="002C09F4"/>
    <w:rsid w:val="002D573A"/>
    <w:rsid w:val="00301346"/>
    <w:rsid w:val="00321144"/>
    <w:rsid w:val="00322B59"/>
    <w:rsid w:val="00340773"/>
    <w:rsid w:val="003543CE"/>
    <w:rsid w:val="003550F0"/>
    <w:rsid w:val="00381A0A"/>
    <w:rsid w:val="003A0329"/>
    <w:rsid w:val="003A2355"/>
    <w:rsid w:val="003A7767"/>
    <w:rsid w:val="003B66A8"/>
    <w:rsid w:val="003C6468"/>
    <w:rsid w:val="003D1112"/>
    <w:rsid w:val="003D7D2A"/>
    <w:rsid w:val="003E25E4"/>
    <w:rsid w:val="003F72DA"/>
    <w:rsid w:val="00445A1D"/>
    <w:rsid w:val="00445AF7"/>
    <w:rsid w:val="00460864"/>
    <w:rsid w:val="004626EC"/>
    <w:rsid w:val="00473E44"/>
    <w:rsid w:val="00477611"/>
    <w:rsid w:val="004970AA"/>
    <w:rsid w:val="004A0E07"/>
    <w:rsid w:val="004C495C"/>
    <w:rsid w:val="004E432E"/>
    <w:rsid w:val="00532C49"/>
    <w:rsid w:val="005442D3"/>
    <w:rsid w:val="005454F7"/>
    <w:rsid w:val="005508DB"/>
    <w:rsid w:val="005523EF"/>
    <w:rsid w:val="00552574"/>
    <w:rsid w:val="005723CE"/>
    <w:rsid w:val="00573156"/>
    <w:rsid w:val="005809A0"/>
    <w:rsid w:val="0058736C"/>
    <w:rsid w:val="005937B6"/>
    <w:rsid w:val="005A646B"/>
    <w:rsid w:val="005B05D8"/>
    <w:rsid w:val="005B3F8A"/>
    <w:rsid w:val="005B7CC3"/>
    <w:rsid w:val="005C5896"/>
    <w:rsid w:val="005D23B6"/>
    <w:rsid w:val="005E2381"/>
    <w:rsid w:val="005E51BC"/>
    <w:rsid w:val="005F04B3"/>
    <w:rsid w:val="005F4E3E"/>
    <w:rsid w:val="00601A87"/>
    <w:rsid w:val="0061074A"/>
    <w:rsid w:val="006107EC"/>
    <w:rsid w:val="00617475"/>
    <w:rsid w:val="00632B3B"/>
    <w:rsid w:val="00635394"/>
    <w:rsid w:val="00637FCB"/>
    <w:rsid w:val="006420E8"/>
    <w:rsid w:val="006458FE"/>
    <w:rsid w:val="006565FD"/>
    <w:rsid w:val="00660FB4"/>
    <w:rsid w:val="00667768"/>
    <w:rsid w:val="0067264F"/>
    <w:rsid w:val="00677F74"/>
    <w:rsid w:val="006A3494"/>
    <w:rsid w:val="006B41FE"/>
    <w:rsid w:val="006D2D41"/>
    <w:rsid w:val="006F6BEA"/>
    <w:rsid w:val="0070391B"/>
    <w:rsid w:val="0070709D"/>
    <w:rsid w:val="00715CB7"/>
    <w:rsid w:val="00744738"/>
    <w:rsid w:val="007517B0"/>
    <w:rsid w:val="00757FF2"/>
    <w:rsid w:val="007659CE"/>
    <w:rsid w:val="007822A0"/>
    <w:rsid w:val="007A0CAB"/>
    <w:rsid w:val="007A1668"/>
    <w:rsid w:val="007C23DD"/>
    <w:rsid w:val="007C4678"/>
    <w:rsid w:val="007C4EE1"/>
    <w:rsid w:val="007D1B81"/>
    <w:rsid w:val="007D36C0"/>
    <w:rsid w:val="007E5531"/>
    <w:rsid w:val="007E7D14"/>
    <w:rsid w:val="007F38D6"/>
    <w:rsid w:val="007F63F0"/>
    <w:rsid w:val="0080524B"/>
    <w:rsid w:val="008071C4"/>
    <w:rsid w:val="008146B5"/>
    <w:rsid w:val="00816609"/>
    <w:rsid w:val="00837F24"/>
    <w:rsid w:val="00840A33"/>
    <w:rsid w:val="0084428B"/>
    <w:rsid w:val="00844299"/>
    <w:rsid w:val="008665E3"/>
    <w:rsid w:val="00874F61"/>
    <w:rsid w:val="00893774"/>
    <w:rsid w:val="008A07EC"/>
    <w:rsid w:val="008A45A7"/>
    <w:rsid w:val="008B136C"/>
    <w:rsid w:val="008B385C"/>
    <w:rsid w:val="008B7986"/>
    <w:rsid w:val="008B7E2C"/>
    <w:rsid w:val="008C1B6E"/>
    <w:rsid w:val="008C79A9"/>
    <w:rsid w:val="008D33DA"/>
    <w:rsid w:val="008D614B"/>
    <w:rsid w:val="008F2271"/>
    <w:rsid w:val="008F5C1D"/>
    <w:rsid w:val="009312A3"/>
    <w:rsid w:val="00942D1B"/>
    <w:rsid w:val="00945F3F"/>
    <w:rsid w:val="00946352"/>
    <w:rsid w:val="009564BE"/>
    <w:rsid w:val="00973861"/>
    <w:rsid w:val="009B0E8E"/>
    <w:rsid w:val="009C5CDD"/>
    <w:rsid w:val="009D3F13"/>
    <w:rsid w:val="009D5FAB"/>
    <w:rsid w:val="009E40F8"/>
    <w:rsid w:val="009F13B5"/>
    <w:rsid w:val="00A15744"/>
    <w:rsid w:val="00A37D36"/>
    <w:rsid w:val="00A41304"/>
    <w:rsid w:val="00A47A3D"/>
    <w:rsid w:val="00A54258"/>
    <w:rsid w:val="00A67A63"/>
    <w:rsid w:val="00A770B0"/>
    <w:rsid w:val="00A81EA8"/>
    <w:rsid w:val="00AA4EDF"/>
    <w:rsid w:val="00AA6112"/>
    <w:rsid w:val="00AB4F23"/>
    <w:rsid w:val="00AE76B2"/>
    <w:rsid w:val="00AF0049"/>
    <w:rsid w:val="00AF6035"/>
    <w:rsid w:val="00B011A2"/>
    <w:rsid w:val="00B020BE"/>
    <w:rsid w:val="00B062D8"/>
    <w:rsid w:val="00B06DA5"/>
    <w:rsid w:val="00B63022"/>
    <w:rsid w:val="00B85053"/>
    <w:rsid w:val="00B97386"/>
    <w:rsid w:val="00BC2F24"/>
    <w:rsid w:val="00BC39F2"/>
    <w:rsid w:val="00BD1A80"/>
    <w:rsid w:val="00BF1B89"/>
    <w:rsid w:val="00C11EDA"/>
    <w:rsid w:val="00C14292"/>
    <w:rsid w:val="00C62DE3"/>
    <w:rsid w:val="00C66B36"/>
    <w:rsid w:val="00C85129"/>
    <w:rsid w:val="00C92883"/>
    <w:rsid w:val="00C94AE5"/>
    <w:rsid w:val="00CC6B4C"/>
    <w:rsid w:val="00CD17E5"/>
    <w:rsid w:val="00CD6C04"/>
    <w:rsid w:val="00CE2079"/>
    <w:rsid w:val="00CF7646"/>
    <w:rsid w:val="00D031C5"/>
    <w:rsid w:val="00D04884"/>
    <w:rsid w:val="00D24B4C"/>
    <w:rsid w:val="00D255D7"/>
    <w:rsid w:val="00D260C2"/>
    <w:rsid w:val="00D347E6"/>
    <w:rsid w:val="00D91BF9"/>
    <w:rsid w:val="00D95176"/>
    <w:rsid w:val="00DB1F85"/>
    <w:rsid w:val="00DC7BEA"/>
    <w:rsid w:val="00DD1344"/>
    <w:rsid w:val="00DE2A4B"/>
    <w:rsid w:val="00E429B0"/>
    <w:rsid w:val="00E521A7"/>
    <w:rsid w:val="00E52A0B"/>
    <w:rsid w:val="00E84CB2"/>
    <w:rsid w:val="00E93DF1"/>
    <w:rsid w:val="00E97154"/>
    <w:rsid w:val="00EA6521"/>
    <w:rsid w:val="00EC19DF"/>
    <w:rsid w:val="00EC25EF"/>
    <w:rsid w:val="00ED072A"/>
    <w:rsid w:val="00EF312E"/>
    <w:rsid w:val="00F31FA9"/>
    <w:rsid w:val="00FA51B9"/>
    <w:rsid w:val="00FB4027"/>
    <w:rsid w:val="00FC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8A27A"/>
  <w15:chartTrackingRefBased/>
  <w15:docId w15:val="{143D8589-0DB0-4891-B31B-E20975BC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33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3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F312E"/>
    <w:pPr>
      <w:ind w:left="720"/>
      <w:contextualSpacing/>
    </w:pPr>
  </w:style>
  <w:style w:type="character" w:customStyle="1" w:styleId="normaltextrun">
    <w:name w:val="normaltextrun"/>
    <w:basedOn w:val="DefaultParagraphFont"/>
    <w:rsid w:val="00DB1F85"/>
  </w:style>
  <w:style w:type="paragraph" w:styleId="BalloonText">
    <w:name w:val="Balloon Text"/>
    <w:basedOn w:val="Normal"/>
    <w:link w:val="BalloonTextChar"/>
    <w:uiPriority w:val="99"/>
    <w:semiHidden/>
    <w:unhideWhenUsed/>
    <w:rsid w:val="00C851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512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521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21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21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1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1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6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4347</TotalTime>
  <Pages>1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UCC</Company>
  <LinksUpToDate>false</LinksUpToDate>
  <CharactersWithSpaces>5332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Zhdanov, Alexander</dc:creator>
  <cp:keywords/>
  <dc:description/>
  <cp:lastModifiedBy>Paul Alexander D.</cp:lastModifiedBy>
  <cp:revision>227</cp:revision>
  <dcterms:created xsi:type="dcterms:W3CDTF">2019-05-23T12:11:00Z</dcterms:created>
  <dcterms:modified xsi:type="dcterms:W3CDTF">2022-07-07T11:12:00Z</dcterms:modified>
</cp:coreProperties>
</file>