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250" w:rsidRPr="000903FC" w:rsidRDefault="00F27250" w:rsidP="00F27250">
      <w:pPr>
        <w:pStyle w:val="Heading1"/>
        <w:rPr>
          <w:sz w:val="28"/>
        </w:rPr>
      </w:pPr>
      <w:r w:rsidRPr="000903FC">
        <w:rPr>
          <w:sz w:val="28"/>
        </w:rPr>
        <w:t>Electronic supplementary material</w:t>
      </w:r>
    </w:p>
    <w:p w:rsidR="00F27250" w:rsidRPr="000903FC" w:rsidRDefault="00F27250" w:rsidP="00F27250">
      <w:pPr>
        <w:spacing w:line="240" w:lineRule="auto"/>
        <w:rPr>
          <w:sz w:val="32"/>
          <w:lang w:val="en-US"/>
        </w:rPr>
      </w:pPr>
      <w:r w:rsidRPr="000903FC">
        <w:rPr>
          <w:sz w:val="32"/>
          <w:lang w:val="en-US"/>
        </w:rPr>
        <w:t>In human astrocytes neurotropic flaviviruses increase autophagy, yet their replication is autophagy-independent</w:t>
      </w:r>
    </w:p>
    <w:p w:rsidR="00F27250" w:rsidRPr="000903FC" w:rsidRDefault="00F27250" w:rsidP="00F27250">
      <w:pPr>
        <w:pStyle w:val="Authors"/>
        <w:spacing w:line="240" w:lineRule="auto"/>
        <w:rPr>
          <w:sz w:val="24"/>
          <w:lang w:val="en-US"/>
        </w:rPr>
      </w:pPr>
      <w:r w:rsidRPr="000903FC">
        <w:rPr>
          <w:sz w:val="24"/>
          <w:lang w:val="en-US"/>
        </w:rPr>
        <w:t>Petra Tavčar Verdev</w:t>
      </w:r>
      <w:r w:rsidRPr="000903FC">
        <w:rPr>
          <w:sz w:val="24"/>
          <w:vertAlign w:val="superscript"/>
          <w:lang w:val="en-US"/>
        </w:rPr>
        <w:t>1</w:t>
      </w:r>
      <w:r w:rsidRPr="000903FC">
        <w:rPr>
          <w:sz w:val="24"/>
          <w:lang w:val="en-US"/>
        </w:rPr>
        <w:t>, Maja Potokar</w:t>
      </w:r>
      <w:r w:rsidRPr="000903FC">
        <w:rPr>
          <w:sz w:val="24"/>
          <w:vertAlign w:val="superscript"/>
          <w:lang w:val="en-US"/>
        </w:rPr>
        <w:t>1,2</w:t>
      </w:r>
      <w:r w:rsidRPr="000903FC">
        <w:rPr>
          <w:sz w:val="24"/>
          <w:lang w:val="en-US"/>
        </w:rPr>
        <w:t xml:space="preserve">, </w:t>
      </w:r>
      <w:proofErr w:type="spellStart"/>
      <w:r w:rsidRPr="000903FC">
        <w:rPr>
          <w:sz w:val="24"/>
          <w:lang w:val="en-US"/>
        </w:rPr>
        <w:t>Miša</w:t>
      </w:r>
      <w:proofErr w:type="spellEnd"/>
      <w:r w:rsidRPr="000903FC">
        <w:rPr>
          <w:sz w:val="24"/>
          <w:lang w:val="en-US"/>
        </w:rPr>
        <w:t xml:space="preserve"> Korva</w:t>
      </w:r>
      <w:r w:rsidRPr="000903FC">
        <w:rPr>
          <w:sz w:val="24"/>
          <w:vertAlign w:val="superscript"/>
          <w:lang w:val="en-US"/>
        </w:rPr>
        <w:t>3</w:t>
      </w:r>
      <w:r w:rsidRPr="000903FC">
        <w:rPr>
          <w:sz w:val="24"/>
          <w:lang w:val="en-US"/>
        </w:rPr>
        <w:t>, Katarina Resman Rus</w:t>
      </w:r>
      <w:r w:rsidRPr="000903FC">
        <w:rPr>
          <w:sz w:val="24"/>
          <w:vertAlign w:val="superscript"/>
          <w:lang w:val="en-US"/>
        </w:rPr>
        <w:t>3</w:t>
      </w:r>
      <w:r w:rsidRPr="000903FC">
        <w:rPr>
          <w:sz w:val="24"/>
          <w:lang w:val="en-US"/>
        </w:rPr>
        <w:t>, Marko Kolenc</w:t>
      </w:r>
      <w:r w:rsidRPr="000903FC">
        <w:rPr>
          <w:sz w:val="24"/>
          <w:vertAlign w:val="superscript"/>
          <w:lang w:val="en-US"/>
        </w:rPr>
        <w:t>3</w:t>
      </w:r>
      <w:r w:rsidRPr="000903FC">
        <w:rPr>
          <w:sz w:val="24"/>
          <w:lang w:val="en-US"/>
        </w:rPr>
        <w:t xml:space="preserve">, Tatjana </w:t>
      </w:r>
      <w:proofErr w:type="spellStart"/>
      <w:r w:rsidRPr="000903FC">
        <w:rPr>
          <w:sz w:val="24"/>
          <w:lang w:val="en-US"/>
        </w:rPr>
        <w:t>Avšič</w:t>
      </w:r>
      <w:proofErr w:type="spellEnd"/>
      <w:r w:rsidRPr="000903FC">
        <w:rPr>
          <w:sz w:val="24"/>
          <w:lang w:val="en-US"/>
        </w:rPr>
        <w:t xml:space="preserve"> Županc</w:t>
      </w:r>
      <w:r w:rsidRPr="000903FC">
        <w:rPr>
          <w:sz w:val="24"/>
          <w:vertAlign w:val="superscript"/>
          <w:lang w:val="en-US"/>
        </w:rPr>
        <w:t>3</w:t>
      </w:r>
      <w:r w:rsidRPr="000903FC">
        <w:rPr>
          <w:sz w:val="24"/>
          <w:lang w:val="en-US"/>
        </w:rPr>
        <w:t>, Robert Zorec</w:t>
      </w:r>
      <w:r w:rsidRPr="000903FC">
        <w:rPr>
          <w:sz w:val="24"/>
          <w:vertAlign w:val="superscript"/>
          <w:lang w:val="en-US"/>
        </w:rPr>
        <w:t>1,2</w:t>
      </w:r>
      <w:r w:rsidRPr="000903FC">
        <w:rPr>
          <w:sz w:val="24"/>
          <w:lang w:val="en-US"/>
        </w:rPr>
        <w:t>, Jernej Jorgačevski</w:t>
      </w:r>
      <w:r w:rsidRPr="000903FC">
        <w:rPr>
          <w:sz w:val="24"/>
          <w:vertAlign w:val="superscript"/>
          <w:lang w:val="en-US"/>
        </w:rPr>
        <w:t>1,2</w:t>
      </w:r>
    </w:p>
    <w:p w:rsidR="00F27250" w:rsidRPr="000903FC" w:rsidRDefault="00F27250" w:rsidP="00F27250">
      <w:pPr>
        <w:pStyle w:val="Affiliation"/>
        <w:spacing w:line="240" w:lineRule="auto"/>
        <w:rPr>
          <w:sz w:val="20"/>
          <w:szCs w:val="20"/>
          <w:lang w:val="en-US"/>
        </w:rPr>
      </w:pPr>
      <w:r w:rsidRPr="000903FC">
        <w:rPr>
          <w:sz w:val="20"/>
          <w:szCs w:val="20"/>
          <w:vertAlign w:val="superscript"/>
          <w:lang w:val="en-US"/>
        </w:rPr>
        <w:t>1</w:t>
      </w:r>
      <w:r w:rsidRPr="000903FC">
        <w:rPr>
          <w:sz w:val="20"/>
          <w:szCs w:val="20"/>
          <w:lang w:val="en-US"/>
        </w:rPr>
        <w:t>Laboratory of Neuroendocrinology – Molecular Cell Physiology, Institute of Pathophysiology, Faculty of Medicine, University of Ljubljana, Ljubljana, Slovenia</w:t>
      </w:r>
    </w:p>
    <w:p w:rsidR="00F27250" w:rsidRPr="000903FC" w:rsidRDefault="00F27250" w:rsidP="00F27250">
      <w:pPr>
        <w:pStyle w:val="Affiliation"/>
        <w:spacing w:line="240" w:lineRule="auto"/>
        <w:rPr>
          <w:sz w:val="20"/>
          <w:szCs w:val="20"/>
          <w:lang w:val="en-US"/>
        </w:rPr>
      </w:pPr>
      <w:r w:rsidRPr="000903FC">
        <w:rPr>
          <w:sz w:val="20"/>
          <w:szCs w:val="20"/>
          <w:vertAlign w:val="superscript"/>
          <w:lang w:val="en-US"/>
        </w:rPr>
        <w:t>2</w:t>
      </w:r>
      <w:r w:rsidRPr="000903FC">
        <w:rPr>
          <w:sz w:val="20"/>
          <w:szCs w:val="20"/>
          <w:lang w:val="en-US"/>
        </w:rPr>
        <w:t>Celica Biomedical, Ljubljana, Slovenia</w:t>
      </w:r>
    </w:p>
    <w:p w:rsidR="00F27250" w:rsidRPr="000903FC" w:rsidRDefault="00F27250" w:rsidP="00F27250">
      <w:pPr>
        <w:pStyle w:val="Affiliation"/>
        <w:spacing w:line="240" w:lineRule="auto"/>
        <w:rPr>
          <w:sz w:val="20"/>
          <w:szCs w:val="20"/>
          <w:lang w:val="en-US"/>
        </w:rPr>
      </w:pPr>
      <w:r w:rsidRPr="000903FC">
        <w:rPr>
          <w:sz w:val="20"/>
          <w:szCs w:val="20"/>
          <w:vertAlign w:val="superscript"/>
          <w:lang w:val="en-US"/>
        </w:rPr>
        <w:t>3</w:t>
      </w:r>
      <w:r w:rsidRPr="000903FC">
        <w:rPr>
          <w:sz w:val="20"/>
          <w:szCs w:val="20"/>
          <w:lang w:val="en-US"/>
        </w:rPr>
        <w:t>Institute of Microbiology and Immunology, Faculty of Medicine, University of Ljubljana, Ljubljana, Slovenia</w:t>
      </w:r>
    </w:p>
    <w:p w:rsidR="00F27250" w:rsidRPr="000903FC" w:rsidRDefault="00F27250" w:rsidP="00F27250">
      <w:pPr>
        <w:pStyle w:val="Correspondence"/>
        <w:spacing w:line="240" w:lineRule="auto"/>
        <w:rPr>
          <w:rStyle w:val="Hyperlink"/>
          <w:sz w:val="20"/>
          <w:szCs w:val="20"/>
          <w:lang w:val="en-US"/>
        </w:rPr>
      </w:pPr>
      <w:r w:rsidRPr="000903FC">
        <w:rPr>
          <w:sz w:val="20"/>
          <w:szCs w:val="20"/>
          <w:lang w:val="en-US"/>
        </w:rPr>
        <w:t xml:space="preserve">Corresponding author: Jernej Jorgačevski </w:t>
      </w:r>
      <w:hyperlink r:id="rId5" w:history="1">
        <w:r w:rsidRPr="000903FC">
          <w:rPr>
            <w:rStyle w:val="Hyperlink"/>
            <w:sz w:val="20"/>
            <w:szCs w:val="20"/>
            <w:lang w:val="en-US"/>
          </w:rPr>
          <w:t>jernej.jorgacevski@mf.uni-lj.si</w:t>
        </w:r>
      </w:hyperlink>
      <w:r w:rsidRPr="000903FC">
        <w:rPr>
          <w:rStyle w:val="Hyperlink"/>
          <w:sz w:val="20"/>
          <w:szCs w:val="20"/>
          <w:lang w:val="en-US"/>
        </w:rPr>
        <w:t xml:space="preserve"> (ORCID 0000-0003-3550-2011)</w:t>
      </w:r>
    </w:p>
    <w:p w:rsidR="00F27250" w:rsidRPr="000903FC" w:rsidRDefault="00F27250" w:rsidP="00F27250">
      <w:pPr>
        <w:pStyle w:val="FigureCaption"/>
        <w:spacing w:line="240" w:lineRule="auto"/>
        <w:ind w:left="0" w:firstLine="0"/>
        <w:rPr>
          <w:noProof/>
          <w:sz w:val="20"/>
          <w:lang w:eastAsia="en-US"/>
        </w:rPr>
      </w:pPr>
      <w:r w:rsidRPr="000903FC">
        <w:rPr>
          <w:noProof/>
          <w:sz w:val="20"/>
          <w:lang w:eastAsia="en-US"/>
        </w:rPr>
        <w:t>Journal name: Cell and Molecular Life Sciences</w:t>
      </w:r>
    </w:p>
    <w:p w:rsidR="00F27250" w:rsidRPr="000903FC" w:rsidRDefault="00F27250" w:rsidP="00F27250">
      <w:pPr>
        <w:pStyle w:val="FigureCaption"/>
        <w:spacing w:line="240" w:lineRule="auto"/>
        <w:ind w:left="0" w:firstLine="0"/>
        <w:rPr>
          <w:noProof/>
          <w:sz w:val="20"/>
          <w:lang w:eastAsia="en-US"/>
        </w:rPr>
      </w:pPr>
    </w:p>
    <w:p w:rsidR="00F27250" w:rsidRPr="000903FC" w:rsidRDefault="00F27250" w:rsidP="00F27250">
      <w:pPr>
        <w:pStyle w:val="Heading1"/>
        <w:rPr>
          <w:noProof/>
          <w:sz w:val="28"/>
          <w:lang w:eastAsia="en-US"/>
        </w:rPr>
      </w:pPr>
      <w:r w:rsidRPr="000903FC">
        <w:rPr>
          <w:noProof/>
          <w:sz w:val="28"/>
          <w:lang w:eastAsia="en-US"/>
        </w:rPr>
        <w:t>Supplementary materials and methods</w:t>
      </w:r>
    </w:p>
    <w:p w:rsidR="00F27250" w:rsidRPr="000903FC" w:rsidRDefault="00F27250" w:rsidP="00F27250">
      <w:pPr>
        <w:pStyle w:val="Heading2"/>
        <w:spacing w:after="0" w:line="240" w:lineRule="auto"/>
        <w:rPr>
          <w:sz w:val="20"/>
          <w:lang w:val="en-US"/>
        </w:rPr>
      </w:pPr>
      <w:r w:rsidRPr="000903FC">
        <w:rPr>
          <w:sz w:val="20"/>
          <w:lang w:val="en-US" w:eastAsia="en-US"/>
        </w:rPr>
        <w:t>Cell culture of rat astrocytes</w:t>
      </w:r>
    </w:p>
    <w:p w:rsidR="00F27250" w:rsidRPr="000903FC" w:rsidRDefault="00F27250" w:rsidP="00F27250">
      <w:pPr>
        <w:pStyle w:val="Acknowl"/>
        <w:spacing w:line="240" w:lineRule="auto"/>
        <w:rPr>
          <w:sz w:val="20"/>
          <w:szCs w:val="20"/>
        </w:rPr>
      </w:pPr>
      <w:r w:rsidRPr="000903FC">
        <w:rPr>
          <w:sz w:val="20"/>
          <w:szCs w:val="20"/>
          <w:lang w:eastAsia="en-US"/>
        </w:rPr>
        <w:t xml:space="preserve">Primary astrocyte cell cultures were prepared </w:t>
      </w:r>
      <w:r w:rsidRPr="000903FC">
        <w:rPr>
          <w:sz w:val="20"/>
          <w:szCs w:val="20"/>
        </w:rPr>
        <w:t>from the cerebral cortex of 2</w:t>
      </w:r>
      <w:r w:rsidRPr="000903FC">
        <w:rPr>
          <w:sz w:val="20"/>
          <w:szCs w:val="20"/>
        </w:rPr>
        <w:noBreakHyphen/>
        <w:t xml:space="preserve">3 days old female </w:t>
      </w:r>
      <w:proofErr w:type="spellStart"/>
      <w:r w:rsidRPr="000903FC">
        <w:rPr>
          <w:sz w:val="20"/>
          <w:szCs w:val="20"/>
        </w:rPr>
        <w:t>Wistar</w:t>
      </w:r>
      <w:proofErr w:type="spellEnd"/>
      <w:r w:rsidRPr="000903FC">
        <w:rPr>
          <w:sz w:val="20"/>
          <w:szCs w:val="20"/>
        </w:rPr>
        <w:t xml:space="preserve"> rats. </w:t>
      </w:r>
      <w:r w:rsidRPr="000903FC">
        <w:rPr>
          <w:sz w:val="20"/>
          <w:szCs w:val="20"/>
          <w:shd w:val="clear" w:color="auto" w:fill="FFFFFF"/>
        </w:rPr>
        <w:t xml:space="preserve">The care of experimental animals and euthanasia of animals were performed in accordance with the following ethical codes and directives: International Guiding Principles for Biomedical Research Involving Animals developed by the Council for International Organizations of Medical Sciences and the Directive on Conditions for Issue of License for Animal Experiments for Scientific Research Purposes (Official Gazette of the Republic of Slovenia 40/85, 22/87, 43/07). The protocol for the euthanasia of animals used in our study was approved by the Veterinary Administration of the Ministry for Agriculture and the Environment of the Republic of Slovenia (permit no. </w:t>
      </w:r>
      <w:proofErr w:type="gramStart"/>
      <w:r w:rsidRPr="000903FC">
        <w:rPr>
          <w:sz w:val="20"/>
          <w:szCs w:val="20"/>
        </w:rPr>
        <w:t>U34401-26/2020/4</w:t>
      </w:r>
      <w:r w:rsidRPr="000903FC">
        <w:rPr>
          <w:sz w:val="20"/>
          <w:szCs w:val="20"/>
          <w:shd w:val="clear" w:color="auto" w:fill="FFFFFF"/>
        </w:rPr>
        <w:t>), issued on 2 December 2020.</w:t>
      </w:r>
      <w:proofErr w:type="gramEnd"/>
      <w:r w:rsidRPr="000903FC">
        <w:rPr>
          <w:sz w:val="20"/>
          <w:szCs w:val="20"/>
          <w:shd w:val="clear" w:color="auto" w:fill="FFFFFF"/>
        </w:rPr>
        <w:t xml:space="preserve"> After brain isolation, cerebral cortex tissue was extracted and brain meninges were removed. Remaining tissue was suspended in isolation medium (</w:t>
      </w:r>
      <w:proofErr w:type="spellStart"/>
      <w:r w:rsidRPr="000903FC">
        <w:rPr>
          <w:sz w:val="20"/>
          <w:szCs w:val="20"/>
        </w:rPr>
        <w:t>Leibovitz’s</w:t>
      </w:r>
      <w:proofErr w:type="spellEnd"/>
      <w:r w:rsidRPr="000903FC">
        <w:rPr>
          <w:sz w:val="20"/>
          <w:szCs w:val="20"/>
        </w:rPr>
        <w:t xml:space="preserve"> L-15 medium</w:t>
      </w:r>
      <w:r w:rsidRPr="000903FC">
        <w:rPr>
          <w:sz w:val="20"/>
          <w:szCs w:val="20"/>
          <w:shd w:val="clear" w:color="auto" w:fill="FFFFFF"/>
        </w:rPr>
        <w:t xml:space="preserve"> supplemented with </w:t>
      </w:r>
      <w:r w:rsidR="00DF151F" w:rsidRPr="000903FC">
        <w:rPr>
          <w:sz w:val="20"/>
          <w:szCs w:val="20"/>
        </w:rPr>
        <w:t>2 </w:t>
      </w:r>
      <w:proofErr w:type="spellStart"/>
      <w:r w:rsidRPr="000903FC">
        <w:rPr>
          <w:sz w:val="20"/>
          <w:szCs w:val="20"/>
        </w:rPr>
        <w:t>mM</w:t>
      </w:r>
      <w:proofErr w:type="spellEnd"/>
      <w:r w:rsidRPr="000903FC">
        <w:rPr>
          <w:sz w:val="20"/>
          <w:szCs w:val="20"/>
        </w:rPr>
        <w:t xml:space="preserve"> L-glutamine, 5 U/ml penicillin, 5 µg/ml streptomycin, and 1 mg/ml bovine serum albumin</w:t>
      </w:r>
      <w:r w:rsidRPr="000903FC">
        <w:rPr>
          <w:sz w:val="20"/>
          <w:szCs w:val="20"/>
          <w:shd w:val="clear" w:color="auto" w:fill="FFFFFF"/>
        </w:rPr>
        <w:t xml:space="preserve">) and centrifuged twice at room temperature (4 min at 1200 rpm/min) in a </w:t>
      </w:r>
      <w:r w:rsidRPr="000903FC">
        <w:rPr>
          <w:sz w:val="20"/>
          <w:szCs w:val="20"/>
        </w:rPr>
        <w:t>Centric 332A centrifuge (</w:t>
      </w:r>
      <w:proofErr w:type="spellStart"/>
      <w:r w:rsidRPr="000903FC">
        <w:rPr>
          <w:sz w:val="20"/>
          <w:szCs w:val="20"/>
        </w:rPr>
        <w:t>Tehtnica</w:t>
      </w:r>
      <w:proofErr w:type="spellEnd"/>
      <w:r w:rsidRPr="000903FC">
        <w:rPr>
          <w:sz w:val="20"/>
          <w:szCs w:val="20"/>
        </w:rPr>
        <w:t xml:space="preserve">, </w:t>
      </w:r>
      <w:proofErr w:type="spellStart"/>
      <w:r w:rsidRPr="000903FC">
        <w:rPr>
          <w:sz w:val="20"/>
          <w:szCs w:val="20"/>
        </w:rPr>
        <w:t>Slovenija</w:t>
      </w:r>
      <w:proofErr w:type="spellEnd"/>
      <w:r w:rsidRPr="000903FC">
        <w:rPr>
          <w:sz w:val="20"/>
          <w:szCs w:val="20"/>
        </w:rPr>
        <w:t xml:space="preserve">). The pellet was suspended in fresh isolation medium, filtered (pore diameter of </w:t>
      </w:r>
      <w:r w:rsidR="00DF151F" w:rsidRPr="000903FC">
        <w:rPr>
          <w:sz w:val="20"/>
          <w:szCs w:val="20"/>
        </w:rPr>
        <w:t>70 </w:t>
      </w:r>
      <w:proofErr w:type="spellStart"/>
      <w:r w:rsidRPr="000903FC">
        <w:rPr>
          <w:sz w:val="20"/>
          <w:szCs w:val="20"/>
        </w:rPr>
        <w:t>μm</w:t>
      </w:r>
      <w:proofErr w:type="spellEnd"/>
      <w:r w:rsidRPr="000903FC">
        <w:rPr>
          <w:sz w:val="20"/>
          <w:szCs w:val="20"/>
        </w:rPr>
        <w:t xml:space="preserve">; </w:t>
      </w:r>
      <w:proofErr w:type="spellStart"/>
      <w:r w:rsidRPr="000903FC">
        <w:rPr>
          <w:sz w:val="20"/>
          <w:szCs w:val="20"/>
        </w:rPr>
        <w:t>Militenyi</w:t>
      </w:r>
      <w:proofErr w:type="spellEnd"/>
      <w:r w:rsidRPr="000903FC">
        <w:rPr>
          <w:sz w:val="20"/>
          <w:szCs w:val="20"/>
        </w:rPr>
        <w:t xml:space="preserve"> </w:t>
      </w:r>
      <w:proofErr w:type="spellStart"/>
      <w:r w:rsidRPr="000903FC">
        <w:rPr>
          <w:sz w:val="20"/>
          <w:szCs w:val="20"/>
        </w:rPr>
        <w:t>Biotec</w:t>
      </w:r>
      <w:proofErr w:type="spellEnd"/>
      <w:r w:rsidRPr="000903FC">
        <w:rPr>
          <w:sz w:val="20"/>
          <w:szCs w:val="20"/>
        </w:rPr>
        <w:t>, 130-095-823) and centrifuged one more time. Remaining material was plated on cell culture growing flasks and maintained in astrocyte growth medium (high-glucose Dulbecco’s modified Eagle’s medium supplemented</w:t>
      </w:r>
      <w:r w:rsidR="00DF151F" w:rsidRPr="000903FC">
        <w:rPr>
          <w:sz w:val="20"/>
          <w:szCs w:val="20"/>
        </w:rPr>
        <w:t xml:space="preserve"> with 10% fetal bovine serum, 1 </w:t>
      </w:r>
      <w:proofErr w:type="spellStart"/>
      <w:r w:rsidR="00DF151F" w:rsidRPr="000903FC">
        <w:rPr>
          <w:sz w:val="20"/>
          <w:szCs w:val="20"/>
        </w:rPr>
        <w:t>mM</w:t>
      </w:r>
      <w:proofErr w:type="spellEnd"/>
      <w:r w:rsidR="00DF151F" w:rsidRPr="000903FC">
        <w:rPr>
          <w:sz w:val="20"/>
          <w:szCs w:val="20"/>
        </w:rPr>
        <w:t xml:space="preserve"> sodium pyruvate, 2 </w:t>
      </w:r>
      <w:proofErr w:type="spellStart"/>
      <w:r w:rsidRPr="000903FC">
        <w:rPr>
          <w:sz w:val="20"/>
          <w:szCs w:val="20"/>
        </w:rPr>
        <w:t>mM</w:t>
      </w:r>
      <w:proofErr w:type="spellEnd"/>
      <w:r w:rsidRPr="000903FC">
        <w:rPr>
          <w:sz w:val="20"/>
          <w:szCs w:val="20"/>
        </w:rPr>
        <w:t xml:space="preserve"> L-glutamine, 5 U/ml penicillin, and 5 µg/ml streptomycin) at 37°C, 5% CO</w:t>
      </w:r>
      <w:r w:rsidRPr="000903FC">
        <w:rPr>
          <w:sz w:val="20"/>
          <w:szCs w:val="20"/>
          <w:vertAlign w:val="subscript"/>
        </w:rPr>
        <w:t>2</w:t>
      </w:r>
      <w:r w:rsidRPr="000903FC">
        <w:rPr>
          <w:sz w:val="20"/>
          <w:szCs w:val="20"/>
        </w:rPr>
        <w:t xml:space="preserve"> atmosphere, and 95% relative humidity. Sub-confluent cultures were shaken at 225 rotations per minute overnight (repeated 3 times) to ensure astrocyte enrichment and further maintained in growth medium at 37°C, 5% CO</w:t>
      </w:r>
      <w:r w:rsidRPr="000903FC">
        <w:rPr>
          <w:sz w:val="20"/>
          <w:szCs w:val="20"/>
          <w:vertAlign w:val="subscript"/>
        </w:rPr>
        <w:t>2</w:t>
      </w:r>
      <w:r w:rsidRPr="000903FC">
        <w:rPr>
          <w:sz w:val="20"/>
          <w:szCs w:val="20"/>
        </w:rPr>
        <w:t xml:space="preserve"> atmosphere, and 95% relative humidity. For experiments, cells were plated onto 22-mm diameter </w:t>
      </w:r>
      <w:r w:rsidRPr="000903FC">
        <w:rPr>
          <w:sz w:val="20"/>
        </w:rPr>
        <w:t>glass coverslips coated with poly-D-lysine.</w:t>
      </w:r>
    </w:p>
    <w:p w:rsidR="00F27250" w:rsidRPr="000903FC" w:rsidRDefault="00F27250" w:rsidP="00F27250">
      <w:pPr>
        <w:spacing w:after="160" w:line="259" w:lineRule="auto"/>
        <w:rPr>
          <w:noProof/>
          <w:sz w:val="28"/>
          <w:lang w:val="en-US" w:eastAsia="en-US"/>
        </w:rPr>
      </w:pPr>
      <w:r w:rsidRPr="000903FC">
        <w:rPr>
          <w:noProof/>
          <w:sz w:val="28"/>
          <w:lang w:val="en-US" w:eastAsia="en-US"/>
        </w:rPr>
        <w:br w:type="page"/>
      </w:r>
    </w:p>
    <w:p w:rsidR="00F27250" w:rsidRPr="000903FC" w:rsidRDefault="00F27250" w:rsidP="00F27250">
      <w:pPr>
        <w:pStyle w:val="Heading1"/>
        <w:rPr>
          <w:noProof/>
          <w:sz w:val="28"/>
          <w:lang w:eastAsia="en-US"/>
        </w:rPr>
      </w:pPr>
      <w:r w:rsidRPr="000903FC">
        <w:rPr>
          <w:noProof/>
          <w:sz w:val="28"/>
          <w:lang w:eastAsia="en-US"/>
        </w:rPr>
        <w:lastRenderedPageBreak/>
        <w:t>Supplementary figures and captions</w:t>
      </w:r>
    </w:p>
    <w:p w:rsidR="00F27250" w:rsidRPr="000903FC" w:rsidRDefault="00F27250" w:rsidP="00F27250">
      <w:pPr>
        <w:pStyle w:val="FigureCaption"/>
        <w:spacing w:line="240" w:lineRule="auto"/>
        <w:ind w:left="0" w:firstLine="0"/>
        <w:rPr>
          <w:sz w:val="20"/>
        </w:rPr>
      </w:pPr>
      <w:r w:rsidRPr="000903FC">
        <w:rPr>
          <w:noProof/>
          <w:sz w:val="16"/>
          <w:szCs w:val="16"/>
          <w:lang w:val="sl-SI" w:eastAsia="sl-SI"/>
        </w:rPr>
        <w:drawing>
          <wp:inline distT="0" distB="0" distL="0" distR="0" wp14:anchorId="2CADF9E9" wp14:editId="29591F2F">
            <wp:extent cx="2889504" cy="6192012"/>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N_SLIKA-Sup1_Autophagy in time_v1_avg22.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9504" cy="6192012"/>
                    </a:xfrm>
                    <a:prstGeom prst="rect">
                      <a:avLst/>
                    </a:prstGeom>
                  </pic:spPr>
                </pic:pic>
              </a:graphicData>
            </a:graphic>
          </wp:inline>
        </w:drawing>
      </w:r>
    </w:p>
    <w:p w:rsidR="00F27250" w:rsidRPr="000903FC" w:rsidRDefault="00F27250" w:rsidP="00F27250">
      <w:pPr>
        <w:spacing w:after="0" w:line="240" w:lineRule="auto"/>
        <w:rPr>
          <w:sz w:val="20"/>
          <w:lang w:val="en-US"/>
        </w:rPr>
      </w:pPr>
      <w:proofErr w:type="gramStart"/>
      <w:r w:rsidRPr="000903FC">
        <w:rPr>
          <w:b/>
          <w:bCs/>
          <w:sz w:val="20"/>
          <w:szCs w:val="20"/>
          <w:lang w:val="en-US"/>
        </w:rPr>
        <w:t>Fig.</w:t>
      </w:r>
      <w:proofErr w:type="gramEnd"/>
      <w:r w:rsidRPr="000903FC">
        <w:rPr>
          <w:b/>
          <w:bCs/>
          <w:sz w:val="20"/>
          <w:szCs w:val="20"/>
          <w:lang w:val="en-US"/>
        </w:rPr>
        <w:t xml:space="preserve"> </w:t>
      </w:r>
      <w:proofErr w:type="gramStart"/>
      <w:r w:rsidRPr="000903FC">
        <w:rPr>
          <w:b/>
          <w:bCs/>
          <w:sz w:val="20"/>
          <w:szCs w:val="20"/>
          <w:lang w:val="en-US"/>
        </w:rPr>
        <w:t>S1</w:t>
      </w:r>
      <w:r w:rsidRPr="000903FC">
        <w:rPr>
          <w:sz w:val="20"/>
          <w:szCs w:val="20"/>
          <w:lang w:val="en-US"/>
        </w:rPr>
        <w:t xml:space="preserve"> Autophagy dynamics in ptfLC3-transfected primary rat astrocytes.</w:t>
      </w:r>
      <w:proofErr w:type="gramEnd"/>
      <w:r w:rsidRPr="000903FC">
        <w:rPr>
          <w:sz w:val="20"/>
          <w:szCs w:val="20"/>
          <w:lang w:val="en-US"/>
        </w:rPr>
        <w:t xml:space="preserve"> </w:t>
      </w:r>
      <w:proofErr w:type="spellStart"/>
      <w:r w:rsidRPr="000903FC">
        <w:rPr>
          <w:b/>
          <w:bCs/>
          <w:sz w:val="20"/>
          <w:szCs w:val="20"/>
          <w:lang w:val="en-US"/>
        </w:rPr>
        <w:t>a</w:t>
      </w:r>
      <w:proofErr w:type="spellEnd"/>
      <w:r w:rsidRPr="000903FC">
        <w:rPr>
          <w:sz w:val="20"/>
          <w:szCs w:val="20"/>
          <w:lang w:val="en-US"/>
        </w:rPr>
        <w:t xml:space="preserve"> </w:t>
      </w:r>
      <w:r w:rsidRPr="000903FC">
        <w:rPr>
          <w:sz w:val="20"/>
          <w:lang w:val="en-US"/>
        </w:rPr>
        <w:t xml:space="preserve">The total number of </w:t>
      </w:r>
      <w:proofErr w:type="spellStart"/>
      <w:r w:rsidRPr="000903FC">
        <w:rPr>
          <w:sz w:val="20"/>
          <w:lang w:val="en-US"/>
        </w:rPr>
        <w:t>autophagic</w:t>
      </w:r>
      <w:proofErr w:type="spellEnd"/>
      <w:r w:rsidRPr="000903FC">
        <w:rPr>
          <w:sz w:val="20"/>
          <w:lang w:val="en-US"/>
        </w:rPr>
        <w:t xml:space="preserve"> compartments (</w:t>
      </w:r>
      <w:proofErr w:type="spellStart"/>
      <w:r w:rsidRPr="000903FC">
        <w:rPr>
          <w:b/>
          <w:bCs/>
          <w:sz w:val="20"/>
          <w:lang w:val="en-US"/>
        </w:rPr>
        <w:t>a</w:t>
      </w:r>
      <w:r w:rsidRPr="000903FC">
        <w:rPr>
          <w:b/>
          <w:bCs/>
          <w:sz w:val="20"/>
          <w:vertAlign w:val="subscript"/>
          <w:lang w:val="en-US"/>
        </w:rPr>
        <w:t>i</w:t>
      </w:r>
      <w:proofErr w:type="spellEnd"/>
      <w:r w:rsidRPr="000903FC">
        <w:rPr>
          <w:sz w:val="20"/>
          <w:lang w:val="en-US"/>
        </w:rPr>
        <w:t xml:space="preserve">) and the ratio of autolysosomes to </w:t>
      </w:r>
      <w:proofErr w:type="spellStart"/>
      <w:r w:rsidRPr="000903FC">
        <w:rPr>
          <w:sz w:val="20"/>
          <w:lang w:val="en-US"/>
        </w:rPr>
        <w:t>autophagosomes</w:t>
      </w:r>
      <w:proofErr w:type="spellEnd"/>
      <w:r w:rsidRPr="000903FC">
        <w:rPr>
          <w:sz w:val="20"/>
          <w:lang w:val="en-US"/>
        </w:rPr>
        <w:t xml:space="preserve"> (AL</w:t>
      </w:r>
      <w:proofErr w:type="gramStart"/>
      <w:r w:rsidRPr="000903FC">
        <w:rPr>
          <w:sz w:val="20"/>
          <w:lang w:val="en-US"/>
        </w:rPr>
        <w:t>:AP</w:t>
      </w:r>
      <w:proofErr w:type="gramEnd"/>
      <w:r w:rsidRPr="000903FC">
        <w:rPr>
          <w:sz w:val="20"/>
          <w:lang w:val="en-US"/>
        </w:rPr>
        <w:t xml:space="preserve">; </w:t>
      </w:r>
      <w:proofErr w:type="spellStart"/>
      <w:r w:rsidRPr="000903FC">
        <w:rPr>
          <w:b/>
          <w:bCs/>
          <w:sz w:val="20"/>
          <w:lang w:val="en-US"/>
        </w:rPr>
        <w:t>a</w:t>
      </w:r>
      <w:r w:rsidRPr="000903FC">
        <w:rPr>
          <w:b/>
          <w:bCs/>
          <w:sz w:val="20"/>
          <w:vertAlign w:val="subscript"/>
          <w:lang w:val="en-US"/>
        </w:rPr>
        <w:t>ii</w:t>
      </w:r>
      <w:proofErr w:type="spellEnd"/>
      <w:r w:rsidRPr="000903FC">
        <w:rPr>
          <w:sz w:val="20"/>
          <w:lang w:val="en-US"/>
        </w:rPr>
        <w:t xml:space="preserve">) in ptfLC3-expressing control cells (maintained in a growth medium for 3 h; Control), starved cells (maintained in a medium devoid of nutrients and serum for 3 h; </w:t>
      </w:r>
      <w:proofErr w:type="spellStart"/>
      <w:r w:rsidRPr="000903FC">
        <w:rPr>
          <w:sz w:val="20"/>
          <w:lang w:val="en-US"/>
        </w:rPr>
        <w:t>Starv</w:t>
      </w:r>
      <w:proofErr w:type="spellEnd"/>
      <w:r w:rsidRPr="000903FC">
        <w:rPr>
          <w:sz w:val="20"/>
          <w:lang w:val="en-US"/>
        </w:rPr>
        <w:t>) and cells treated with selected autophagy modulators for 3 h (</w:t>
      </w:r>
      <w:proofErr w:type="spellStart"/>
      <w:r w:rsidR="00DF151F" w:rsidRPr="000903FC">
        <w:rPr>
          <w:sz w:val="20"/>
          <w:lang w:val="en-US"/>
        </w:rPr>
        <w:t>rapa</w:t>
      </w:r>
      <w:r w:rsidR="00DF151F" w:rsidRPr="000903FC">
        <w:rPr>
          <w:sz w:val="20"/>
          <w:lang w:val="sl-SI"/>
        </w:rPr>
        <w:t>mycin</w:t>
      </w:r>
      <w:proofErr w:type="spellEnd"/>
      <w:r w:rsidR="00DF151F" w:rsidRPr="000903FC">
        <w:rPr>
          <w:sz w:val="20"/>
          <w:lang w:val="sl-SI"/>
        </w:rPr>
        <w:t xml:space="preserve"> (</w:t>
      </w:r>
      <w:r w:rsidRPr="000903FC">
        <w:rPr>
          <w:sz w:val="20"/>
          <w:lang w:val="en-US"/>
        </w:rPr>
        <w:t>Rapa</w:t>
      </w:r>
      <w:r w:rsidR="00DF151F" w:rsidRPr="000903FC">
        <w:rPr>
          <w:sz w:val="20"/>
          <w:lang w:val="en-US"/>
        </w:rPr>
        <w:t xml:space="preserve">), </w:t>
      </w:r>
      <w:proofErr w:type="spellStart"/>
      <w:r w:rsidR="00DF151F" w:rsidRPr="000903FC">
        <w:rPr>
          <w:sz w:val="20"/>
          <w:lang w:val="en-US"/>
        </w:rPr>
        <w:t>wortmannin</w:t>
      </w:r>
      <w:proofErr w:type="spellEnd"/>
      <w:r w:rsidR="00DF151F" w:rsidRPr="000903FC">
        <w:rPr>
          <w:sz w:val="20"/>
          <w:lang w:val="en-US"/>
        </w:rPr>
        <w:t xml:space="preserve"> (Wort), </w:t>
      </w:r>
      <w:proofErr w:type="spellStart"/>
      <w:r w:rsidR="00DF151F" w:rsidRPr="000903FC">
        <w:rPr>
          <w:sz w:val="20"/>
          <w:lang w:val="en-US"/>
        </w:rPr>
        <w:t>bafilomycin</w:t>
      </w:r>
      <w:proofErr w:type="spellEnd"/>
      <w:r w:rsidR="00DF151F" w:rsidRPr="000903FC">
        <w:rPr>
          <w:sz w:val="20"/>
          <w:lang w:val="en-US"/>
        </w:rPr>
        <w:t xml:space="preserve"> A1 (</w:t>
      </w:r>
      <w:proofErr w:type="spellStart"/>
      <w:r w:rsidR="00DF151F" w:rsidRPr="000903FC">
        <w:rPr>
          <w:sz w:val="20"/>
          <w:lang w:val="en-US"/>
        </w:rPr>
        <w:t>Baf</w:t>
      </w:r>
      <w:proofErr w:type="spellEnd"/>
      <w:r w:rsidR="00DF151F" w:rsidRPr="000903FC">
        <w:rPr>
          <w:sz w:val="20"/>
          <w:lang w:val="en-US"/>
        </w:rPr>
        <w:t>)</w:t>
      </w:r>
      <w:r w:rsidRPr="000903FC">
        <w:rPr>
          <w:sz w:val="20"/>
          <w:lang w:val="en-US"/>
        </w:rPr>
        <w:t xml:space="preserve">). </w:t>
      </w:r>
      <w:proofErr w:type="spellStart"/>
      <w:r w:rsidRPr="000903FC">
        <w:rPr>
          <w:sz w:val="20"/>
          <w:lang w:val="en-US"/>
        </w:rPr>
        <w:t>Starv</w:t>
      </w:r>
      <w:proofErr w:type="spellEnd"/>
      <w:r w:rsidRPr="000903FC">
        <w:rPr>
          <w:sz w:val="20"/>
          <w:lang w:val="en-US"/>
        </w:rPr>
        <w:t xml:space="preserve"> and Rapa both increase the total number of autophagic compartments (*</w:t>
      </w:r>
      <w:r w:rsidRPr="000903FC">
        <w:rPr>
          <w:i/>
          <w:sz w:val="20"/>
          <w:lang w:val="en-US"/>
        </w:rPr>
        <w:t>P </w:t>
      </w:r>
      <w:r w:rsidRPr="000903FC">
        <w:rPr>
          <w:sz w:val="20"/>
          <w:lang w:val="en-US"/>
        </w:rPr>
        <w:t>&lt; 0.05, one-way ANOVA followed by Dunn’s test) without affecting the ratio AL</w:t>
      </w:r>
      <w:proofErr w:type="gramStart"/>
      <w:r w:rsidRPr="000903FC">
        <w:rPr>
          <w:sz w:val="20"/>
          <w:lang w:val="en-US"/>
        </w:rPr>
        <w:t>:AP</w:t>
      </w:r>
      <w:proofErr w:type="gramEnd"/>
      <w:r w:rsidRPr="000903FC">
        <w:rPr>
          <w:sz w:val="20"/>
          <w:lang w:val="en-US"/>
        </w:rPr>
        <w:t xml:space="preserve"> (</w:t>
      </w:r>
      <w:r w:rsidRPr="000903FC">
        <w:rPr>
          <w:i/>
          <w:sz w:val="20"/>
          <w:lang w:val="en-US"/>
        </w:rPr>
        <w:t>P </w:t>
      </w:r>
      <w:r w:rsidRPr="000903FC">
        <w:rPr>
          <w:sz w:val="20"/>
          <w:lang w:val="en-US"/>
        </w:rPr>
        <w:t xml:space="preserve">&gt; 0.05, one-way ANOVA) versus non-treated controls. Treatment with </w:t>
      </w:r>
      <w:proofErr w:type="spellStart"/>
      <w:r w:rsidRPr="000903FC">
        <w:rPr>
          <w:sz w:val="20"/>
          <w:lang w:val="en-US"/>
        </w:rPr>
        <w:t>Baf+Rapa</w:t>
      </w:r>
      <w:proofErr w:type="spellEnd"/>
      <w:r w:rsidRPr="000903FC">
        <w:rPr>
          <w:sz w:val="20"/>
          <w:lang w:val="en-US"/>
        </w:rPr>
        <w:t xml:space="preserve"> and </w:t>
      </w:r>
      <w:proofErr w:type="spellStart"/>
      <w:r w:rsidRPr="000903FC">
        <w:rPr>
          <w:sz w:val="20"/>
          <w:lang w:val="en-US"/>
        </w:rPr>
        <w:t>Baf</w:t>
      </w:r>
      <w:proofErr w:type="spellEnd"/>
      <w:r w:rsidRPr="000903FC">
        <w:rPr>
          <w:sz w:val="20"/>
          <w:lang w:val="en-US"/>
        </w:rPr>
        <w:t xml:space="preserve"> increases the total number of autophagic compartments and induces a decrease in the ratio AL</w:t>
      </w:r>
      <w:proofErr w:type="gramStart"/>
      <w:r w:rsidRPr="000903FC">
        <w:rPr>
          <w:sz w:val="20"/>
          <w:lang w:val="en-US"/>
        </w:rPr>
        <w:t>:AP</w:t>
      </w:r>
      <w:proofErr w:type="gramEnd"/>
      <w:r w:rsidRPr="000903FC">
        <w:rPr>
          <w:sz w:val="20"/>
          <w:lang w:val="en-US"/>
        </w:rPr>
        <w:t xml:space="preserve"> (*</w:t>
      </w:r>
      <w:r w:rsidRPr="000903FC">
        <w:rPr>
          <w:i/>
          <w:sz w:val="20"/>
          <w:lang w:val="en-US"/>
        </w:rPr>
        <w:t>P </w:t>
      </w:r>
      <w:r w:rsidRPr="000903FC">
        <w:rPr>
          <w:sz w:val="20"/>
          <w:lang w:val="en-US"/>
        </w:rPr>
        <w:t xml:space="preserve">&lt; 0.05, one-way ANOVA followed by Dunn’s test), compared with non-treated controls. Treatment with </w:t>
      </w:r>
      <w:proofErr w:type="spellStart"/>
      <w:r w:rsidRPr="000903FC">
        <w:rPr>
          <w:sz w:val="20"/>
          <w:lang w:val="en-US"/>
        </w:rPr>
        <w:t>Wort+Rapa</w:t>
      </w:r>
      <w:proofErr w:type="spellEnd"/>
      <w:r w:rsidRPr="000903FC">
        <w:rPr>
          <w:sz w:val="20"/>
          <w:lang w:val="en-US"/>
        </w:rPr>
        <w:t xml:space="preserve"> and Wort results in a lower number of autophagic compartments versus Rapa (*</w:t>
      </w:r>
      <w:r w:rsidRPr="000903FC">
        <w:rPr>
          <w:i/>
          <w:sz w:val="20"/>
          <w:lang w:val="en-US"/>
        </w:rPr>
        <w:t>P </w:t>
      </w:r>
      <w:r w:rsidRPr="000903FC">
        <w:rPr>
          <w:sz w:val="20"/>
          <w:lang w:val="en-US"/>
        </w:rPr>
        <w:t xml:space="preserve">&lt; 0.05, one-way ANOVA followed by Dunn’s test) and treatment with </w:t>
      </w:r>
      <w:proofErr w:type="spellStart"/>
      <w:r w:rsidRPr="000903FC">
        <w:rPr>
          <w:sz w:val="20"/>
          <w:lang w:val="en-US"/>
        </w:rPr>
        <w:t>Baf+Rapa</w:t>
      </w:r>
      <w:proofErr w:type="spellEnd"/>
      <w:r w:rsidRPr="000903FC">
        <w:rPr>
          <w:sz w:val="20"/>
          <w:lang w:val="en-US"/>
        </w:rPr>
        <w:t xml:space="preserve"> and </w:t>
      </w:r>
      <w:proofErr w:type="spellStart"/>
      <w:r w:rsidRPr="000903FC">
        <w:rPr>
          <w:sz w:val="20"/>
          <w:lang w:val="en-US"/>
        </w:rPr>
        <w:t>Baf</w:t>
      </w:r>
      <w:proofErr w:type="spellEnd"/>
      <w:r w:rsidRPr="000903FC">
        <w:rPr>
          <w:sz w:val="20"/>
          <w:lang w:val="en-US"/>
        </w:rPr>
        <w:t xml:space="preserve"> decreases the ratio AL</w:t>
      </w:r>
      <w:proofErr w:type="gramStart"/>
      <w:r w:rsidRPr="000903FC">
        <w:rPr>
          <w:sz w:val="20"/>
          <w:lang w:val="en-US"/>
        </w:rPr>
        <w:t>:AP</w:t>
      </w:r>
      <w:proofErr w:type="gramEnd"/>
      <w:r w:rsidRPr="000903FC">
        <w:rPr>
          <w:sz w:val="20"/>
          <w:lang w:val="en-US"/>
        </w:rPr>
        <w:t xml:space="preserve"> compared with Rapa-treated cells (*</w:t>
      </w:r>
      <w:r w:rsidRPr="000903FC">
        <w:rPr>
          <w:i/>
          <w:sz w:val="20"/>
          <w:lang w:val="en-US"/>
        </w:rPr>
        <w:t>P </w:t>
      </w:r>
      <w:r w:rsidRPr="000903FC">
        <w:rPr>
          <w:sz w:val="20"/>
          <w:lang w:val="en-US"/>
        </w:rPr>
        <w:t>&lt; 0.05, one-way ANOVA followed by Dunn’s test). Full lines in the boxplots represent median values and dotted lines correspond to average values. The numbers below the boxplots are the number of cells analyzed for each condition</w:t>
      </w:r>
      <w:r w:rsidRPr="000903FC">
        <w:rPr>
          <w:b/>
          <w:sz w:val="20"/>
          <w:lang w:val="en-US"/>
        </w:rPr>
        <w:t xml:space="preserve"> </w:t>
      </w:r>
      <w:r w:rsidRPr="000903FC">
        <w:rPr>
          <w:b/>
          <w:bCs/>
          <w:sz w:val="20"/>
          <w:szCs w:val="20"/>
          <w:lang w:val="en-US"/>
        </w:rPr>
        <w:t>b</w:t>
      </w:r>
      <w:r w:rsidRPr="000903FC">
        <w:rPr>
          <w:sz w:val="20"/>
          <w:szCs w:val="20"/>
          <w:lang w:val="en-US"/>
        </w:rPr>
        <w:t xml:space="preserve"> 2 ml of growth medium contains sufficient amount of nutrients to avoid augmentation of the </w:t>
      </w:r>
      <w:r w:rsidRPr="000903FC">
        <w:rPr>
          <w:sz w:val="20"/>
          <w:szCs w:val="20"/>
          <w:lang w:val="en-US"/>
        </w:rPr>
        <w:lastRenderedPageBreak/>
        <w:t>autophagy rate in rat astrocytes within 48 h.</w:t>
      </w:r>
      <w:r w:rsidRPr="000903FC">
        <w:rPr>
          <w:bCs/>
          <w:sz w:val="20"/>
          <w:szCs w:val="20"/>
          <w:lang w:val="en-US"/>
        </w:rPr>
        <w:t xml:space="preserve"> Following transfection of cultured rat astrocytes (</w:t>
      </w:r>
      <w:r w:rsidRPr="000903FC">
        <w:rPr>
          <w:sz w:val="20"/>
          <w:lang w:val="en-US"/>
        </w:rPr>
        <w:t>1.5×10</w:t>
      </w:r>
      <w:r w:rsidRPr="000903FC">
        <w:rPr>
          <w:sz w:val="20"/>
          <w:vertAlign w:val="superscript"/>
          <w:lang w:val="en-US"/>
        </w:rPr>
        <w:t>4</w:t>
      </w:r>
      <w:r w:rsidRPr="000903FC">
        <w:rPr>
          <w:sz w:val="20"/>
          <w:lang w:val="en-US"/>
        </w:rPr>
        <w:t xml:space="preserve"> cells per coverslip</w:t>
      </w:r>
      <w:r w:rsidRPr="000903FC">
        <w:rPr>
          <w:bCs/>
          <w:sz w:val="20"/>
          <w:szCs w:val="20"/>
          <w:lang w:val="en-US"/>
        </w:rPr>
        <w:t>) with ptfLC3 for 48 h, the growth medium was exchanged with a fresh one. Samples were then chemically fixed at five different time points after the exchange of the growth medium (0</w:t>
      </w:r>
      <w:r w:rsidRPr="000903FC">
        <w:rPr>
          <w:sz w:val="20"/>
          <w:lang w:val="en-US"/>
        </w:rPr>
        <w:t> </w:t>
      </w:r>
      <w:r w:rsidRPr="000903FC">
        <w:rPr>
          <w:bCs/>
          <w:sz w:val="20"/>
          <w:szCs w:val="20"/>
          <w:lang w:val="en-US"/>
        </w:rPr>
        <w:t>h, 3</w:t>
      </w:r>
      <w:r w:rsidRPr="000903FC">
        <w:rPr>
          <w:sz w:val="20"/>
          <w:lang w:val="en-US"/>
        </w:rPr>
        <w:t> </w:t>
      </w:r>
      <w:r w:rsidRPr="000903FC">
        <w:rPr>
          <w:bCs/>
          <w:sz w:val="20"/>
          <w:szCs w:val="20"/>
          <w:lang w:val="en-US"/>
        </w:rPr>
        <w:t>h, 6</w:t>
      </w:r>
      <w:r w:rsidRPr="000903FC">
        <w:rPr>
          <w:sz w:val="20"/>
          <w:lang w:val="en-US"/>
        </w:rPr>
        <w:t> </w:t>
      </w:r>
      <w:r w:rsidRPr="000903FC">
        <w:rPr>
          <w:bCs/>
          <w:sz w:val="20"/>
          <w:szCs w:val="20"/>
          <w:lang w:val="en-US"/>
        </w:rPr>
        <w:t>h, 24</w:t>
      </w:r>
      <w:r w:rsidRPr="000903FC">
        <w:rPr>
          <w:sz w:val="20"/>
          <w:lang w:val="en-US"/>
        </w:rPr>
        <w:t> </w:t>
      </w:r>
      <w:r w:rsidRPr="000903FC">
        <w:rPr>
          <w:bCs/>
          <w:sz w:val="20"/>
          <w:szCs w:val="20"/>
          <w:lang w:val="en-US"/>
        </w:rPr>
        <w:t>h</w:t>
      </w:r>
      <w:r w:rsidR="00DF151F" w:rsidRPr="000903FC">
        <w:rPr>
          <w:bCs/>
          <w:sz w:val="20"/>
          <w:szCs w:val="20"/>
          <w:lang w:val="en-US"/>
        </w:rPr>
        <w:t>,</w:t>
      </w:r>
      <w:r w:rsidRPr="000903FC">
        <w:rPr>
          <w:bCs/>
          <w:sz w:val="20"/>
          <w:szCs w:val="20"/>
          <w:lang w:val="en-US"/>
        </w:rPr>
        <w:t xml:space="preserve"> and 48</w:t>
      </w:r>
      <w:r w:rsidRPr="000903FC">
        <w:rPr>
          <w:sz w:val="20"/>
          <w:lang w:val="en-US"/>
        </w:rPr>
        <w:t> </w:t>
      </w:r>
      <w:r w:rsidRPr="000903FC">
        <w:rPr>
          <w:bCs/>
          <w:sz w:val="20"/>
          <w:szCs w:val="20"/>
          <w:lang w:val="en-US"/>
        </w:rPr>
        <w:t xml:space="preserve">h) and the autophagy rate was determined based on measurements of the total number of autophagic compartments per </w:t>
      </w:r>
      <w:r w:rsidRPr="000903FC">
        <w:rPr>
          <w:sz w:val="20"/>
          <w:szCs w:val="20"/>
          <w:lang w:val="en-US"/>
        </w:rPr>
        <w:t>1000 µm</w:t>
      </w:r>
      <w:r w:rsidRPr="000903FC">
        <w:rPr>
          <w:sz w:val="20"/>
          <w:szCs w:val="20"/>
          <w:vertAlign w:val="superscript"/>
          <w:lang w:val="en-US"/>
        </w:rPr>
        <w:t>3</w:t>
      </w:r>
      <w:r w:rsidR="00DF151F" w:rsidRPr="000903FC">
        <w:rPr>
          <w:sz w:val="20"/>
          <w:szCs w:val="20"/>
          <w:lang w:val="en-US"/>
        </w:rPr>
        <w:t xml:space="preserve"> (</w:t>
      </w:r>
      <w:r w:rsidRPr="000903FC">
        <w:rPr>
          <w:sz w:val="20"/>
          <w:szCs w:val="20"/>
          <w:lang w:val="en-US"/>
        </w:rPr>
        <w:t>black curve) and the ratio AL:AP (grey curve). The addition of fresh growth medium did not affect autophagy levels at any time point tested (</w:t>
      </w:r>
      <w:r w:rsidRPr="000903FC">
        <w:rPr>
          <w:i/>
          <w:iCs/>
          <w:sz w:val="20"/>
          <w:szCs w:val="20"/>
          <w:lang w:val="en-US"/>
        </w:rPr>
        <w:t>P</w:t>
      </w:r>
      <w:r w:rsidRPr="000903FC">
        <w:rPr>
          <w:sz w:val="20"/>
          <w:szCs w:val="20"/>
          <w:lang w:val="en-US"/>
        </w:rPr>
        <w:t xml:space="preserve"> &gt; 0.05, one-way ANOVA versus 0 time point). </w:t>
      </w:r>
      <w:r w:rsidRPr="000903FC">
        <w:rPr>
          <w:sz w:val="20"/>
          <w:lang w:val="en-US"/>
        </w:rPr>
        <w:t>Data are presented as an average ± standard error.</w:t>
      </w:r>
      <w:r w:rsidRPr="000903FC">
        <w:rPr>
          <w:sz w:val="20"/>
          <w:szCs w:val="20"/>
          <w:lang w:val="en-US"/>
        </w:rPr>
        <w:t xml:space="preserve"> The n</w:t>
      </w:r>
      <w:r w:rsidR="005161EA" w:rsidRPr="000903FC">
        <w:rPr>
          <w:sz w:val="20"/>
          <w:lang w:val="en-US"/>
        </w:rPr>
        <w:t>umber of cells analyzed: 0 h</w:t>
      </w:r>
      <w:r w:rsidRPr="000903FC">
        <w:rPr>
          <w:sz w:val="20"/>
          <w:lang w:val="en-US"/>
        </w:rPr>
        <w:t xml:space="preserve"> (51), 3 h (55), 6 h (39), 24 h (38), </w:t>
      </w:r>
      <w:proofErr w:type="gramStart"/>
      <w:r w:rsidRPr="000903FC">
        <w:rPr>
          <w:sz w:val="20"/>
          <w:lang w:val="en-US"/>
        </w:rPr>
        <w:t>48</w:t>
      </w:r>
      <w:proofErr w:type="gramEnd"/>
      <w:r w:rsidRPr="000903FC">
        <w:rPr>
          <w:sz w:val="20"/>
          <w:lang w:val="en-US"/>
        </w:rPr>
        <w:t> h (32)</w:t>
      </w:r>
      <w:r w:rsidRPr="000903FC">
        <w:rPr>
          <w:sz w:val="20"/>
          <w:lang w:val="en-US"/>
        </w:rPr>
        <w:br w:type="page"/>
      </w:r>
    </w:p>
    <w:p w:rsidR="00F27250" w:rsidRPr="000903FC" w:rsidRDefault="00F27250" w:rsidP="00F27250">
      <w:pPr>
        <w:spacing w:after="0" w:line="276" w:lineRule="auto"/>
        <w:jc w:val="both"/>
        <w:rPr>
          <w:sz w:val="20"/>
          <w:szCs w:val="20"/>
          <w:lang w:val="en-US" w:eastAsia="en-US"/>
        </w:rPr>
      </w:pPr>
      <w:r w:rsidRPr="000903FC">
        <w:rPr>
          <w:noProof/>
          <w:sz w:val="20"/>
          <w:szCs w:val="20"/>
          <w:lang w:val="sl-SI" w:eastAsia="sl-SI"/>
        </w:rPr>
        <w:lastRenderedPageBreak/>
        <w:drawing>
          <wp:inline distT="0" distB="0" distL="0" distR="0" wp14:anchorId="5B0E291C" wp14:editId="494C0B9C">
            <wp:extent cx="5760720" cy="44018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401820"/>
                    </a:xfrm>
                    <a:prstGeom prst="rect">
                      <a:avLst/>
                    </a:prstGeom>
                  </pic:spPr>
                </pic:pic>
              </a:graphicData>
            </a:graphic>
          </wp:inline>
        </w:drawing>
      </w:r>
    </w:p>
    <w:p w:rsidR="00EE6E2B" w:rsidRDefault="00F27250" w:rsidP="00F27250">
      <w:pPr>
        <w:spacing w:after="0" w:line="240" w:lineRule="auto"/>
        <w:jc w:val="both"/>
      </w:pPr>
      <w:proofErr w:type="gramStart"/>
      <w:r w:rsidRPr="000903FC">
        <w:rPr>
          <w:b/>
          <w:bCs/>
          <w:sz w:val="20"/>
          <w:szCs w:val="20"/>
          <w:lang w:val="en-US"/>
        </w:rPr>
        <w:t>Fig.</w:t>
      </w:r>
      <w:proofErr w:type="gramEnd"/>
      <w:r w:rsidRPr="000903FC">
        <w:rPr>
          <w:b/>
          <w:bCs/>
          <w:sz w:val="20"/>
          <w:szCs w:val="20"/>
          <w:lang w:val="en-US"/>
        </w:rPr>
        <w:t xml:space="preserve"> S2 </w:t>
      </w:r>
      <w:r w:rsidRPr="000903FC">
        <w:rPr>
          <w:sz w:val="20"/>
          <w:szCs w:val="20"/>
          <w:lang w:val="en-US"/>
        </w:rPr>
        <w:t xml:space="preserve">Representative fluorescent micrographs showing mRFP-EGFP-LC3 expression in mock-infected (Mock) and flavivirus-infected (TBEV and WNV) human astrocytes, maintained in control conditions (in the absence of autophagy modulators; Control) or exposed to selected autophagy modulators (Rapa, Wort, </w:t>
      </w:r>
      <w:proofErr w:type="spellStart"/>
      <w:r w:rsidRPr="000903FC">
        <w:rPr>
          <w:sz w:val="20"/>
          <w:szCs w:val="20"/>
          <w:lang w:val="en-US"/>
        </w:rPr>
        <w:t>Baf</w:t>
      </w:r>
      <w:proofErr w:type="spellEnd"/>
      <w:r w:rsidRPr="000903FC">
        <w:rPr>
          <w:sz w:val="20"/>
          <w:szCs w:val="20"/>
          <w:lang w:val="en-US"/>
        </w:rPr>
        <w:t xml:space="preserve">) for 48 h. Selected rectangular areas within the cells are enlarged at the top right corners showing superimposed images of </w:t>
      </w:r>
      <w:proofErr w:type="spellStart"/>
      <w:r w:rsidRPr="000903FC">
        <w:rPr>
          <w:sz w:val="20"/>
          <w:szCs w:val="20"/>
          <w:lang w:val="en-US"/>
        </w:rPr>
        <w:t>mRFP</w:t>
      </w:r>
      <w:proofErr w:type="spellEnd"/>
      <w:r w:rsidRPr="000903FC">
        <w:rPr>
          <w:sz w:val="20"/>
          <w:szCs w:val="20"/>
          <w:lang w:val="en-US"/>
        </w:rPr>
        <w:t xml:space="preserve"> (red) and EGFP (green) fluorescence. Autophagosomes are recognized as </w:t>
      </w:r>
      <w:proofErr w:type="spellStart"/>
      <w:r w:rsidRPr="000903FC">
        <w:rPr>
          <w:sz w:val="20"/>
          <w:szCs w:val="20"/>
          <w:lang w:val="en-US"/>
        </w:rPr>
        <w:t>mRFP</w:t>
      </w:r>
      <w:r w:rsidRPr="000903FC">
        <w:rPr>
          <w:sz w:val="20"/>
          <w:szCs w:val="20"/>
          <w:vertAlign w:val="superscript"/>
          <w:lang w:val="en-US"/>
        </w:rPr>
        <w:t>+</w:t>
      </w:r>
      <w:r w:rsidRPr="000903FC">
        <w:rPr>
          <w:sz w:val="20"/>
          <w:szCs w:val="20"/>
          <w:lang w:val="en-US"/>
        </w:rPr>
        <w:t>EGFP</w:t>
      </w:r>
      <w:proofErr w:type="spellEnd"/>
      <w:r w:rsidRPr="000903FC">
        <w:rPr>
          <w:sz w:val="20"/>
          <w:szCs w:val="20"/>
          <w:vertAlign w:val="superscript"/>
          <w:lang w:val="en-US"/>
        </w:rPr>
        <w:t>+</w:t>
      </w:r>
      <w:r w:rsidRPr="000903FC">
        <w:rPr>
          <w:sz w:val="20"/>
          <w:szCs w:val="20"/>
          <w:lang w:val="en-US"/>
        </w:rPr>
        <w:t xml:space="preserve"> objects, whereas autolysosomes correspond to </w:t>
      </w:r>
      <w:proofErr w:type="spellStart"/>
      <w:r w:rsidRPr="000903FC">
        <w:rPr>
          <w:sz w:val="20"/>
          <w:szCs w:val="20"/>
          <w:lang w:val="en-US"/>
        </w:rPr>
        <w:t>mRFP</w:t>
      </w:r>
      <w:r w:rsidRPr="000903FC">
        <w:rPr>
          <w:sz w:val="20"/>
          <w:szCs w:val="20"/>
          <w:vertAlign w:val="superscript"/>
          <w:lang w:val="en-US"/>
        </w:rPr>
        <w:t>+</w:t>
      </w:r>
      <w:r w:rsidRPr="000903FC">
        <w:rPr>
          <w:sz w:val="20"/>
          <w:szCs w:val="20"/>
          <w:lang w:val="en-US"/>
        </w:rPr>
        <w:t>EGFP</w:t>
      </w:r>
      <w:proofErr w:type="spellEnd"/>
      <w:r w:rsidRPr="000903FC">
        <w:rPr>
          <w:sz w:val="20"/>
          <w:szCs w:val="20"/>
          <w:vertAlign w:val="superscript"/>
          <w:lang w:val="en-US"/>
        </w:rPr>
        <w:t>-</w:t>
      </w:r>
      <w:r w:rsidRPr="000903FC">
        <w:rPr>
          <w:sz w:val="20"/>
          <w:szCs w:val="20"/>
          <w:lang w:val="en-US"/>
        </w:rPr>
        <w:t xml:space="preserve"> objects. The white outlines in the large panels show the cell shape. Cells were infected with TBEV at an MOI 0.1 and WNV at an MOI 1. Cells were exposed to viruses and autophagy modulators for 48 h</w:t>
      </w:r>
      <w:bookmarkStart w:id="0" w:name="_GoBack"/>
      <w:bookmarkEnd w:id="0"/>
    </w:p>
    <w:sectPr w:rsidR="00EE6E2B" w:rsidSect="00A471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250"/>
    <w:rsid w:val="000903FC"/>
    <w:rsid w:val="005161EA"/>
    <w:rsid w:val="00DF151F"/>
    <w:rsid w:val="00EE6E2B"/>
    <w:rsid w:val="00F272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250"/>
    <w:pPr>
      <w:spacing w:after="120" w:line="480" w:lineRule="auto"/>
    </w:pPr>
    <w:rPr>
      <w:rFonts w:ascii="Times New Roman" w:eastAsia="Times New Roman" w:hAnsi="Times New Roman" w:cs="Times New Roman"/>
      <w:lang w:val="en-IE" w:eastAsia="en-IE"/>
    </w:rPr>
  </w:style>
  <w:style w:type="paragraph" w:styleId="Heading1">
    <w:name w:val="heading 1"/>
    <w:aliases w:val="Char Char"/>
    <w:basedOn w:val="Normal"/>
    <w:next w:val="Normal"/>
    <w:link w:val="Heading1Char"/>
    <w:qFormat/>
    <w:rsid w:val="00F27250"/>
    <w:pPr>
      <w:keepNext/>
      <w:spacing w:before="120"/>
      <w:outlineLvl w:val="0"/>
    </w:pPr>
    <w:rPr>
      <w:sz w:val="36"/>
      <w:lang w:val="en-US"/>
    </w:rPr>
  </w:style>
  <w:style w:type="paragraph" w:styleId="Heading2">
    <w:name w:val="heading 2"/>
    <w:aliases w:val="/Heading 2"/>
    <w:basedOn w:val="Normal"/>
    <w:next w:val="Normal"/>
    <w:link w:val="Heading2Char"/>
    <w:qFormat/>
    <w:rsid w:val="00F27250"/>
    <w:pPr>
      <w:keepNext/>
      <w:spacing w:before="120" w:after="240"/>
      <w:outlineLvl w:val="1"/>
    </w:pPr>
    <w:rPr>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Char"/>
    <w:basedOn w:val="DefaultParagraphFont"/>
    <w:link w:val="Heading1"/>
    <w:rsid w:val="00F27250"/>
    <w:rPr>
      <w:rFonts w:ascii="Times New Roman" w:eastAsia="Times New Roman" w:hAnsi="Times New Roman" w:cs="Times New Roman"/>
      <w:sz w:val="36"/>
      <w:lang w:val="en-US" w:eastAsia="en-IE"/>
    </w:rPr>
  </w:style>
  <w:style w:type="character" w:customStyle="1" w:styleId="Heading2Char">
    <w:name w:val="Heading 2 Char"/>
    <w:aliases w:val="/Heading 2 Char"/>
    <w:basedOn w:val="DefaultParagraphFont"/>
    <w:link w:val="Heading2"/>
    <w:rsid w:val="00F27250"/>
    <w:rPr>
      <w:rFonts w:ascii="Times New Roman" w:eastAsia="Times New Roman" w:hAnsi="Times New Roman" w:cs="Times New Roman"/>
      <w:b/>
      <w:sz w:val="28"/>
      <w:szCs w:val="20"/>
      <w:lang w:val="en-GB" w:eastAsia="en-IE"/>
    </w:rPr>
  </w:style>
  <w:style w:type="character" w:styleId="Hyperlink">
    <w:name w:val="Hyperlink"/>
    <w:rsid w:val="00F27250"/>
    <w:rPr>
      <w:color w:val="0000FF"/>
      <w:u w:val="single"/>
    </w:rPr>
  </w:style>
  <w:style w:type="paragraph" w:customStyle="1" w:styleId="Acknowl">
    <w:name w:val="Acknowl"/>
    <w:basedOn w:val="Normal"/>
    <w:rsid w:val="00F27250"/>
    <w:pPr>
      <w:spacing w:after="240"/>
      <w:ind w:firstLine="240"/>
    </w:pPr>
    <w:rPr>
      <w:sz w:val="24"/>
      <w:lang w:val="en-US"/>
    </w:rPr>
  </w:style>
  <w:style w:type="paragraph" w:customStyle="1" w:styleId="Authors">
    <w:name w:val="Authors"/>
    <w:basedOn w:val="Normal"/>
    <w:rsid w:val="00F27250"/>
    <w:pPr>
      <w:spacing w:before="240" w:after="240"/>
    </w:pPr>
    <w:rPr>
      <w:sz w:val="28"/>
      <w:lang w:val="en-GB"/>
    </w:rPr>
  </w:style>
  <w:style w:type="paragraph" w:customStyle="1" w:styleId="Affiliation">
    <w:name w:val="Affiliation"/>
    <w:basedOn w:val="Normal"/>
    <w:rsid w:val="00F27250"/>
    <w:pPr>
      <w:spacing w:before="120"/>
    </w:pPr>
    <w:rPr>
      <w:lang w:val="en-GB"/>
    </w:rPr>
  </w:style>
  <w:style w:type="paragraph" w:customStyle="1" w:styleId="Correspondence">
    <w:name w:val="Correspondence"/>
    <w:basedOn w:val="Normal"/>
    <w:rsid w:val="00F27250"/>
    <w:pPr>
      <w:spacing w:after="240"/>
    </w:pPr>
    <w:rPr>
      <w:sz w:val="24"/>
      <w:lang w:val="en-GB"/>
    </w:rPr>
  </w:style>
  <w:style w:type="paragraph" w:customStyle="1" w:styleId="FigureCaption">
    <w:name w:val="FigureCaption"/>
    <w:basedOn w:val="Normal"/>
    <w:rsid w:val="00F27250"/>
    <w:pPr>
      <w:spacing w:after="240"/>
      <w:ind w:left="708" w:hanging="708"/>
    </w:pPr>
    <w:rPr>
      <w:sz w:val="24"/>
      <w:lang w:val="en-US"/>
    </w:rPr>
  </w:style>
  <w:style w:type="paragraph" w:styleId="BalloonText">
    <w:name w:val="Balloon Text"/>
    <w:basedOn w:val="Normal"/>
    <w:link w:val="BalloonTextChar"/>
    <w:uiPriority w:val="99"/>
    <w:semiHidden/>
    <w:unhideWhenUsed/>
    <w:rsid w:val="00F272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250"/>
    <w:rPr>
      <w:rFonts w:ascii="Tahoma" w:eastAsia="Times New Roman" w:hAnsi="Tahoma" w:cs="Tahoma"/>
      <w:sz w:val="16"/>
      <w:szCs w:val="16"/>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250"/>
    <w:pPr>
      <w:spacing w:after="120" w:line="480" w:lineRule="auto"/>
    </w:pPr>
    <w:rPr>
      <w:rFonts w:ascii="Times New Roman" w:eastAsia="Times New Roman" w:hAnsi="Times New Roman" w:cs="Times New Roman"/>
      <w:lang w:val="en-IE" w:eastAsia="en-IE"/>
    </w:rPr>
  </w:style>
  <w:style w:type="paragraph" w:styleId="Heading1">
    <w:name w:val="heading 1"/>
    <w:aliases w:val="Char Char"/>
    <w:basedOn w:val="Normal"/>
    <w:next w:val="Normal"/>
    <w:link w:val="Heading1Char"/>
    <w:qFormat/>
    <w:rsid w:val="00F27250"/>
    <w:pPr>
      <w:keepNext/>
      <w:spacing w:before="120"/>
      <w:outlineLvl w:val="0"/>
    </w:pPr>
    <w:rPr>
      <w:sz w:val="36"/>
      <w:lang w:val="en-US"/>
    </w:rPr>
  </w:style>
  <w:style w:type="paragraph" w:styleId="Heading2">
    <w:name w:val="heading 2"/>
    <w:aliases w:val="/Heading 2"/>
    <w:basedOn w:val="Normal"/>
    <w:next w:val="Normal"/>
    <w:link w:val="Heading2Char"/>
    <w:qFormat/>
    <w:rsid w:val="00F27250"/>
    <w:pPr>
      <w:keepNext/>
      <w:spacing w:before="120" w:after="240"/>
      <w:outlineLvl w:val="1"/>
    </w:pPr>
    <w:rPr>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Char"/>
    <w:basedOn w:val="DefaultParagraphFont"/>
    <w:link w:val="Heading1"/>
    <w:rsid w:val="00F27250"/>
    <w:rPr>
      <w:rFonts w:ascii="Times New Roman" w:eastAsia="Times New Roman" w:hAnsi="Times New Roman" w:cs="Times New Roman"/>
      <w:sz w:val="36"/>
      <w:lang w:val="en-US" w:eastAsia="en-IE"/>
    </w:rPr>
  </w:style>
  <w:style w:type="character" w:customStyle="1" w:styleId="Heading2Char">
    <w:name w:val="Heading 2 Char"/>
    <w:aliases w:val="/Heading 2 Char"/>
    <w:basedOn w:val="DefaultParagraphFont"/>
    <w:link w:val="Heading2"/>
    <w:rsid w:val="00F27250"/>
    <w:rPr>
      <w:rFonts w:ascii="Times New Roman" w:eastAsia="Times New Roman" w:hAnsi="Times New Roman" w:cs="Times New Roman"/>
      <w:b/>
      <w:sz w:val="28"/>
      <w:szCs w:val="20"/>
      <w:lang w:val="en-GB" w:eastAsia="en-IE"/>
    </w:rPr>
  </w:style>
  <w:style w:type="character" w:styleId="Hyperlink">
    <w:name w:val="Hyperlink"/>
    <w:rsid w:val="00F27250"/>
    <w:rPr>
      <w:color w:val="0000FF"/>
      <w:u w:val="single"/>
    </w:rPr>
  </w:style>
  <w:style w:type="paragraph" w:customStyle="1" w:styleId="Acknowl">
    <w:name w:val="Acknowl"/>
    <w:basedOn w:val="Normal"/>
    <w:rsid w:val="00F27250"/>
    <w:pPr>
      <w:spacing w:after="240"/>
      <w:ind w:firstLine="240"/>
    </w:pPr>
    <w:rPr>
      <w:sz w:val="24"/>
      <w:lang w:val="en-US"/>
    </w:rPr>
  </w:style>
  <w:style w:type="paragraph" w:customStyle="1" w:styleId="Authors">
    <w:name w:val="Authors"/>
    <w:basedOn w:val="Normal"/>
    <w:rsid w:val="00F27250"/>
    <w:pPr>
      <w:spacing w:before="240" w:after="240"/>
    </w:pPr>
    <w:rPr>
      <w:sz w:val="28"/>
      <w:lang w:val="en-GB"/>
    </w:rPr>
  </w:style>
  <w:style w:type="paragraph" w:customStyle="1" w:styleId="Affiliation">
    <w:name w:val="Affiliation"/>
    <w:basedOn w:val="Normal"/>
    <w:rsid w:val="00F27250"/>
    <w:pPr>
      <w:spacing w:before="120"/>
    </w:pPr>
    <w:rPr>
      <w:lang w:val="en-GB"/>
    </w:rPr>
  </w:style>
  <w:style w:type="paragraph" w:customStyle="1" w:styleId="Correspondence">
    <w:name w:val="Correspondence"/>
    <w:basedOn w:val="Normal"/>
    <w:rsid w:val="00F27250"/>
    <w:pPr>
      <w:spacing w:after="240"/>
    </w:pPr>
    <w:rPr>
      <w:sz w:val="24"/>
      <w:lang w:val="en-GB"/>
    </w:rPr>
  </w:style>
  <w:style w:type="paragraph" w:customStyle="1" w:styleId="FigureCaption">
    <w:name w:val="FigureCaption"/>
    <w:basedOn w:val="Normal"/>
    <w:rsid w:val="00F27250"/>
    <w:pPr>
      <w:spacing w:after="240"/>
      <w:ind w:left="708" w:hanging="708"/>
    </w:pPr>
    <w:rPr>
      <w:sz w:val="24"/>
      <w:lang w:val="en-US"/>
    </w:rPr>
  </w:style>
  <w:style w:type="paragraph" w:styleId="BalloonText">
    <w:name w:val="Balloon Text"/>
    <w:basedOn w:val="Normal"/>
    <w:link w:val="BalloonTextChar"/>
    <w:uiPriority w:val="99"/>
    <w:semiHidden/>
    <w:unhideWhenUsed/>
    <w:rsid w:val="00F272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250"/>
    <w:rPr>
      <w:rFonts w:ascii="Tahoma" w:eastAsia="Times New Roman" w:hAnsi="Tahoma" w:cs="Tahoma"/>
      <w:sz w:val="16"/>
      <w:szCs w:val="16"/>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hyperlink" Target="mailto:jernej.jorgacevski@mf.uni-lj.s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Jernej Jorgačevski</dc:creator>
  <cp:lastModifiedBy>Jernej Jorgačevski</cp:lastModifiedBy>
  <cp:revision>2</cp:revision>
  <dcterms:created xsi:type="dcterms:W3CDTF">2022-09-27T12:19:00Z</dcterms:created>
  <dcterms:modified xsi:type="dcterms:W3CDTF">2022-09-27T12:19:00Z</dcterms:modified>
</cp:coreProperties>
</file>