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AEE00F" w14:textId="1A002968"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Supplementary data</w:t>
      </w:r>
      <w:r w:rsidRPr="00070888">
        <w:rPr>
          <w:rFonts w:ascii="Times New Roman" w:eastAsia="Calibri" w:hAnsi="Times New Roman" w:cs="Times New Roman"/>
          <w:sz w:val="20"/>
          <w:szCs w:val="20"/>
        </w:rPr>
        <w:t>:</w:t>
      </w:r>
    </w:p>
    <w:p w14:paraId="1341463D" w14:textId="7A0BF88F"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noProof/>
          <w:sz w:val="20"/>
          <w:szCs w:val="20"/>
          <w:lang w:val="en-US"/>
        </w:rPr>
        <w:drawing>
          <wp:inline distT="0" distB="0" distL="0" distR="0" wp14:anchorId="723B256D" wp14:editId="364C2F46">
            <wp:extent cx="5850671" cy="62526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8639" cy="6261136"/>
                    </a:xfrm>
                    <a:prstGeom prst="rect">
                      <a:avLst/>
                    </a:prstGeom>
                    <a:noFill/>
                  </pic:spPr>
                </pic:pic>
              </a:graphicData>
            </a:graphic>
          </wp:inline>
        </w:drawing>
      </w:r>
    </w:p>
    <w:p w14:paraId="6AD69563" w14:textId="77777777" w:rsidR="00770F91" w:rsidRPr="00070888" w:rsidRDefault="00770F91" w:rsidP="00770F91">
      <w:pPr>
        <w:spacing w:line="240" w:lineRule="auto"/>
        <w:contextualSpacing/>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Supplementary Figure 1.</w:t>
      </w:r>
      <w:r w:rsidRPr="00070888">
        <w:rPr>
          <w:rFonts w:ascii="Times New Roman" w:eastAsia="Calibri" w:hAnsi="Times New Roman" w:cs="Times New Roman"/>
          <w:sz w:val="20"/>
          <w:szCs w:val="20"/>
        </w:rPr>
        <w:t xml:space="preserve"> </w:t>
      </w:r>
      <w:r w:rsidRPr="00070888">
        <w:rPr>
          <w:rFonts w:ascii="Times New Roman" w:eastAsia="Calibri" w:hAnsi="Times New Roman" w:cs="Times New Roman"/>
          <w:b/>
          <w:bCs/>
          <w:sz w:val="20"/>
          <w:szCs w:val="20"/>
        </w:rPr>
        <w:t>MS2 analysis of nitrated CXCL8.</w:t>
      </w:r>
      <w:r w:rsidRPr="00070888">
        <w:rPr>
          <w:rFonts w:ascii="Times New Roman" w:eastAsia="Calibri" w:hAnsi="Times New Roman" w:cs="Times New Roman"/>
          <w:sz w:val="20"/>
          <w:szCs w:val="20"/>
        </w:rPr>
        <w:t xml:space="preserve"> A) Shows the compound spectra for MS2 analysis of nitrated CXCL8. Nitrated CXCL8 was manually injected at and analysed by ion trap mass spectrometry. The most abundant ion was the 1205 peak, which corresponds to a +7 charged ion of the full-length chemokine with one NO</w:t>
      </w:r>
      <w:r w:rsidRPr="00070888">
        <w:rPr>
          <w:rFonts w:ascii="Times New Roman" w:eastAsia="Calibri" w:hAnsi="Times New Roman" w:cs="Times New Roman"/>
          <w:sz w:val="20"/>
          <w:szCs w:val="20"/>
          <w:vertAlign w:val="subscript"/>
        </w:rPr>
        <w:t>2</w:t>
      </w:r>
      <w:r w:rsidRPr="00070888">
        <w:rPr>
          <w:rFonts w:ascii="Times New Roman" w:eastAsia="Calibri" w:hAnsi="Times New Roman" w:cs="Times New Roman"/>
          <w:sz w:val="20"/>
          <w:szCs w:val="20"/>
        </w:rPr>
        <w:t xml:space="preserve"> group added (+45Da). This ion was selected and held within the ion trap, then fragmented to break the D-P bond, thus cleaving the chemokine into a C-terminal peptide and an N-terminal peptide. A triple charged ion of 820.14 corresponds to a peptide with no additional NO</w:t>
      </w:r>
      <w:r w:rsidRPr="00070888">
        <w:rPr>
          <w:rFonts w:ascii="Times New Roman" w:eastAsia="Calibri" w:hAnsi="Times New Roman" w:cs="Times New Roman"/>
          <w:sz w:val="20"/>
          <w:szCs w:val="20"/>
          <w:vertAlign w:val="subscript"/>
        </w:rPr>
        <w:t>2</w:t>
      </w:r>
      <w:r w:rsidRPr="00070888">
        <w:rPr>
          <w:rFonts w:ascii="Times New Roman" w:eastAsia="Calibri" w:hAnsi="Times New Roman" w:cs="Times New Roman"/>
          <w:sz w:val="20"/>
          <w:szCs w:val="20"/>
        </w:rPr>
        <w:t xml:space="preserve"> groups, whereas the quadruple charged ion of 1493.01 (red arrow) is consistent with a peptide plus one NO</w:t>
      </w:r>
      <w:r w:rsidRPr="00070888">
        <w:rPr>
          <w:rFonts w:ascii="Times New Roman" w:eastAsia="Calibri" w:hAnsi="Times New Roman" w:cs="Times New Roman"/>
          <w:sz w:val="20"/>
          <w:szCs w:val="20"/>
          <w:vertAlign w:val="subscript"/>
        </w:rPr>
        <w:t>2</w:t>
      </w:r>
      <w:r w:rsidRPr="00070888">
        <w:rPr>
          <w:rFonts w:ascii="Times New Roman" w:eastAsia="Calibri" w:hAnsi="Times New Roman" w:cs="Times New Roman"/>
          <w:sz w:val="20"/>
          <w:szCs w:val="20"/>
        </w:rPr>
        <w:t xml:space="preserve"> group – therefore, incubation of CXCL8 with peroxynitrite results in one NO</w:t>
      </w:r>
      <w:r w:rsidRPr="00070888">
        <w:rPr>
          <w:rFonts w:ascii="Times New Roman" w:eastAsia="Calibri" w:hAnsi="Times New Roman" w:cs="Times New Roman"/>
          <w:sz w:val="20"/>
          <w:szCs w:val="20"/>
          <w:vertAlign w:val="subscript"/>
        </w:rPr>
        <w:t>2</w:t>
      </w:r>
      <w:r w:rsidRPr="00070888">
        <w:rPr>
          <w:rFonts w:ascii="Times New Roman" w:eastAsia="Calibri" w:hAnsi="Times New Roman" w:cs="Times New Roman"/>
          <w:sz w:val="20"/>
          <w:szCs w:val="20"/>
        </w:rPr>
        <w:t xml:space="preserve"> group being added to an amino acid within the N-terminal section of the chemokine. B) Shows the calculation method derived from the equation “peak readout = (m+z/z)” to determine the molecular mass of each ion. C) The CXCL8 amino acid sequence with the relative amino acids highlighted in red for each peak analysed.</w:t>
      </w:r>
    </w:p>
    <w:p w14:paraId="452DD886" w14:textId="77777777" w:rsidR="00770F91" w:rsidRPr="00070888" w:rsidRDefault="00770F91" w:rsidP="00770F91">
      <w:pPr>
        <w:spacing w:line="240" w:lineRule="auto"/>
        <w:jc w:val="both"/>
        <w:rPr>
          <w:rFonts w:ascii="Times New Roman" w:eastAsia="Calibri" w:hAnsi="Times New Roman" w:cs="Times New Roman"/>
          <w:sz w:val="20"/>
          <w:szCs w:val="20"/>
        </w:rPr>
      </w:pPr>
    </w:p>
    <w:p w14:paraId="577073BC"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094AE6AD"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63F4298A" w14:textId="3E361D91" w:rsidR="00770F91" w:rsidRPr="00070888" w:rsidRDefault="00770F91" w:rsidP="00770F91">
      <w:pPr>
        <w:spacing w:line="240" w:lineRule="auto"/>
        <w:jc w:val="both"/>
        <w:rPr>
          <w:rFonts w:ascii="Times New Roman" w:eastAsia="Calibri" w:hAnsi="Times New Roman" w:cs="Times New Roman"/>
          <w:b/>
          <w:sz w:val="20"/>
          <w:szCs w:val="20"/>
        </w:rPr>
      </w:pPr>
      <w:r w:rsidRPr="00070888">
        <w:rPr>
          <w:rFonts w:ascii="Times New Roman" w:eastAsia="Calibri" w:hAnsi="Times New Roman" w:cs="Times New Roman"/>
          <w:b/>
          <w:noProof/>
          <w:sz w:val="20"/>
          <w:szCs w:val="20"/>
          <w:lang w:val="en-US"/>
        </w:rPr>
        <w:lastRenderedPageBreak/>
        <w:drawing>
          <wp:inline distT="0" distB="0" distL="0" distR="0" wp14:anchorId="1F4C5B4B" wp14:editId="12075435">
            <wp:extent cx="5450205" cy="2078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50205" cy="2078990"/>
                    </a:xfrm>
                    <a:prstGeom prst="rect">
                      <a:avLst/>
                    </a:prstGeom>
                    <a:noFill/>
                  </pic:spPr>
                </pic:pic>
              </a:graphicData>
            </a:graphic>
          </wp:inline>
        </w:drawing>
      </w:r>
    </w:p>
    <w:p w14:paraId="48710F71"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6BBBFDA9"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48DC0CC0" w14:textId="198C4FC7" w:rsidR="00770F91" w:rsidRPr="00070888" w:rsidRDefault="00770F91" w:rsidP="00770F91">
      <w:pPr>
        <w:spacing w:line="240" w:lineRule="auto"/>
        <w:jc w:val="both"/>
        <w:rPr>
          <w:rFonts w:ascii="Times New Roman" w:eastAsia="Calibri" w:hAnsi="Times New Roman" w:cs="Times New Roman"/>
          <w:b/>
          <w:sz w:val="20"/>
          <w:szCs w:val="20"/>
        </w:rPr>
      </w:pPr>
    </w:p>
    <w:p w14:paraId="36DD3FAA" w14:textId="7851B6D7" w:rsidR="00770F91" w:rsidRPr="00070888" w:rsidRDefault="00770F91" w:rsidP="00770F91">
      <w:pPr>
        <w:spacing w:line="240" w:lineRule="auto"/>
        <w:jc w:val="both"/>
        <w:rPr>
          <w:rFonts w:ascii="Times New Roman" w:eastAsia="Calibri" w:hAnsi="Times New Roman" w:cs="Times New Roman"/>
          <w:b/>
          <w:sz w:val="20"/>
          <w:szCs w:val="20"/>
        </w:rPr>
      </w:pPr>
    </w:p>
    <w:p w14:paraId="71E03F9A" w14:textId="25FE0AC4" w:rsidR="00770F91" w:rsidRPr="00070888" w:rsidRDefault="00770F91" w:rsidP="00770F91">
      <w:pPr>
        <w:spacing w:line="240" w:lineRule="auto"/>
        <w:jc w:val="both"/>
        <w:rPr>
          <w:rFonts w:ascii="Times New Roman" w:eastAsia="Calibri" w:hAnsi="Times New Roman" w:cs="Times New Roman"/>
          <w:b/>
          <w:sz w:val="20"/>
          <w:szCs w:val="20"/>
        </w:rPr>
      </w:pPr>
    </w:p>
    <w:p w14:paraId="1DEFC22B" w14:textId="20DBE093" w:rsidR="00770F91" w:rsidRPr="00070888" w:rsidRDefault="00770F91" w:rsidP="00770F91">
      <w:pPr>
        <w:spacing w:line="240" w:lineRule="auto"/>
        <w:jc w:val="both"/>
        <w:rPr>
          <w:rFonts w:ascii="Times New Roman" w:eastAsia="Calibri" w:hAnsi="Times New Roman" w:cs="Times New Roman"/>
          <w:b/>
          <w:sz w:val="20"/>
          <w:szCs w:val="20"/>
        </w:rPr>
      </w:pPr>
    </w:p>
    <w:p w14:paraId="2E433B53"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0AD85357" w14:textId="05F5F4FE"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Supplementary Figure 2.</w:t>
      </w:r>
      <w:r w:rsidRPr="00070888">
        <w:rPr>
          <w:rFonts w:ascii="Times New Roman" w:eastAsia="Calibri" w:hAnsi="Times New Roman" w:cs="Times New Roman"/>
          <w:sz w:val="20"/>
          <w:szCs w:val="20"/>
        </w:rPr>
        <w:t xml:space="preserve"> </w:t>
      </w:r>
      <w:r w:rsidRPr="00070888">
        <w:rPr>
          <w:rFonts w:ascii="Times New Roman" w:eastAsia="Calibri" w:hAnsi="Times New Roman" w:cs="Times New Roman"/>
          <w:b/>
          <w:bCs/>
          <w:sz w:val="20"/>
          <w:szCs w:val="20"/>
        </w:rPr>
        <w:t>Gating strategy for neutrophil identification in murine intraperitoneal recruitment.</w:t>
      </w:r>
      <w:r w:rsidRPr="00070888">
        <w:rPr>
          <w:rFonts w:ascii="Times New Roman" w:eastAsia="Calibri" w:hAnsi="Times New Roman" w:cs="Times New Roman"/>
          <w:sz w:val="20"/>
          <w:szCs w:val="20"/>
        </w:rPr>
        <w:t xml:space="preserve"> Sequential gating strategy used to characterise the neutrophils recruited into the murine peritoneal cavity.</w:t>
      </w:r>
    </w:p>
    <w:p w14:paraId="47C4710A" w14:textId="56317262" w:rsidR="00770F91" w:rsidRPr="00070888" w:rsidRDefault="00770F91" w:rsidP="00770F91">
      <w:pPr>
        <w:spacing w:line="240" w:lineRule="auto"/>
        <w:jc w:val="both"/>
        <w:rPr>
          <w:rFonts w:ascii="Times New Roman" w:eastAsia="Calibri" w:hAnsi="Times New Roman" w:cs="Times New Roman"/>
          <w:sz w:val="20"/>
          <w:szCs w:val="20"/>
        </w:rPr>
      </w:pPr>
    </w:p>
    <w:p w14:paraId="41FE0D11" w14:textId="4A481B7E" w:rsidR="00770F91" w:rsidRPr="00070888" w:rsidRDefault="00770F91" w:rsidP="00770F91">
      <w:pPr>
        <w:spacing w:line="240" w:lineRule="auto"/>
        <w:jc w:val="both"/>
        <w:rPr>
          <w:rFonts w:ascii="Times New Roman" w:eastAsia="Calibri" w:hAnsi="Times New Roman" w:cs="Times New Roman"/>
          <w:sz w:val="20"/>
          <w:szCs w:val="20"/>
        </w:rPr>
      </w:pPr>
    </w:p>
    <w:p w14:paraId="4B539434" w14:textId="60696A27" w:rsidR="00770F91" w:rsidRPr="00070888" w:rsidRDefault="00770F91" w:rsidP="00770F91">
      <w:pPr>
        <w:spacing w:line="240" w:lineRule="auto"/>
        <w:jc w:val="both"/>
        <w:rPr>
          <w:rFonts w:ascii="Times New Roman" w:eastAsia="Calibri" w:hAnsi="Times New Roman" w:cs="Times New Roman"/>
          <w:sz w:val="20"/>
          <w:szCs w:val="20"/>
        </w:rPr>
      </w:pPr>
    </w:p>
    <w:p w14:paraId="471A3D26" w14:textId="54A8B29F" w:rsidR="00770F91" w:rsidRPr="00070888" w:rsidRDefault="00770F91" w:rsidP="00770F91">
      <w:pPr>
        <w:spacing w:line="240" w:lineRule="auto"/>
        <w:jc w:val="both"/>
        <w:rPr>
          <w:rFonts w:ascii="Times New Roman" w:eastAsia="Calibri" w:hAnsi="Times New Roman" w:cs="Times New Roman"/>
          <w:sz w:val="20"/>
          <w:szCs w:val="20"/>
        </w:rPr>
      </w:pPr>
    </w:p>
    <w:p w14:paraId="66D9531A" w14:textId="3A560861" w:rsidR="00770F91" w:rsidRPr="00070888" w:rsidRDefault="00770F91" w:rsidP="00770F91">
      <w:pPr>
        <w:spacing w:line="240" w:lineRule="auto"/>
        <w:jc w:val="both"/>
        <w:rPr>
          <w:rFonts w:ascii="Times New Roman" w:eastAsia="Calibri" w:hAnsi="Times New Roman" w:cs="Times New Roman"/>
          <w:sz w:val="20"/>
          <w:szCs w:val="20"/>
        </w:rPr>
      </w:pPr>
    </w:p>
    <w:p w14:paraId="118C355A" w14:textId="4AE77571" w:rsidR="00770F91" w:rsidRPr="00070888" w:rsidRDefault="00770F91" w:rsidP="00770F91">
      <w:pPr>
        <w:spacing w:line="240" w:lineRule="auto"/>
        <w:jc w:val="both"/>
        <w:rPr>
          <w:rFonts w:ascii="Times New Roman" w:eastAsia="Calibri" w:hAnsi="Times New Roman" w:cs="Times New Roman"/>
          <w:sz w:val="20"/>
          <w:szCs w:val="20"/>
        </w:rPr>
      </w:pPr>
    </w:p>
    <w:p w14:paraId="2C914F49" w14:textId="5D9B7830" w:rsidR="00770F91" w:rsidRPr="00070888" w:rsidRDefault="00770F91" w:rsidP="00770F91">
      <w:pPr>
        <w:spacing w:line="240" w:lineRule="auto"/>
        <w:jc w:val="both"/>
        <w:rPr>
          <w:rFonts w:ascii="Times New Roman" w:eastAsia="Calibri" w:hAnsi="Times New Roman" w:cs="Times New Roman"/>
          <w:sz w:val="20"/>
          <w:szCs w:val="20"/>
        </w:rPr>
      </w:pPr>
    </w:p>
    <w:p w14:paraId="305EAD05" w14:textId="3B205BA7" w:rsidR="00770F91" w:rsidRPr="00070888" w:rsidRDefault="00770F91" w:rsidP="00770F91">
      <w:pPr>
        <w:spacing w:line="240" w:lineRule="auto"/>
        <w:jc w:val="both"/>
        <w:rPr>
          <w:rFonts w:ascii="Times New Roman" w:eastAsia="Calibri" w:hAnsi="Times New Roman" w:cs="Times New Roman"/>
          <w:sz w:val="20"/>
          <w:szCs w:val="20"/>
        </w:rPr>
      </w:pPr>
    </w:p>
    <w:p w14:paraId="6368F067" w14:textId="4BDB9E59" w:rsidR="00770F91" w:rsidRPr="00070888" w:rsidRDefault="00770F91" w:rsidP="00770F91">
      <w:pPr>
        <w:spacing w:line="240" w:lineRule="auto"/>
        <w:jc w:val="both"/>
        <w:rPr>
          <w:rFonts w:ascii="Times New Roman" w:eastAsia="Calibri" w:hAnsi="Times New Roman" w:cs="Times New Roman"/>
          <w:sz w:val="20"/>
          <w:szCs w:val="20"/>
        </w:rPr>
      </w:pPr>
    </w:p>
    <w:p w14:paraId="43568AA2" w14:textId="6A113B92" w:rsidR="00770F91" w:rsidRPr="00070888" w:rsidRDefault="00770F91" w:rsidP="00770F91">
      <w:pPr>
        <w:spacing w:line="240" w:lineRule="auto"/>
        <w:jc w:val="both"/>
        <w:rPr>
          <w:rFonts w:ascii="Times New Roman" w:eastAsia="Calibri" w:hAnsi="Times New Roman" w:cs="Times New Roman"/>
          <w:sz w:val="20"/>
          <w:szCs w:val="20"/>
        </w:rPr>
      </w:pPr>
    </w:p>
    <w:p w14:paraId="32273E42" w14:textId="268C4B3C" w:rsidR="00770F91" w:rsidRPr="00070888" w:rsidRDefault="00770F91" w:rsidP="00770F91">
      <w:pPr>
        <w:spacing w:line="240" w:lineRule="auto"/>
        <w:jc w:val="both"/>
        <w:rPr>
          <w:rFonts w:ascii="Times New Roman" w:eastAsia="Calibri" w:hAnsi="Times New Roman" w:cs="Times New Roman"/>
          <w:sz w:val="20"/>
          <w:szCs w:val="20"/>
        </w:rPr>
      </w:pPr>
    </w:p>
    <w:p w14:paraId="6F2F0DCB" w14:textId="7B310C25" w:rsidR="00770F91" w:rsidRPr="00070888" w:rsidRDefault="00770F91" w:rsidP="00770F91">
      <w:pPr>
        <w:spacing w:line="240" w:lineRule="auto"/>
        <w:jc w:val="both"/>
        <w:rPr>
          <w:rFonts w:ascii="Times New Roman" w:eastAsia="Calibri" w:hAnsi="Times New Roman" w:cs="Times New Roman"/>
          <w:sz w:val="20"/>
          <w:szCs w:val="20"/>
        </w:rPr>
      </w:pPr>
    </w:p>
    <w:p w14:paraId="23ABDAC2" w14:textId="12F40CEF" w:rsidR="00770F91" w:rsidRPr="00070888" w:rsidRDefault="00770F91" w:rsidP="00770F91">
      <w:pPr>
        <w:spacing w:line="240" w:lineRule="auto"/>
        <w:jc w:val="both"/>
        <w:rPr>
          <w:rFonts w:ascii="Times New Roman" w:eastAsia="Calibri" w:hAnsi="Times New Roman" w:cs="Times New Roman"/>
          <w:sz w:val="20"/>
          <w:szCs w:val="20"/>
        </w:rPr>
      </w:pPr>
    </w:p>
    <w:p w14:paraId="37A0F91A" w14:textId="358130D7" w:rsidR="00770F91" w:rsidRPr="00070888" w:rsidRDefault="00770F91" w:rsidP="00770F91">
      <w:pPr>
        <w:spacing w:line="240" w:lineRule="auto"/>
        <w:jc w:val="both"/>
        <w:rPr>
          <w:rFonts w:ascii="Times New Roman" w:eastAsia="Calibri" w:hAnsi="Times New Roman" w:cs="Times New Roman"/>
          <w:sz w:val="20"/>
          <w:szCs w:val="20"/>
        </w:rPr>
      </w:pPr>
    </w:p>
    <w:p w14:paraId="383B6C24" w14:textId="5AB07838" w:rsidR="00770F91" w:rsidRPr="00070888" w:rsidRDefault="00770F91" w:rsidP="00770F91">
      <w:pPr>
        <w:spacing w:line="240" w:lineRule="auto"/>
        <w:jc w:val="both"/>
        <w:rPr>
          <w:rFonts w:ascii="Times New Roman" w:eastAsia="Calibri" w:hAnsi="Times New Roman" w:cs="Times New Roman"/>
          <w:sz w:val="20"/>
          <w:szCs w:val="20"/>
        </w:rPr>
      </w:pPr>
    </w:p>
    <w:p w14:paraId="3F00DFB3" w14:textId="1F92AA53" w:rsidR="00770F91" w:rsidRPr="00070888" w:rsidRDefault="00770F91" w:rsidP="00770F91">
      <w:pPr>
        <w:spacing w:line="240" w:lineRule="auto"/>
        <w:jc w:val="both"/>
        <w:rPr>
          <w:rFonts w:ascii="Times New Roman" w:eastAsia="Calibri" w:hAnsi="Times New Roman" w:cs="Times New Roman"/>
          <w:sz w:val="20"/>
          <w:szCs w:val="20"/>
        </w:rPr>
      </w:pPr>
    </w:p>
    <w:p w14:paraId="7791BD72" w14:textId="77777777" w:rsidR="00770F91" w:rsidRPr="00070888" w:rsidRDefault="00770F91" w:rsidP="00770F91">
      <w:pPr>
        <w:spacing w:line="240" w:lineRule="auto"/>
        <w:contextualSpacing/>
        <w:jc w:val="both"/>
        <w:rPr>
          <w:rFonts w:ascii="Times New Roman" w:eastAsia="Calibri" w:hAnsi="Times New Roman" w:cs="Times New Roman"/>
          <w:b/>
          <w:color w:val="000000" w:themeColor="text1"/>
          <w:sz w:val="20"/>
          <w:szCs w:val="20"/>
        </w:rPr>
      </w:pPr>
    </w:p>
    <w:p w14:paraId="687A0CE7" w14:textId="578AE1E6" w:rsidR="00770F91" w:rsidRPr="00070888" w:rsidRDefault="00770F91" w:rsidP="00770F91">
      <w:pPr>
        <w:spacing w:line="240" w:lineRule="auto"/>
        <w:ind w:left="2268"/>
        <w:contextualSpacing/>
        <w:jc w:val="both"/>
        <w:rPr>
          <w:rFonts w:ascii="Times New Roman" w:eastAsia="Calibri" w:hAnsi="Times New Roman" w:cs="Times New Roman"/>
          <w:b/>
          <w:color w:val="000000" w:themeColor="text1"/>
          <w:sz w:val="20"/>
          <w:szCs w:val="20"/>
        </w:rPr>
      </w:pPr>
      <w:r w:rsidRPr="00070888">
        <w:rPr>
          <w:rFonts w:ascii="Times New Roman" w:eastAsia="Calibri" w:hAnsi="Times New Roman" w:cs="Times New Roman"/>
          <w:b/>
          <w:noProof/>
          <w:color w:val="000000" w:themeColor="text1"/>
          <w:sz w:val="20"/>
          <w:szCs w:val="20"/>
          <w:lang w:val="en-US"/>
        </w:rPr>
        <w:lastRenderedPageBreak/>
        <w:drawing>
          <wp:inline distT="0" distB="0" distL="0" distR="0" wp14:anchorId="214B026A" wp14:editId="2D3EA69F">
            <wp:extent cx="2828925" cy="3761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8925" cy="3761740"/>
                    </a:xfrm>
                    <a:prstGeom prst="rect">
                      <a:avLst/>
                    </a:prstGeom>
                    <a:noFill/>
                  </pic:spPr>
                </pic:pic>
              </a:graphicData>
            </a:graphic>
          </wp:inline>
        </w:drawing>
      </w:r>
    </w:p>
    <w:p w14:paraId="11E96698" w14:textId="77777777" w:rsidR="00770F91" w:rsidRPr="00070888" w:rsidRDefault="00770F91" w:rsidP="00770F91">
      <w:pPr>
        <w:spacing w:line="240" w:lineRule="auto"/>
        <w:contextualSpacing/>
        <w:jc w:val="both"/>
        <w:rPr>
          <w:rFonts w:ascii="Times New Roman" w:eastAsia="Calibri" w:hAnsi="Times New Roman" w:cs="Times New Roman"/>
          <w:b/>
          <w:color w:val="000000" w:themeColor="text1"/>
          <w:sz w:val="20"/>
          <w:szCs w:val="20"/>
        </w:rPr>
      </w:pPr>
    </w:p>
    <w:p w14:paraId="2801EF19" w14:textId="731D66F6"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r w:rsidRPr="00070888">
        <w:rPr>
          <w:rFonts w:ascii="Times New Roman" w:eastAsia="Calibri" w:hAnsi="Times New Roman" w:cs="Times New Roman"/>
          <w:b/>
          <w:color w:val="000000" w:themeColor="text1"/>
          <w:sz w:val="20"/>
          <w:szCs w:val="20"/>
        </w:rPr>
        <w:t>Supplementary Figure 3.</w:t>
      </w:r>
      <w:r w:rsidRPr="00070888">
        <w:rPr>
          <w:rFonts w:ascii="Times New Roman" w:hAnsi="Times New Roman" w:cs="Times New Roman"/>
          <w:b/>
          <w:color w:val="000000" w:themeColor="text1"/>
          <w:sz w:val="20"/>
          <w:szCs w:val="20"/>
        </w:rPr>
        <w:t xml:space="preserve"> Nitrated CXCL8 does not antagonise the effects of CXCL8 in vivo.</w:t>
      </w:r>
      <w:r w:rsidRPr="00070888">
        <w:rPr>
          <w:rFonts w:ascii="Times New Roman" w:hAnsi="Times New Roman" w:cs="Times New Roman"/>
          <w:color w:val="000000" w:themeColor="text1"/>
          <w:sz w:val="20"/>
          <w:szCs w:val="20"/>
        </w:rPr>
        <w:t xml:space="preserve"> </w:t>
      </w:r>
      <w:r w:rsidRPr="00070888">
        <w:rPr>
          <w:rFonts w:ascii="Times New Roman" w:eastAsia="Calibri" w:hAnsi="Times New Roman" w:cs="Times New Roman"/>
          <w:color w:val="000000" w:themeColor="text1"/>
          <w:sz w:val="20"/>
          <w:szCs w:val="20"/>
        </w:rPr>
        <w:t xml:space="preserve">Neutrophil infiltration into murine air pouch in response to wild type CXCL8, nitrated CXCL8 or both together was examined. Total neutrophil migration into air pouches 4 hours after intrapouch administration of PBS + 0.5% CMC, 1µg CXCL8 (in PBS + 0.5% CMC), 1µg Nitrated CXCL8 (in PBS + 0.5% CMC), or 1µg of each CXCL8 and Nitrated CXCL8 together, was determined. Cells were counted by using a TALI automatic cell counter, then stained for CD45, CD14 and Ly6G. Amounts of each cell type (gated at CD45+ Ly6G+ or CD45+ CD14+) were recorded using a FACS Canto III flow cytometer and analysed using FlowJo V10 software. Statistical analysis by ANOVA with Tukey’s post-test. Each symbol represents an animal. </w:t>
      </w:r>
    </w:p>
    <w:p w14:paraId="1A5C9827" w14:textId="6D45D88C"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2B915E88" w14:textId="02E46200"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0E903E45" w14:textId="4EB18D3F"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0C8492DD" w14:textId="5502EE1E"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6C75D9D3" w14:textId="00326732"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28ADA03D" w14:textId="27E90B0C"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325986C7" w14:textId="2F945BB5"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698EF94E" w14:textId="2CFF1B46"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51C62286" w14:textId="39273D35"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3163DB85" w14:textId="5EE938CF"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34353F95" w14:textId="79D4FD8F"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7B104D42" w14:textId="3B70D5FD"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72CE0BDF" w14:textId="65AA565B"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52BFD413" w14:textId="2437AFC6"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075F14BA" w14:textId="65AAD638"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65E91A74" w14:textId="3AA8B480"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75215C9A" w14:textId="1BEA7270"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0C34FB26" w14:textId="679386B7"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21A4173D" w14:textId="2F1C4332"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6A4AAC4E" w14:textId="4DC10FB1"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0283CD99" w14:textId="15732753"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7DB84C3B" w14:textId="2251634E"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275B6228" w14:textId="77D1628F"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36BEF379" w14:textId="77777777" w:rsidR="00770F91" w:rsidRPr="00070888" w:rsidRDefault="00770F91" w:rsidP="00770F91">
      <w:pPr>
        <w:spacing w:line="240" w:lineRule="auto"/>
        <w:contextualSpacing/>
        <w:jc w:val="both"/>
        <w:rPr>
          <w:rFonts w:ascii="Times New Roman" w:eastAsia="Calibri" w:hAnsi="Times New Roman" w:cs="Times New Roman"/>
          <w:color w:val="000000" w:themeColor="text1"/>
          <w:sz w:val="20"/>
          <w:szCs w:val="20"/>
        </w:rPr>
      </w:pPr>
    </w:p>
    <w:p w14:paraId="6D3E584A" w14:textId="77777777" w:rsidR="00770F91" w:rsidRPr="00070888" w:rsidRDefault="00770F91" w:rsidP="00770F91">
      <w:pPr>
        <w:spacing w:line="240" w:lineRule="auto"/>
        <w:jc w:val="both"/>
        <w:rPr>
          <w:rFonts w:ascii="Times New Roman" w:eastAsia="Calibri" w:hAnsi="Times New Roman" w:cs="Times New Roman"/>
          <w:sz w:val="20"/>
          <w:szCs w:val="20"/>
        </w:rPr>
      </w:pPr>
    </w:p>
    <w:p w14:paraId="4F08748B" w14:textId="77777777" w:rsidR="00770F91" w:rsidRPr="00070888" w:rsidRDefault="00770F91" w:rsidP="00770F91">
      <w:pPr>
        <w:spacing w:line="240" w:lineRule="auto"/>
        <w:jc w:val="both"/>
        <w:rPr>
          <w:rFonts w:ascii="Times New Roman" w:hAnsi="Times New Roman" w:cs="Times New Roman"/>
          <w:b/>
          <w:bCs/>
          <w:color w:val="FF0000"/>
          <w:sz w:val="20"/>
          <w:szCs w:val="20"/>
        </w:rPr>
      </w:pPr>
    </w:p>
    <w:p w14:paraId="4CD5C5E6" w14:textId="77777777" w:rsidR="00770F91" w:rsidRPr="00070888" w:rsidRDefault="00770F91" w:rsidP="00770F91">
      <w:pPr>
        <w:spacing w:line="240" w:lineRule="auto"/>
        <w:jc w:val="both"/>
        <w:rPr>
          <w:rFonts w:ascii="Times New Roman" w:hAnsi="Times New Roman" w:cs="Times New Roman"/>
          <w:b/>
          <w:bCs/>
          <w:color w:val="FF0000"/>
          <w:sz w:val="20"/>
          <w:szCs w:val="20"/>
        </w:rPr>
      </w:pPr>
    </w:p>
    <w:p w14:paraId="21649C55" w14:textId="77128392" w:rsidR="00770F91" w:rsidRPr="00070888" w:rsidRDefault="00770F91" w:rsidP="00770F91">
      <w:pPr>
        <w:spacing w:line="240" w:lineRule="auto"/>
        <w:jc w:val="both"/>
        <w:rPr>
          <w:rFonts w:ascii="Times New Roman" w:hAnsi="Times New Roman" w:cs="Times New Roman"/>
          <w:b/>
          <w:bCs/>
          <w:color w:val="FF0000"/>
          <w:sz w:val="20"/>
          <w:szCs w:val="20"/>
        </w:rPr>
      </w:pPr>
      <w:r w:rsidRPr="00070888">
        <w:rPr>
          <w:rFonts w:ascii="Times New Roman" w:hAnsi="Times New Roman" w:cs="Times New Roman"/>
          <w:b/>
          <w:bCs/>
          <w:noProof/>
          <w:color w:val="FF0000"/>
          <w:sz w:val="20"/>
          <w:szCs w:val="20"/>
          <w:lang w:val="en-US"/>
        </w:rPr>
        <w:drawing>
          <wp:inline distT="0" distB="0" distL="0" distR="0" wp14:anchorId="4C4AA16B" wp14:editId="0904B15B">
            <wp:extent cx="6219115" cy="21799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9962" cy="2190804"/>
                    </a:xfrm>
                    <a:prstGeom prst="rect">
                      <a:avLst/>
                    </a:prstGeom>
                    <a:noFill/>
                  </pic:spPr>
                </pic:pic>
              </a:graphicData>
            </a:graphic>
          </wp:inline>
        </w:drawing>
      </w:r>
    </w:p>
    <w:p w14:paraId="2086B9AD" w14:textId="77777777" w:rsidR="00770F91" w:rsidRPr="00070888" w:rsidRDefault="00770F91" w:rsidP="00770F91">
      <w:pPr>
        <w:spacing w:line="240" w:lineRule="auto"/>
        <w:jc w:val="both"/>
        <w:rPr>
          <w:rFonts w:ascii="Times New Roman" w:hAnsi="Times New Roman" w:cs="Times New Roman"/>
          <w:b/>
          <w:bCs/>
          <w:color w:val="FF0000"/>
          <w:sz w:val="20"/>
          <w:szCs w:val="20"/>
        </w:rPr>
      </w:pPr>
    </w:p>
    <w:p w14:paraId="3E627E9D" w14:textId="77777777" w:rsidR="00770F91" w:rsidRPr="00070888" w:rsidRDefault="00770F91" w:rsidP="00770F91">
      <w:pPr>
        <w:spacing w:line="240" w:lineRule="auto"/>
        <w:jc w:val="both"/>
        <w:rPr>
          <w:rFonts w:ascii="Times New Roman" w:hAnsi="Times New Roman" w:cs="Times New Roman"/>
          <w:b/>
          <w:bCs/>
          <w:color w:val="FF0000"/>
          <w:sz w:val="20"/>
          <w:szCs w:val="20"/>
        </w:rPr>
      </w:pPr>
    </w:p>
    <w:p w14:paraId="1181B6BE" w14:textId="77777777" w:rsidR="00770F91" w:rsidRPr="00070888" w:rsidRDefault="00770F91" w:rsidP="00770F91">
      <w:pPr>
        <w:spacing w:line="240" w:lineRule="auto"/>
        <w:jc w:val="both"/>
        <w:rPr>
          <w:rFonts w:ascii="Times New Roman" w:hAnsi="Times New Roman" w:cs="Times New Roman"/>
          <w:b/>
          <w:bCs/>
          <w:color w:val="FF0000"/>
          <w:sz w:val="20"/>
          <w:szCs w:val="20"/>
        </w:rPr>
      </w:pPr>
    </w:p>
    <w:p w14:paraId="0BCDF04B" w14:textId="7895DC22" w:rsidR="00770F91" w:rsidRPr="00070888" w:rsidRDefault="00770F91" w:rsidP="00770F91">
      <w:pPr>
        <w:spacing w:line="240" w:lineRule="auto"/>
        <w:jc w:val="both"/>
        <w:rPr>
          <w:rFonts w:ascii="Times New Roman" w:hAnsi="Times New Roman" w:cs="Times New Roman"/>
          <w:color w:val="FF0000"/>
          <w:sz w:val="20"/>
          <w:szCs w:val="20"/>
        </w:rPr>
      </w:pPr>
      <w:r w:rsidRPr="00070888">
        <w:rPr>
          <w:rFonts w:ascii="Times New Roman" w:hAnsi="Times New Roman" w:cs="Times New Roman"/>
          <w:b/>
          <w:bCs/>
          <w:color w:val="FF0000"/>
          <w:sz w:val="20"/>
          <w:szCs w:val="20"/>
        </w:rPr>
        <w:t xml:space="preserve">Supplementary Figure 4: A) Ability of wild type CXCL8, nitrated CXCL8 and Y13F CXCL8 to induce neutrophil trans-enodthelial migration </w:t>
      </w:r>
      <w:r w:rsidRPr="00070888">
        <w:rPr>
          <w:rFonts w:ascii="Times New Roman" w:hAnsi="Times New Roman" w:cs="Times New Roman"/>
          <w:b/>
          <w:bCs/>
          <w:i/>
          <w:iCs/>
          <w:color w:val="FF0000"/>
          <w:sz w:val="20"/>
          <w:szCs w:val="20"/>
        </w:rPr>
        <w:t xml:space="preserve">in vitro. </w:t>
      </w:r>
      <w:r w:rsidRPr="00070888">
        <w:rPr>
          <w:rFonts w:ascii="Times New Roman" w:hAnsi="Times New Roman" w:cs="Times New Roman"/>
          <w:color w:val="FF0000"/>
          <w:sz w:val="20"/>
          <w:szCs w:val="20"/>
        </w:rPr>
        <w:t>Trans-endothelial chemotaxis assay, showing percentage of total neutrophils that migrated through the confluent layer of HMEC-1. Data shown is representative of, N=2 experimental replicates (using neutrophils isolated from different blood donors), each with n=3 technical replicates. Dotted line indicates background migration in absence of chemokine. Statistical analysis was performed using a One Way ANOVA with Tukey’s post-test.</w:t>
      </w:r>
    </w:p>
    <w:p w14:paraId="768825D0" w14:textId="160FA543" w:rsidR="00770F91" w:rsidRPr="00070888" w:rsidRDefault="00770F91" w:rsidP="00770F91">
      <w:pPr>
        <w:spacing w:line="240" w:lineRule="auto"/>
        <w:jc w:val="both"/>
        <w:rPr>
          <w:rFonts w:ascii="Times New Roman" w:hAnsi="Times New Roman" w:cs="Times New Roman"/>
          <w:color w:val="FF0000"/>
          <w:sz w:val="20"/>
          <w:szCs w:val="20"/>
        </w:rPr>
      </w:pPr>
      <w:r w:rsidRPr="00070888">
        <w:rPr>
          <w:rFonts w:ascii="Times New Roman" w:hAnsi="Times New Roman" w:cs="Times New Roman"/>
          <w:color w:val="FF0000"/>
          <w:sz w:val="20"/>
          <w:szCs w:val="20"/>
        </w:rPr>
        <w:t xml:space="preserve"> B</w:t>
      </w:r>
      <w:r w:rsidRPr="00070888">
        <w:rPr>
          <w:rFonts w:ascii="Times New Roman" w:hAnsi="Times New Roman" w:cs="Times New Roman"/>
          <w:b/>
          <w:bCs/>
          <w:color w:val="FF0000"/>
          <w:sz w:val="20"/>
          <w:szCs w:val="20"/>
        </w:rPr>
        <w:t>) Binding of the wild type and nitrated CXCL8 to heparan sulphate</w:t>
      </w:r>
      <w:r w:rsidRPr="00070888">
        <w:rPr>
          <w:rFonts w:ascii="Times New Roman" w:hAnsi="Times New Roman" w:cs="Times New Roman"/>
          <w:color w:val="FF0000"/>
          <w:sz w:val="20"/>
          <w:szCs w:val="20"/>
        </w:rPr>
        <w:t>: Heparan sulfate (25μg/ml) was coated overnight at room temperature on a GAG binding plate. Serial dilutions of CXCL8 variants (4.6875nM- 300nM) were added in technical triplicates and incubated for 2 hours at room temperature. Subsequently, bound CXCL8 were detected using anti-CXCL8 (Invitrogen, AHC0881) which recognizes both variants with equivalent efficiency and polyclonal goat-anti rabbit HRP antibody (Sigma, A6154). The peroxidase activity was quantified using 3,3′-5,5′-tetramethylbenzidine (TMB) substrate conversion and the absorbance was read at 450 nm. N=3.</w:t>
      </w:r>
    </w:p>
    <w:p w14:paraId="7143C537" w14:textId="4FF1D2EE" w:rsidR="00770F91" w:rsidRPr="00070888" w:rsidRDefault="00770F91" w:rsidP="00770F91">
      <w:pPr>
        <w:spacing w:line="240" w:lineRule="auto"/>
        <w:jc w:val="both"/>
        <w:rPr>
          <w:rFonts w:ascii="Times New Roman" w:hAnsi="Times New Roman" w:cs="Times New Roman"/>
          <w:color w:val="FF0000"/>
          <w:sz w:val="20"/>
          <w:szCs w:val="20"/>
        </w:rPr>
      </w:pPr>
    </w:p>
    <w:p w14:paraId="0B35C95C" w14:textId="297A7A2F" w:rsidR="00770F91" w:rsidRPr="00070888" w:rsidRDefault="00770F91" w:rsidP="00770F91">
      <w:pPr>
        <w:spacing w:line="240" w:lineRule="auto"/>
        <w:jc w:val="both"/>
        <w:rPr>
          <w:rFonts w:ascii="Times New Roman" w:hAnsi="Times New Roman" w:cs="Times New Roman"/>
          <w:color w:val="FF0000"/>
          <w:sz w:val="20"/>
          <w:szCs w:val="20"/>
        </w:rPr>
      </w:pPr>
    </w:p>
    <w:p w14:paraId="5AAE138C" w14:textId="6330BDB8" w:rsidR="00770F91" w:rsidRPr="00070888" w:rsidRDefault="00770F91" w:rsidP="00770F91">
      <w:pPr>
        <w:spacing w:line="240" w:lineRule="auto"/>
        <w:jc w:val="both"/>
        <w:rPr>
          <w:rFonts w:ascii="Times New Roman" w:hAnsi="Times New Roman" w:cs="Times New Roman"/>
          <w:color w:val="FF0000"/>
          <w:sz w:val="20"/>
          <w:szCs w:val="20"/>
        </w:rPr>
      </w:pPr>
    </w:p>
    <w:p w14:paraId="5FEB3035" w14:textId="5CA53E77" w:rsidR="00770F91" w:rsidRPr="00070888" w:rsidRDefault="00770F91" w:rsidP="00770F91">
      <w:pPr>
        <w:spacing w:line="240" w:lineRule="auto"/>
        <w:jc w:val="both"/>
        <w:rPr>
          <w:rFonts w:ascii="Times New Roman" w:hAnsi="Times New Roman" w:cs="Times New Roman"/>
          <w:color w:val="FF0000"/>
          <w:sz w:val="20"/>
          <w:szCs w:val="20"/>
        </w:rPr>
      </w:pPr>
    </w:p>
    <w:p w14:paraId="4A5A3392" w14:textId="017947CD" w:rsidR="00770F91" w:rsidRPr="00070888" w:rsidRDefault="00770F91" w:rsidP="00770F91">
      <w:pPr>
        <w:spacing w:line="240" w:lineRule="auto"/>
        <w:jc w:val="both"/>
        <w:rPr>
          <w:rFonts w:ascii="Times New Roman" w:hAnsi="Times New Roman" w:cs="Times New Roman"/>
          <w:color w:val="FF0000"/>
          <w:sz w:val="20"/>
          <w:szCs w:val="20"/>
        </w:rPr>
      </w:pPr>
    </w:p>
    <w:p w14:paraId="24C43C32" w14:textId="174610E6" w:rsidR="00770F91" w:rsidRPr="00070888" w:rsidRDefault="00770F91" w:rsidP="00770F91">
      <w:pPr>
        <w:spacing w:line="240" w:lineRule="auto"/>
        <w:jc w:val="both"/>
        <w:rPr>
          <w:rFonts w:ascii="Times New Roman" w:hAnsi="Times New Roman" w:cs="Times New Roman"/>
          <w:color w:val="FF0000"/>
          <w:sz w:val="20"/>
          <w:szCs w:val="20"/>
        </w:rPr>
      </w:pPr>
    </w:p>
    <w:p w14:paraId="76031883" w14:textId="6FD050B0" w:rsidR="00770F91" w:rsidRPr="00070888" w:rsidRDefault="00770F91" w:rsidP="00770F91">
      <w:pPr>
        <w:spacing w:line="240" w:lineRule="auto"/>
        <w:jc w:val="both"/>
        <w:rPr>
          <w:rFonts w:ascii="Times New Roman" w:hAnsi="Times New Roman" w:cs="Times New Roman"/>
          <w:color w:val="FF0000"/>
          <w:sz w:val="20"/>
          <w:szCs w:val="20"/>
        </w:rPr>
      </w:pPr>
    </w:p>
    <w:p w14:paraId="25B4522C" w14:textId="11C11A8F" w:rsidR="00770F91" w:rsidRPr="00070888" w:rsidRDefault="00770F91" w:rsidP="00770F91">
      <w:pPr>
        <w:spacing w:line="240" w:lineRule="auto"/>
        <w:jc w:val="both"/>
        <w:rPr>
          <w:rFonts w:ascii="Times New Roman" w:hAnsi="Times New Roman" w:cs="Times New Roman"/>
          <w:color w:val="FF0000"/>
          <w:sz w:val="20"/>
          <w:szCs w:val="20"/>
        </w:rPr>
      </w:pPr>
    </w:p>
    <w:p w14:paraId="382498BF" w14:textId="6F04A516" w:rsidR="00770F91" w:rsidRPr="00070888" w:rsidRDefault="00770F91" w:rsidP="00770F91">
      <w:pPr>
        <w:spacing w:line="240" w:lineRule="auto"/>
        <w:jc w:val="both"/>
        <w:rPr>
          <w:rFonts w:ascii="Times New Roman" w:hAnsi="Times New Roman" w:cs="Times New Roman"/>
          <w:color w:val="FF0000"/>
          <w:sz w:val="20"/>
          <w:szCs w:val="20"/>
        </w:rPr>
      </w:pPr>
    </w:p>
    <w:p w14:paraId="203E24B2" w14:textId="0B128321" w:rsidR="00770F91" w:rsidRPr="00070888" w:rsidRDefault="00770F91" w:rsidP="00770F91">
      <w:pPr>
        <w:spacing w:line="240" w:lineRule="auto"/>
        <w:jc w:val="both"/>
        <w:rPr>
          <w:rFonts w:ascii="Times New Roman" w:hAnsi="Times New Roman" w:cs="Times New Roman"/>
          <w:color w:val="FF0000"/>
          <w:sz w:val="20"/>
          <w:szCs w:val="20"/>
        </w:rPr>
      </w:pPr>
    </w:p>
    <w:p w14:paraId="603D40E2" w14:textId="28EF0B46" w:rsidR="00770F91" w:rsidRPr="00070888" w:rsidRDefault="00770F91" w:rsidP="00770F91">
      <w:pPr>
        <w:spacing w:line="240" w:lineRule="auto"/>
        <w:jc w:val="both"/>
        <w:rPr>
          <w:rFonts w:ascii="Times New Roman" w:hAnsi="Times New Roman" w:cs="Times New Roman"/>
          <w:color w:val="FF0000"/>
          <w:sz w:val="20"/>
          <w:szCs w:val="20"/>
        </w:rPr>
      </w:pPr>
    </w:p>
    <w:p w14:paraId="759048DB" w14:textId="3B47DDE3" w:rsidR="00770F91" w:rsidRPr="00070888" w:rsidRDefault="00770F91" w:rsidP="00770F91">
      <w:pPr>
        <w:spacing w:line="240" w:lineRule="auto"/>
        <w:jc w:val="both"/>
        <w:rPr>
          <w:rFonts w:ascii="Times New Roman" w:hAnsi="Times New Roman" w:cs="Times New Roman"/>
          <w:color w:val="FF0000"/>
          <w:sz w:val="20"/>
          <w:szCs w:val="20"/>
        </w:rPr>
      </w:pPr>
    </w:p>
    <w:p w14:paraId="4F182FB2" w14:textId="6DEA9E85" w:rsidR="00770F91" w:rsidRPr="00070888" w:rsidRDefault="00770F91" w:rsidP="00770F91">
      <w:pPr>
        <w:spacing w:line="240" w:lineRule="auto"/>
        <w:jc w:val="both"/>
        <w:rPr>
          <w:rFonts w:ascii="Times New Roman" w:hAnsi="Times New Roman" w:cs="Times New Roman"/>
          <w:color w:val="FF0000"/>
          <w:sz w:val="20"/>
          <w:szCs w:val="20"/>
        </w:rPr>
      </w:pPr>
    </w:p>
    <w:p w14:paraId="5CD052DE" w14:textId="3F0806E9" w:rsidR="00770F91" w:rsidRPr="00070888" w:rsidRDefault="00770F91" w:rsidP="00770F91">
      <w:pPr>
        <w:spacing w:line="240" w:lineRule="auto"/>
        <w:jc w:val="both"/>
        <w:rPr>
          <w:rFonts w:ascii="Times New Roman" w:hAnsi="Times New Roman" w:cs="Times New Roman"/>
          <w:color w:val="FF0000"/>
          <w:sz w:val="20"/>
          <w:szCs w:val="20"/>
        </w:rPr>
      </w:pPr>
    </w:p>
    <w:p w14:paraId="31FDE094" w14:textId="77118EB9" w:rsidR="00770F91" w:rsidRPr="00070888" w:rsidRDefault="00770F91" w:rsidP="00770F91">
      <w:pPr>
        <w:spacing w:line="240" w:lineRule="auto"/>
        <w:jc w:val="both"/>
        <w:rPr>
          <w:rFonts w:ascii="Times New Roman" w:hAnsi="Times New Roman" w:cs="Times New Roman"/>
          <w:color w:val="FF0000"/>
          <w:sz w:val="20"/>
          <w:szCs w:val="20"/>
        </w:rPr>
      </w:pPr>
      <w:r w:rsidRPr="00070888">
        <w:rPr>
          <w:rFonts w:ascii="Times New Roman" w:hAnsi="Times New Roman" w:cs="Times New Roman"/>
          <w:noProof/>
          <w:color w:val="FF0000"/>
          <w:sz w:val="20"/>
          <w:szCs w:val="20"/>
          <w:lang w:val="en-US"/>
        </w:rPr>
        <w:lastRenderedPageBreak/>
        <w:drawing>
          <wp:inline distT="0" distB="0" distL="0" distR="0" wp14:anchorId="7504A05D" wp14:editId="072EEC92">
            <wp:extent cx="4773295" cy="2585085"/>
            <wp:effectExtent l="0" t="0" r="825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3295" cy="2585085"/>
                    </a:xfrm>
                    <a:prstGeom prst="rect">
                      <a:avLst/>
                    </a:prstGeom>
                    <a:noFill/>
                  </pic:spPr>
                </pic:pic>
              </a:graphicData>
            </a:graphic>
          </wp:inline>
        </w:drawing>
      </w:r>
    </w:p>
    <w:p w14:paraId="779D41C5" w14:textId="77777777" w:rsidR="00770F91" w:rsidRPr="00070888" w:rsidRDefault="00770F91" w:rsidP="00770F91">
      <w:pPr>
        <w:spacing w:line="240" w:lineRule="auto"/>
        <w:jc w:val="both"/>
        <w:rPr>
          <w:rFonts w:ascii="Times New Roman" w:hAnsi="Times New Roman" w:cs="Times New Roman"/>
          <w:color w:val="FF0000"/>
          <w:sz w:val="20"/>
          <w:szCs w:val="20"/>
        </w:rPr>
      </w:pPr>
    </w:p>
    <w:p w14:paraId="70A17725"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42BF3D85"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601FA215" w14:textId="5C98A74E"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Supplementary Figure 5</w:t>
      </w:r>
      <w:r w:rsidRPr="00070888">
        <w:rPr>
          <w:rFonts w:ascii="Times New Roman" w:eastAsia="Calibri" w:hAnsi="Times New Roman" w:cs="Times New Roman"/>
          <w:sz w:val="20"/>
          <w:szCs w:val="20"/>
        </w:rPr>
        <w:t xml:space="preserve">. </w:t>
      </w:r>
      <w:r w:rsidRPr="00070888">
        <w:rPr>
          <w:rFonts w:ascii="Times New Roman" w:eastAsia="Calibri" w:hAnsi="Times New Roman" w:cs="Times New Roman"/>
          <w:b/>
          <w:bCs/>
          <w:sz w:val="20"/>
          <w:szCs w:val="20"/>
        </w:rPr>
        <w:t>Validation of CXCL8 and naturally occurring nitrated CXCL8 in bronchoalveolar lavage samples from patients with ventilator-associated pneumonia.</w:t>
      </w:r>
      <w:r w:rsidRPr="00070888">
        <w:rPr>
          <w:rFonts w:ascii="Times New Roman" w:eastAsia="Calibri" w:hAnsi="Times New Roman" w:cs="Times New Roman"/>
          <w:sz w:val="20"/>
          <w:szCs w:val="20"/>
        </w:rPr>
        <w:t xml:space="preserve"> Additional screening of broncheoalveolar lavage sample from patients with ventilator-associated pneumonia to validate the presence of CXCL8 and nitrated CXCL8 in biological samples. Rabbit polyclonal anti-CXCL8 antibody (AHC0881), and HuCAL® antibody (AbD31649.1). </w:t>
      </w:r>
    </w:p>
    <w:p w14:paraId="3899F3D8" w14:textId="77777777" w:rsidR="00770F91" w:rsidRPr="00070888" w:rsidRDefault="00770F91" w:rsidP="00770F91">
      <w:pPr>
        <w:spacing w:line="240" w:lineRule="auto"/>
        <w:jc w:val="both"/>
        <w:rPr>
          <w:rFonts w:ascii="Times New Roman" w:eastAsia="Calibri" w:hAnsi="Times New Roman" w:cs="Times New Roman"/>
          <w:sz w:val="20"/>
          <w:szCs w:val="20"/>
        </w:rPr>
      </w:pPr>
    </w:p>
    <w:p w14:paraId="668897A9"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29945B55"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5198F30F"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767A2C0B"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27D25785"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465E1D22"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7793C6D3"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4F8A2533"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091CAE69"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511082E5"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50953944"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5432A087"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3ED907EF"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7E2C08C0"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344A7BAA"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7940F287"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5A5F8E30"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6147CB26" w14:textId="7CE9C1B6" w:rsidR="00770F91" w:rsidRPr="00070888" w:rsidRDefault="00770F91" w:rsidP="00770F91">
      <w:pPr>
        <w:spacing w:line="240" w:lineRule="auto"/>
        <w:jc w:val="both"/>
        <w:rPr>
          <w:rFonts w:ascii="Times New Roman" w:eastAsia="Calibri" w:hAnsi="Times New Roman" w:cs="Times New Roman"/>
          <w:b/>
          <w:sz w:val="20"/>
          <w:szCs w:val="20"/>
        </w:rPr>
      </w:pPr>
      <w:r w:rsidRPr="00070888">
        <w:rPr>
          <w:rFonts w:ascii="Times New Roman" w:eastAsia="Calibri" w:hAnsi="Times New Roman" w:cs="Times New Roman"/>
          <w:b/>
          <w:noProof/>
          <w:sz w:val="20"/>
          <w:szCs w:val="20"/>
          <w:lang w:val="en-US"/>
        </w:rPr>
        <w:lastRenderedPageBreak/>
        <w:drawing>
          <wp:inline distT="0" distB="0" distL="0" distR="0" wp14:anchorId="0AAA17A2" wp14:editId="64647502">
            <wp:extent cx="5876925" cy="246888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6925" cy="2468880"/>
                    </a:xfrm>
                    <a:prstGeom prst="rect">
                      <a:avLst/>
                    </a:prstGeom>
                    <a:noFill/>
                  </pic:spPr>
                </pic:pic>
              </a:graphicData>
            </a:graphic>
          </wp:inline>
        </w:drawing>
      </w:r>
    </w:p>
    <w:p w14:paraId="1A2C86A4"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67AD78BF"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230A02AF"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24828637"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10FCE541" w14:textId="77777777" w:rsidR="00770F91" w:rsidRPr="00070888" w:rsidRDefault="00770F91" w:rsidP="00770F91">
      <w:pPr>
        <w:spacing w:line="240" w:lineRule="auto"/>
        <w:jc w:val="both"/>
        <w:rPr>
          <w:rFonts w:ascii="Times New Roman" w:eastAsia="Calibri" w:hAnsi="Times New Roman" w:cs="Times New Roman"/>
          <w:b/>
          <w:sz w:val="20"/>
          <w:szCs w:val="20"/>
        </w:rPr>
      </w:pPr>
    </w:p>
    <w:p w14:paraId="052C74BF" w14:textId="3E63AD52"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Supplementary Figure 6</w:t>
      </w:r>
      <w:r w:rsidRPr="00070888">
        <w:rPr>
          <w:rFonts w:ascii="Times New Roman" w:eastAsia="Calibri" w:hAnsi="Times New Roman" w:cs="Times New Roman"/>
          <w:sz w:val="20"/>
          <w:szCs w:val="20"/>
        </w:rPr>
        <w:t xml:space="preserve">. </w:t>
      </w:r>
      <w:r w:rsidRPr="00070888">
        <w:rPr>
          <w:rFonts w:ascii="Times New Roman" w:eastAsia="Calibri" w:hAnsi="Times New Roman" w:cs="Times New Roman"/>
          <w:b/>
          <w:bCs/>
          <w:sz w:val="20"/>
          <w:szCs w:val="20"/>
        </w:rPr>
        <w:t>Mass spectrometry detection of nitrated CXCL8.</w:t>
      </w:r>
      <w:r w:rsidRPr="00070888">
        <w:rPr>
          <w:rFonts w:ascii="Times New Roman" w:eastAsia="Calibri" w:hAnsi="Times New Roman" w:cs="Times New Roman"/>
          <w:sz w:val="20"/>
          <w:szCs w:val="20"/>
        </w:rPr>
        <w:t xml:space="preserve"> Presence of nitrated CXCL8 detected by HuCAL® antibody was validated in the 3/12 samples by nano HPLC-MS/MS using ISTAMPA methodology.</w:t>
      </w:r>
    </w:p>
    <w:p w14:paraId="15877D9C" w14:textId="77777777" w:rsidR="00770F91" w:rsidRPr="00070888" w:rsidRDefault="00770F91" w:rsidP="00770F91">
      <w:pPr>
        <w:spacing w:line="240" w:lineRule="auto"/>
        <w:jc w:val="both"/>
        <w:rPr>
          <w:rFonts w:ascii="Times New Roman" w:eastAsia="Calibri" w:hAnsi="Times New Roman" w:cs="Times New Roman"/>
          <w:sz w:val="20"/>
          <w:szCs w:val="20"/>
        </w:rPr>
      </w:pPr>
    </w:p>
    <w:p w14:paraId="2E47B666"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311CDA04"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6C2553C6"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340E6CC2"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483A21D3"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55F25398"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147B8A91"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549BA4E3"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25B94536"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6D8F23B1"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24E717A1"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32163471"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60AF4499"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5505E6E9"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48A254FC"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0E556156" w14:textId="5D5DAE8F"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6DFE8175" w14:textId="77777777" w:rsidR="00770F91" w:rsidRPr="00070888" w:rsidRDefault="00770F91" w:rsidP="00770F91">
      <w:pPr>
        <w:spacing w:line="240" w:lineRule="auto"/>
        <w:jc w:val="both"/>
        <w:rPr>
          <w:rFonts w:ascii="Times New Roman" w:eastAsia="Calibri" w:hAnsi="Times New Roman" w:cs="Times New Roman"/>
          <w:b/>
          <w:sz w:val="20"/>
          <w:szCs w:val="20"/>
          <w:lang w:val="en-US"/>
        </w:rPr>
      </w:pPr>
    </w:p>
    <w:p w14:paraId="09EA8252" w14:textId="16A335D8" w:rsidR="00770F91" w:rsidRPr="00070888" w:rsidRDefault="00770F91" w:rsidP="00770F91">
      <w:pPr>
        <w:spacing w:line="240" w:lineRule="auto"/>
        <w:jc w:val="both"/>
        <w:rPr>
          <w:rFonts w:ascii="Times New Roman" w:eastAsia="Calibri" w:hAnsi="Times New Roman" w:cs="Times New Roman"/>
          <w:b/>
          <w:sz w:val="20"/>
          <w:szCs w:val="20"/>
          <w:lang w:val="en-US"/>
        </w:rPr>
      </w:pPr>
      <w:r w:rsidRPr="00070888">
        <w:rPr>
          <w:rFonts w:ascii="Times New Roman" w:eastAsia="Calibri" w:hAnsi="Times New Roman" w:cs="Times New Roman"/>
          <w:b/>
          <w:sz w:val="20"/>
          <w:szCs w:val="20"/>
          <w:lang w:val="en-US"/>
        </w:rPr>
        <w:lastRenderedPageBreak/>
        <w:t>Supplementary methods:</w:t>
      </w:r>
    </w:p>
    <w:p w14:paraId="0496438F" w14:textId="77777777" w:rsidR="00770F91" w:rsidRPr="00070888" w:rsidRDefault="00770F91" w:rsidP="00770F91">
      <w:pPr>
        <w:spacing w:line="240" w:lineRule="auto"/>
        <w:jc w:val="both"/>
        <w:rPr>
          <w:rFonts w:ascii="Times New Roman" w:eastAsia="Calibri" w:hAnsi="Times New Roman" w:cs="Times New Roman"/>
          <w:sz w:val="20"/>
          <w:szCs w:val="20"/>
        </w:rPr>
      </w:pPr>
      <w:r w:rsidRPr="00070888">
        <w:rPr>
          <w:rFonts w:ascii="Times New Roman" w:eastAsia="Calibri" w:hAnsi="Times New Roman" w:cs="Times New Roman"/>
          <w:b/>
          <w:sz w:val="20"/>
          <w:szCs w:val="20"/>
        </w:rPr>
        <w:t xml:space="preserve">Cell recruitment to murine air pouches: </w:t>
      </w:r>
      <w:r w:rsidRPr="00070888">
        <w:rPr>
          <w:rFonts w:ascii="Times New Roman" w:eastAsia="Calibri" w:hAnsi="Times New Roman" w:cs="Times New Roman"/>
          <w:sz w:val="20"/>
          <w:szCs w:val="20"/>
        </w:rPr>
        <w:t xml:space="preserve"> Eight-week-old female BALB/c mice (Charles River) were used for generation of air pouches in full compliance with U.K. Home Office regulations for animal experimentation. Briefly, air pouches were induced by injecting 3 ml of sterile air s.c. into the back of each animal followed by 1 ml of air on three further occasions (days 2, 4, and 5 respectively); this produced stable fluid-filled pouches. On day 6, each pouch was injected with 1 ml of PBS containing either 1 µg of CXCL, nitrated CXCL8 or a combination of both. Identical age-matched control mice were injected with PBS alone. Six hour later, recruited cells were recovered by gently lavaging the pouch with 1 ml of PBS containing 1 mM EDTA. The exudates were centrifuged at 1000 g for 5 min and the supernatants removed. The cell pellets were resuspended in 1 ml of PBS for counting and assessment of viability.</w:t>
      </w:r>
    </w:p>
    <w:p w14:paraId="13AA682B" w14:textId="77777777" w:rsidR="00770F91" w:rsidRPr="008C2633" w:rsidRDefault="00770F91" w:rsidP="00770F91">
      <w:pPr>
        <w:spacing w:line="240" w:lineRule="auto"/>
        <w:jc w:val="both"/>
        <w:rPr>
          <w:rFonts w:ascii="Times New Roman" w:eastAsia="Calibri" w:hAnsi="Times New Roman" w:cs="Times New Roman"/>
          <w:color w:val="FF0000"/>
          <w:sz w:val="20"/>
          <w:szCs w:val="20"/>
        </w:rPr>
      </w:pPr>
      <w:r w:rsidRPr="00070888">
        <w:rPr>
          <w:rFonts w:ascii="Times New Roman" w:eastAsia="Calibri" w:hAnsi="Times New Roman" w:cs="Times New Roman"/>
          <w:b/>
          <w:bCs/>
          <w:color w:val="FF0000"/>
          <w:sz w:val="20"/>
          <w:szCs w:val="20"/>
        </w:rPr>
        <w:t>Glycosaminoglycan binding assay</w:t>
      </w:r>
      <w:r w:rsidRPr="00070888">
        <w:rPr>
          <w:rFonts w:ascii="Times New Roman" w:eastAsia="Calibri" w:hAnsi="Times New Roman" w:cs="Times New Roman"/>
          <w:color w:val="FF0000"/>
          <w:sz w:val="20"/>
          <w:szCs w:val="20"/>
        </w:rPr>
        <w:t>:  Heparan sulfate/heparin (25μg/ml) was coated overnight at room temperature on a GAG binding plate (BD Biosciences). Serial dilutions of CXCL8 variants (4.6875nM- 300nM) were added in technical triplicates and incubated for 2 hours at room temperature. Subsequently, bound CXCL8 were detected using anti-CXCL8 (Invitrogen, AHC0881) which recognises both variants with equivalent efficiency and polyclonal goat-anti rabbit HRP antibody (Sigma, A6154). The peroxidase activity was quantified using 3,3′-5,5′-tetramethylbenzidine (TMB) substrate conversion and the absorbance was read at 450 nm.</w:t>
      </w:r>
      <w:bookmarkStart w:id="0" w:name="_GoBack"/>
      <w:bookmarkEnd w:id="0"/>
    </w:p>
    <w:p w14:paraId="0B6AFB56" w14:textId="77777777" w:rsidR="00770F91" w:rsidRPr="00D2412D" w:rsidRDefault="00770F91" w:rsidP="00770F91">
      <w:pPr>
        <w:spacing w:line="240" w:lineRule="auto"/>
        <w:jc w:val="both"/>
        <w:rPr>
          <w:rFonts w:ascii="Times New Roman" w:eastAsia="Calibri" w:hAnsi="Times New Roman" w:cs="Times New Roman"/>
          <w:b/>
          <w:sz w:val="20"/>
          <w:szCs w:val="20"/>
        </w:rPr>
      </w:pPr>
    </w:p>
    <w:p w14:paraId="2238D12F" w14:textId="77777777" w:rsidR="00770F91" w:rsidRPr="00D2412D" w:rsidRDefault="00770F91" w:rsidP="00770F91">
      <w:pPr>
        <w:spacing w:line="240" w:lineRule="auto"/>
        <w:jc w:val="both"/>
        <w:rPr>
          <w:rFonts w:ascii="Times New Roman" w:eastAsia="Calibri" w:hAnsi="Times New Roman" w:cs="Times New Roman"/>
          <w:b/>
          <w:sz w:val="20"/>
          <w:szCs w:val="20"/>
        </w:rPr>
      </w:pPr>
    </w:p>
    <w:p w14:paraId="78BDC1BA" w14:textId="77777777" w:rsidR="00770F91" w:rsidRPr="00D2412D" w:rsidRDefault="00770F91" w:rsidP="00770F91">
      <w:pPr>
        <w:spacing w:line="240" w:lineRule="auto"/>
        <w:jc w:val="both"/>
        <w:rPr>
          <w:rFonts w:ascii="Times New Roman" w:eastAsia="Calibri" w:hAnsi="Times New Roman" w:cs="Times New Roman"/>
          <w:b/>
          <w:sz w:val="20"/>
          <w:szCs w:val="20"/>
        </w:rPr>
      </w:pPr>
    </w:p>
    <w:p w14:paraId="22BDEB9E"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6B04C75D"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3161391E"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79D8F0F6"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12A10EFF" w14:textId="77777777" w:rsidR="00770F91" w:rsidRPr="00D2412D" w:rsidRDefault="00770F91" w:rsidP="00770F91">
      <w:pPr>
        <w:spacing w:line="240" w:lineRule="auto"/>
        <w:jc w:val="both"/>
        <w:rPr>
          <w:rFonts w:ascii="Times New Roman" w:eastAsia="Calibri" w:hAnsi="Times New Roman" w:cs="Times New Roman"/>
          <w:b/>
          <w:sz w:val="20"/>
          <w:szCs w:val="20"/>
        </w:rPr>
      </w:pPr>
    </w:p>
    <w:p w14:paraId="47C90967" w14:textId="77777777" w:rsidR="00770F91" w:rsidRPr="00D2412D" w:rsidRDefault="00770F91" w:rsidP="00770F91">
      <w:pPr>
        <w:spacing w:line="240" w:lineRule="auto"/>
        <w:jc w:val="both"/>
        <w:rPr>
          <w:rFonts w:ascii="Times New Roman" w:eastAsia="Calibri" w:hAnsi="Times New Roman" w:cs="Times New Roman"/>
          <w:b/>
          <w:sz w:val="20"/>
          <w:szCs w:val="20"/>
        </w:rPr>
      </w:pPr>
    </w:p>
    <w:p w14:paraId="067A9A2D"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28795716"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520EBD4F"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1A816322" w14:textId="77777777" w:rsidR="00770F91" w:rsidRPr="00D2412D" w:rsidRDefault="00770F91" w:rsidP="00770F91">
      <w:pPr>
        <w:spacing w:line="240" w:lineRule="auto"/>
        <w:jc w:val="both"/>
        <w:rPr>
          <w:rFonts w:ascii="Times New Roman" w:eastAsia="Calibri" w:hAnsi="Times New Roman" w:cs="Times New Roman"/>
          <w:sz w:val="20"/>
          <w:szCs w:val="20"/>
        </w:rPr>
      </w:pPr>
    </w:p>
    <w:p w14:paraId="5DCC5359" w14:textId="77777777" w:rsidR="0011648C" w:rsidRDefault="0011648C"/>
    <w:sectPr w:rsidR="0011648C" w:rsidSect="0007088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78A36" w14:textId="77777777" w:rsidR="00000000" w:rsidRDefault="00070888">
      <w:pPr>
        <w:spacing w:after="0" w:line="240" w:lineRule="auto"/>
      </w:pPr>
      <w:r>
        <w:separator/>
      </w:r>
    </w:p>
  </w:endnote>
  <w:endnote w:type="continuationSeparator" w:id="0">
    <w:p w14:paraId="34BE1834" w14:textId="77777777" w:rsidR="00000000" w:rsidRDefault="0007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120665"/>
      <w:docPartObj>
        <w:docPartGallery w:val="Page Numbers (Bottom of Page)"/>
        <w:docPartUnique/>
      </w:docPartObj>
    </w:sdtPr>
    <w:sdtEndPr>
      <w:rPr>
        <w:noProof/>
      </w:rPr>
    </w:sdtEndPr>
    <w:sdtContent>
      <w:p w14:paraId="70C4C440" w14:textId="77777777" w:rsidR="00222EC6" w:rsidRDefault="00770F91">
        <w:pPr>
          <w:pStyle w:val="Footer"/>
          <w:jc w:val="center"/>
        </w:pPr>
        <w:r>
          <w:fldChar w:fldCharType="begin"/>
        </w:r>
        <w:r>
          <w:instrText xml:space="preserve"> PAGE   \* MERGEFORMAT </w:instrText>
        </w:r>
        <w:r>
          <w:fldChar w:fldCharType="separate"/>
        </w:r>
        <w:r w:rsidR="00070888">
          <w:rPr>
            <w:noProof/>
          </w:rPr>
          <w:t>1</w:t>
        </w:r>
        <w:r>
          <w:rPr>
            <w:noProof/>
          </w:rPr>
          <w:fldChar w:fldCharType="end"/>
        </w:r>
      </w:p>
    </w:sdtContent>
  </w:sdt>
  <w:p w14:paraId="47A9AE3B" w14:textId="77777777" w:rsidR="00222EC6" w:rsidRDefault="000708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90C1F8" w14:textId="77777777" w:rsidR="00000000" w:rsidRDefault="00070888">
      <w:pPr>
        <w:spacing w:after="0" w:line="240" w:lineRule="auto"/>
      </w:pPr>
      <w:r>
        <w:separator/>
      </w:r>
    </w:p>
  </w:footnote>
  <w:footnote w:type="continuationSeparator" w:id="0">
    <w:p w14:paraId="2EAA10EA" w14:textId="77777777" w:rsidR="00000000" w:rsidRDefault="000708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F91"/>
    <w:rsid w:val="00070888"/>
    <w:rsid w:val="0011648C"/>
    <w:rsid w:val="00770F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B04A8"/>
  <w15:chartTrackingRefBased/>
  <w15:docId w15:val="{C828ABA1-843A-4E6A-BA66-7465AE5B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F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70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F91"/>
  </w:style>
  <w:style w:type="character" w:styleId="LineNumber">
    <w:name w:val="line number"/>
    <w:basedOn w:val="DefaultParagraphFont"/>
    <w:uiPriority w:val="99"/>
    <w:semiHidden/>
    <w:unhideWhenUsed/>
    <w:rsid w:val="0077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850</Words>
  <Characters>4848</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 Ali</dc:creator>
  <cp:keywords/>
  <dc:description/>
  <cp:lastModifiedBy>Aswini Vijayakumar</cp:lastModifiedBy>
  <cp:revision>2</cp:revision>
  <dcterms:created xsi:type="dcterms:W3CDTF">2022-11-23T14:13:00Z</dcterms:created>
  <dcterms:modified xsi:type="dcterms:W3CDTF">2022-12-13T15:39:00Z</dcterms:modified>
</cp:coreProperties>
</file>