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CBC" w:rsidRPr="00513F0F" w:rsidRDefault="005E2CBC" w:rsidP="005E2CBC">
      <w:pPr>
        <w:spacing w:line="480" w:lineRule="auto"/>
        <w:jc w:val="both"/>
        <w:rPr>
          <w:b/>
          <w:bCs/>
          <w:lang w:val="en-US"/>
        </w:rPr>
      </w:pPr>
      <w:r w:rsidRPr="00513F0F">
        <w:rPr>
          <w:b/>
          <w:bCs/>
          <w:lang w:val="en-US"/>
        </w:rPr>
        <w:t xml:space="preserve">Supplementary Fig. 1: Negative controls for VLK immunofluorescence staining </w:t>
      </w:r>
      <w:bookmarkStart w:id="0" w:name="_GoBack"/>
      <w:bookmarkEnd w:id="0"/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A, B, D) </w:t>
      </w:r>
      <w:r w:rsidRPr="00513F0F">
        <w:rPr>
          <w:lang w:val="en-US"/>
        </w:rPr>
        <w:t xml:space="preserve">Representative </w:t>
      </w:r>
      <w:proofErr w:type="spellStart"/>
      <w:r w:rsidRPr="00513F0F">
        <w:rPr>
          <w:lang w:val="en-US"/>
        </w:rPr>
        <w:t>stainings</w:t>
      </w:r>
      <w:proofErr w:type="spellEnd"/>
      <w:r w:rsidRPr="00513F0F">
        <w:rPr>
          <w:lang w:val="en-US"/>
        </w:rPr>
        <w:t xml:space="preserve"> of lung sections from P2 CTRL (A), adult </w:t>
      </w:r>
      <w:proofErr w:type="spellStart"/>
      <w:r w:rsidRPr="00513F0F">
        <w:rPr>
          <w:lang w:val="en-US"/>
        </w:rPr>
        <w:t>Pdgfra-eGFP</w:t>
      </w:r>
      <w:proofErr w:type="spellEnd"/>
      <w:r w:rsidRPr="00513F0F">
        <w:rPr>
          <w:lang w:val="en-US"/>
        </w:rPr>
        <w:t xml:space="preserve"> (B), or adult CTRL mice (D) using the secondary antibody only. Scale bars: 50 </w:t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 xml:space="preserve">m (P2), 20 </w:t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 xml:space="preserve">m (adult), or 50 </w:t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>m (adult).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C)</w:t>
      </w:r>
      <w:r w:rsidRPr="00513F0F">
        <w:rPr>
          <w:lang w:val="en-US"/>
        </w:rPr>
        <w:t xml:space="preserve"> Chi-square survival test revealing a significant difference between the observed and expected Mendelian ratio of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and CTRL mice.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</w:p>
    <w:p w:rsidR="005E2CBC" w:rsidRPr="00513F0F" w:rsidRDefault="005E2CBC" w:rsidP="005E2CBC">
      <w:pPr>
        <w:spacing w:line="480" w:lineRule="auto"/>
        <w:jc w:val="both"/>
        <w:rPr>
          <w:b/>
          <w:bCs/>
          <w:lang w:val="en-US"/>
        </w:rPr>
      </w:pPr>
      <w:r w:rsidRPr="00513F0F">
        <w:rPr>
          <w:b/>
          <w:bCs/>
          <w:lang w:val="en-US"/>
        </w:rPr>
        <w:t xml:space="preserve">Supplementary Fig. 2: Craniofacial abnormalities in E18.5 </w:t>
      </w:r>
      <w:proofErr w:type="spellStart"/>
      <w:r w:rsidRPr="00513F0F">
        <w:rPr>
          <w:b/>
          <w:bCs/>
          <w:i/>
          <w:iCs/>
          <w:lang w:val="en-US"/>
        </w:rPr>
        <w:t>Pkdcc</w:t>
      </w:r>
      <w:proofErr w:type="spellEnd"/>
      <w:r w:rsidRPr="00513F0F">
        <w:rPr>
          <w:b/>
          <w:bCs/>
          <w:lang w:val="en-US"/>
        </w:rPr>
        <w:t xml:space="preserve"> knockout embryos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A-C)</w:t>
      </w:r>
      <w:r w:rsidRPr="00513F0F">
        <w:rPr>
          <w:lang w:val="en-US"/>
        </w:rPr>
        <w:t xml:space="preserve"> CT Scans of the heads of E18.5 embryos showing the heads from the dorsal (A), lateral (B) and ventral position (C). Left: two CTRL animals, right: two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A)</w:t>
      </w:r>
      <w:r w:rsidRPr="00513F0F">
        <w:rPr>
          <w:lang w:val="en-US"/>
        </w:rPr>
        <w:t xml:space="preserve"> Dorsal view of the skull. Note the shortening of the facial bones.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B)</w:t>
      </w:r>
      <w:r w:rsidRPr="00513F0F">
        <w:rPr>
          <w:lang w:val="en-US"/>
        </w:rPr>
        <w:t xml:space="preserve"> Lateral view of the skull. The arrow points to the top of the </w:t>
      </w:r>
      <w:proofErr w:type="spellStart"/>
      <w:r w:rsidRPr="00513F0F">
        <w:rPr>
          <w:lang w:val="en-US"/>
        </w:rPr>
        <w:t>calvaria</w:t>
      </w:r>
      <w:proofErr w:type="spellEnd"/>
      <w:r w:rsidRPr="00513F0F">
        <w:rPr>
          <w:lang w:val="en-US"/>
        </w:rPr>
        <w:t xml:space="preserve">, which is more rounded in the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 xml:space="preserve">-/- </w:t>
      </w:r>
      <w:r w:rsidRPr="00513F0F">
        <w:rPr>
          <w:lang w:val="en-US"/>
        </w:rPr>
        <w:t xml:space="preserve">compared to CTRL mice. The shortening of the facial bone is also visible.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C)</w:t>
      </w:r>
      <w:r w:rsidRPr="00513F0F">
        <w:rPr>
          <w:lang w:val="en-US"/>
        </w:rPr>
        <w:t xml:space="preserve"> Ventral view of the skull base and palate. The </w:t>
      </w:r>
      <w:proofErr w:type="spellStart"/>
      <w:r w:rsidRPr="00513F0F">
        <w:rPr>
          <w:lang w:val="en-US"/>
        </w:rPr>
        <w:t>mandibula</w:t>
      </w:r>
      <w:proofErr w:type="spellEnd"/>
      <w:r w:rsidRPr="00513F0F">
        <w:rPr>
          <w:lang w:val="en-US"/>
        </w:rPr>
        <w:t xml:space="preserve"> was removed from the image.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lang w:val="en-US"/>
        </w:rPr>
        <w:t xml:space="preserve">Incisive bones are highlighted in yellow, the palatine process of the maxilla is marked in red and the palatine bones in green. Arrows point to the potential palate cleft. 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Supplementary Fig. 3: </w:t>
      </w:r>
      <w:proofErr w:type="spellStart"/>
      <w:r w:rsidRPr="00513F0F">
        <w:rPr>
          <w:b/>
          <w:bCs/>
          <w:i/>
          <w:iCs/>
          <w:lang w:val="en-US"/>
        </w:rPr>
        <w:t>Pkdcc</w:t>
      </w:r>
      <w:proofErr w:type="spellEnd"/>
      <w:r w:rsidRPr="00513F0F">
        <w:rPr>
          <w:b/>
          <w:bCs/>
          <w:lang w:val="en-US"/>
        </w:rPr>
        <w:t xml:space="preserve"> deletion in mesenchymal cells does not induce collagen-associated fibrosis</w:t>
      </w:r>
      <w:r w:rsidRPr="00513F0F">
        <w:rPr>
          <w:lang w:val="en-US"/>
        </w:rPr>
        <w:t xml:space="preserve">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A) </w:t>
      </w:r>
      <w:r w:rsidRPr="00513F0F">
        <w:rPr>
          <w:lang w:val="en-US"/>
        </w:rPr>
        <w:t xml:space="preserve">RT-qPCR analysis of RNA samples from primary MEFs established from E18.5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r w:rsidRPr="00513F0F">
        <w:rPr>
          <w:i/>
          <w:iCs/>
          <w:lang w:val="en-US"/>
        </w:rPr>
        <w:t>Col1a1</w:t>
      </w:r>
      <w:r w:rsidRPr="00513F0F">
        <w:rPr>
          <w:lang w:val="en-US"/>
        </w:rPr>
        <w:t xml:space="preserve">, </w:t>
      </w:r>
      <w:r w:rsidRPr="00513F0F">
        <w:rPr>
          <w:i/>
          <w:iCs/>
          <w:lang w:val="en-US"/>
        </w:rPr>
        <w:t xml:space="preserve">Col3a1 </w:t>
      </w:r>
      <w:r w:rsidRPr="00513F0F">
        <w:rPr>
          <w:lang w:val="en-US"/>
        </w:rPr>
        <w:t xml:space="preserve">and </w:t>
      </w:r>
      <w:r w:rsidRPr="00513F0F">
        <w:rPr>
          <w:i/>
          <w:iCs/>
          <w:lang w:val="en-US"/>
        </w:rPr>
        <w:t>Timp1</w:t>
      </w:r>
      <w:r w:rsidRPr="00513F0F">
        <w:rPr>
          <w:lang w:val="en-US"/>
        </w:rPr>
        <w:t xml:space="preserve"> relative to </w:t>
      </w:r>
      <w:r w:rsidRPr="00513F0F">
        <w:rPr>
          <w:i/>
          <w:iCs/>
          <w:lang w:val="en-US"/>
        </w:rPr>
        <w:t xml:space="preserve">Rps29. </w:t>
      </w:r>
      <w:r w:rsidRPr="00513F0F">
        <w:rPr>
          <w:lang w:val="en-US"/>
        </w:rPr>
        <w:t>N=3-4 MEF cultures, each culture is from a different mouse.</w:t>
      </w:r>
      <w:r w:rsidRPr="00513F0F">
        <w:rPr>
          <w:b/>
          <w:bCs/>
          <w:lang w:val="en-US"/>
        </w:rPr>
        <w:t xml:space="preserve"> </w:t>
      </w:r>
      <w:r w:rsidRPr="00513F0F">
        <w:rPr>
          <w:lang w:val="en-US"/>
        </w:rPr>
        <w:t xml:space="preserve">Confirmation of the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 xml:space="preserve">-/- </w:t>
      </w:r>
      <w:r w:rsidRPr="00513F0F">
        <w:rPr>
          <w:lang w:val="en-US"/>
        </w:rPr>
        <w:t xml:space="preserve">in these cells is shown in Fig. 2E.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lastRenderedPageBreak/>
        <w:t xml:space="preserve">B) </w:t>
      </w:r>
      <w:r w:rsidRPr="00513F0F">
        <w:rPr>
          <w:lang w:val="en-US"/>
        </w:rPr>
        <w:t xml:space="preserve">Representative photomicrographs of Sirius Red-stained lung sections from E18.5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i/>
          <w:iCs/>
          <w:vertAlign w:val="superscript"/>
          <w:lang w:val="en-US"/>
        </w:rPr>
        <w:t>-</w:t>
      </w:r>
      <w:r w:rsidRPr="00513F0F">
        <w:rPr>
          <w:vertAlign w:val="superscript"/>
          <w:lang w:val="en-US"/>
        </w:rPr>
        <w:t xml:space="preserve">/- </w:t>
      </w:r>
      <w:r w:rsidRPr="00513F0F">
        <w:rPr>
          <w:lang w:val="en-US"/>
        </w:rPr>
        <w:t xml:space="preserve">mice. Scale bars: 100 </w:t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 xml:space="preserve">m.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C)</w:t>
      </w:r>
      <w:r w:rsidRPr="00513F0F">
        <w:rPr>
          <w:lang w:val="en-US"/>
        </w:rPr>
        <w:t xml:space="preserve"> Quantification of Sirius Red staining of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i/>
          <w:iCs/>
          <w:vertAlign w:val="superscript"/>
          <w:lang w:val="en-US"/>
        </w:rPr>
        <w:t>-</w:t>
      </w:r>
      <w:r w:rsidRPr="00513F0F">
        <w:rPr>
          <w:vertAlign w:val="superscript"/>
          <w:lang w:val="en-US"/>
        </w:rPr>
        <w:t xml:space="preserve">/- </w:t>
      </w:r>
      <w:r w:rsidRPr="00513F0F">
        <w:rPr>
          <w:lang w:val="en-US"/>
        </w:rPr>
        <w:t xml:space="preserve">mice using </w:t>
      </w:r>
      <w:proofErr w:type="spellStart"/>
      <w:r w:rsidRPr="00513F0F">
        <w:rPr>
          <w:lang w:val="en-US"/>
        </w:rPr>
        <w:t>QuPath</w:t>
      </w:r>
      <w:proofErr w:type="spellEnd"/>
      <w:r w:rsidRPr="00513F0F">
        <w:rPr>
          <w:lang w:val="en-US"/>
        </w:rPr>
        <w:t xml:space="preserve"> showing total ECM area, count of branch points, high density matrix in % and amount of aligned fibers.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D)</w:t>
      </w:r>
      <w:r w:rsidRPr="00513F0F">
        <w:rPr>
          <w:lang w:val="en-US"/>
        </w:rPr>
        <w:t xml:space="preserve"> RT-qPCR analysis of RNA samples from primary lung fibroblasts established from E18.5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r w:rsidRPr="00513F0F">
        <w:rPr>
          <w:i/>
          <w:iCs/>
          <w:lang w:val="en-US"/>
        </w:rPr>
        <w:t>Plod1</w:t>
      </w:r>
      <w:r w:rsidRPr="00513F0F">
        <w:rPr>
          <w:lang w:val="en-US"/>
        </w:rPr>
        <w:t xml:space="preserve">, </w:t>
      </w:r>
      <w:r w:rsidRPr="00513F0F">
        <w:rPr>
          <w:i/>
          <w:iCs/>
          <w:lang w:val="en-US"/>
        </w:rPr>
        <w:t>Plod2</w:t>
      </w:r>
      <w:r w:rsidRPr="00513F0F">
        <w:rPr>
          <w:lang w:val="en-US"/>
        </w:rPr>
        <w:t xml:space="preserve"> and </w:t>
      </w:r>
      <w:r w:rsidRPr="00513F0F">
        <w:rPr>
          <w:i/>
          <w:iCs/>
          <w:lang w:val="en-US"/>
        </w:rPr>
        <w:t>Plod3</w:t>
      </w:r>
      <w:r w:rsidRPr="00513F0F">
        <w:rPr>
          <w:lang w:val="en-US"/>
        </w:rPr>
        <w:t xml:space="preserve"> relative to </w:t>
      </w:r>
      <w:r w:rsidRPr="00513F0F">
        <w:rPr>
          <w:i/>
          <w:iCs/>
          <w:lang w:val="en-US"/>
        </w:rPr>
        <w:t>Rps29</w:t>
      </w:r>
      <w:r w:rsidRPr="00513F0F">
        <w:rPr>
          <w:lang w:val="en-US"/>
        </w:rPr>
        <w:t xml:space="preserve">. N=5-10 lung fibroblast cultures, each culture is from a different mouse. Confirmation of the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lang w:val="en-US"/>
        </w:rPr>
        <w:t xml:space="preserve"> knockout in these cells is shown in Fig. 2F. 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>E)</w:t>
      </w:r>
      <w:r w:rsidRPr="00513F0F">
        <w:rPr>
          <w:lang w:val="en-US"/>
        </w:rPr>
        <w:t xml:space="preserve"> RT-qPCR analysis of RNA samples from total lung tissue of E18.5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r w:rsidRPr="00513F0F">
        <w:rPr>
          <w:i/>
          <w:iCs/>
          <w:lang w:val="en-US"/>
        </w:rPr>
        <w:t>Plod1</w:t>
      </w:r>
      <w:r w:rsidRPr="00513F0F">
        <w:rPr>
          <w:lang w:val="en-US"/>
        </w:rPr>
        <w:t xml:space="preserve">, </w:t>
      </w:r>
      <w:r w:rsidRPr="00513F0F">
        <w:rPr>
          <w:i/>
          <w:iCs/>
          <w:lang w:val="en-US"/>
        </w:rPr>
        <w:t>Plod2</w:t>
      </w:r>
      <w:r w:rsidRPr="00513F0F">
        <w:rPr>
          <w:lang w:val="en-US"/>
        </w:rPr>
        <w:t xml:space="preserve">, and </w:t>
      </w:r>
      <w:r w:rsidRPr="00513F0F">
        <w:rPr>
          <w:i/>
          <w:iCs/>
          <w:lang w:val="en-US"/>
        </w:rPr>
        <w:t>Plod3</w:t>
      </w:r>
      <w:r w:rsidRPr="00513F0F">
        <w:rPr>
          <w:lang w:val="en-US"/>
        </w:rPr>
        <w:t xml:space="preserve"> relative to </w:t>
      </w:r>
      <w:r w:rsidRPr="00513F0F">
        <w:rPr>
          <w:i/>
          <w:iCs/>
          <w:lang w:val="en-US"/>
        </w:rPr>
        <w:t>Rps29</w:t>
      </w:r>
      <w:r w:rsidRPr="00513F0F">
        <w:rPr>
          <w:lang w:val="en-US"/>
        </w:rPr>
        <w:t xml:space="preserve">. N=8 mice per genotype. Confirmation of the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lang w:val="en-US"/>
        </w:rPr>
        <w:t xml:space="preserve"> knockout in these lungs is shown in Fig. 3H.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lang w:val="en-US"/>
        </w:rPr>
        <w:t>Bar graphs show mean +/- S.D. P-values are indicated in the graphs; statistical analysis was performed using Mann-Whitney U test.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Supplementary Fig. 4: Lung histology is not obviously affected in adult </w:t>
      </w:r>
      <w:proofErr w:type="spellStart"/>
      <w:r w:rsidRPr="00513F0F">
        <w:rPr>
          <w:b/>
          <w:bCs/>
          <w:i/>
          <w:iCs/>
          <w:lang w:val="en-US"/>
        </w:rPr>
        <w:t>Pkdcc</w:t>
      </w:r>
      <w:proofErr w:type="spellEnd"/>
      <w:r w:rsidRPr="00513F0F">
        <w:rPr>
          <w:b/>
          <w:bCs/>
          <w:vertAlign w:val="superscript"/>
          <w:lang w:val="en-US"/>
        </w:rPr>
        <w:t>+/-</w:t>
      </w:r>
      <w:r w:rsidRPr="00513F0F">
        <w:rPr>
          <w:b/>
          <w:bCs/>
          <w:lang w:val="en-US"/>
        </w:rPr>
        <w:t xml:space="preserve"> mice</w:t>
      </w:r>
      <w:r>
        <w:rPr>
          <w:b/>
          <w:bCs/>
          <w:lang w:val="en-US"/>
        </w:rPr>
        <w:t xml:space="preserve">. </w:t>
      </w:r>
      <w:r w:rsidRPr="00513F0F">
        <w:rPr>
          <w:b/>
          <w:bCs/>
          <w:lang w:val="en-US"/>
        </w:rPr>
        <w:t>A, B)</w:t>
      </w:r>
      <w:r w:rsidRPr="00513F0F">
        <w:rPr>
          <w:lang w:val="en-US"/>
        </w:rPr>
        <w:t xml:space="preserve"> Representative images (A)</w:t>
      </w:r>
      <w:r w:rsidRPr="00513F0F">
        <w:rPr>
          <w:b/>
          <w:bCs/>
          <w:lang w:val="en-US"/>
        </w:rPr>
        <w:t xml:space="preserve"> </w:t>
      </w:r>
      <w:r w:rsidRPr="00513F0F">
        <w:rPr>
          <w:lang w:val="en-US"/>
        </w:rPr>
        <w:t xml:space="preserve">and quantification (B) of the indicated histological </w:t>
      </w:r>
      <w:proofErr w:type="spellStart"/>
      <w:r w:rsidRPr="00513F0F">
        <w:rPr>
          <w:lang w:val="en-US"/>
        </w:rPr>
        <w:t>stainings</w:t>
      </w:r>
      <w:proofErr w:type="spellEnd"/>
      <w:r w:rsidRPr="00513F0F">
        <w:rPr>
          <w:lang w:val="en-US"/>
        </w:rPr>
        <w:t xml:space="preserve"> performed on lung sections from adult control and heterozygous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+/-</w:t>
      </w:r>
      <w:r w:rsidRPr="00513F0F">
        <w:rPr>
          <w:lang w:val="en-US"/>
        </w:rPr>
        <w:t xml:space="preserve"> mice; N= 5-7 control and 6-12 heterozygous mice. Scale bars: 500 </w:t>
      </w:r>
      <w:r w:rsidRPr="00513F0F">
        <w:rPr>
          <w:lang w:val="en-US"/>
        </w:rPr>
        <w:sym w:font="Symbol" w:char="F020"/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 xml:space="preserve">m and 50 </w:t>
      </w:r>
      <w:r w:rsidRPr="00513F0F">
        <w:rPr>
          <w:lang w:val="en-US"/>
        </w:rPr>
        <w:sym w:font="Symbol" w:char="F06D"/>
      </w:r>
      <w:r w:rsidRPr="00513F0F">
        <w:rPr>
          <w:lang w:val="en-US"/>
        </w:rPr>
        <w:t>m.</w:t>
      </w:r>
      <w:r>
        <w:rPr>
          <w:lang w:val="en-US"/>
        </w:rPr>
        <w:t xml:space="preserve"> </w:t>
      </w:r>
      <w:r w:rsidRPr="00513F0F">
        <w:rPr>
          <w:b/>
          <w:bCs/>
          <w:lang w:val="en-US"/>
        </w:rPr>
        <w:t>C)</w:t>
      </w:r>
      <w:r w:rsidRPr="00513F0F">
        <w:rPr>
          <w:lang w:val="en-US"/>
        </w:rPr>
        <w:t xml:space="preserve"> RT-qPCR analysis of RNA samples from adult lung tissue of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+/-</w:t>
      </w:r>
      <w:r w:rsidRPr="00513F0F">
        <w:rPr>
          <w:lang w:val="en-US"/>
        </w:rPr>
        <w:t xml:space="preserve"> mice for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lang w:val="en-US"/>
        </w:rPr>
        <w:t xml:space="preserve">, </w:t>
      </w:r>
      <w:r w:rsidRPr="00513F0F">
        <w:rPr>
          <w:i/>
          <w:iCs/>
          <w:lang w:val="en-US"/>
        </w:rPr>
        <w:t>Col1a1</w:t>
      </w:r>
      <w:r w:rsidRPr="00513F0F">
        <w:rPr>
          <w:lang w:val="en-US"/>
        </w:rPr>
        <w:t xml:space="preserve">, </w:t>
      </w:r>
      <w:r w:rsidRPr="00513F0F">
        <w:rPr>
          <w:i/>
          <w:iCs/>
          <w:lang w:val="en-US"/>
        </w:rPr>
        <w:t>Col3a1</w:t>
      </w:r>
      <w:r w:rsidRPr="00513F0F">
        <w:rPr>
          <w:lang w:val="en-US"/>
        </w:rPr>
        <w:t xml:space="preserve"> and </w:t>
      </w:r>
      <w:r w:rsidRPr="00513F0F">
        <w:rPr>
          <w:i/>
          <w:iCs/>
          <w:lang w:val="en-US"/>
        </w:rPr>
        <w:t>Timp1</w:t>
      </w:r>
      <w:r w:rsidRPr="00513F0F">
        <w:rPr>
          <w:lang w:val="en-US"/>
        </w:rPr>
        <w:t xml:space="preserve"> relative to </w:t>
      </w:r>
      <w:r w:rsidRPr="00513F0F">
        <w:rPr>
          <w:i/>
          <w:iCs/>
          <w:lang w:val="en-US"/>
        </w:rPr>
        <w:t>Rps29</w:t>
      </w:r>
      <w:r w:rsidRPr="00513F0F">
        <w:rPr>
          <w:lang w:val="en-US"/>
        </w:rPr>
        <w:t xml:space="preserve">. N=5 mice per genotype. </w:t>
      </w:r>
      <w:r w:rsidRPr="00513F0F">
        <w:rPr>
          <w:b/>
          <w:bCs/>
          <w:lang w:val="en-US"/>
        </w:rPr>
        <w:t>D)</w:t>
      </w:r>
      <w:r w:rsidRPr="00513F0F">
        <w:rPr>
          <w:lang w:val="en-US"/>
        </w:rPr>
        <w:t xml:space="preserve"> </w:t>
      </w:r>
      <w:proofErr w:type="spellStart"/>
      <w:r w:rsidRPr="00513F0F">
        <w:rPr>
          <w:lang w:val="en-US"/>
        </w:rPr>
        <w:t>Hydroxyproline</w:t>
      </w:r>
      <w:proofErr w:type="spellEnd"/>
      <w:r w:rsidRPr="00513F0F">
        <w:rPr>
          <w:lang w:val="en-US"/>
        </w:rPr>
        <w:t xml:space="preserve"> content in the lungs of adult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+/-</w:t>
      </w:r>
      <w:r w:rsidRPr="00513F0F">
        <w:rPr>
          <w:lang w:val="en-US"/>
        </w:rPr>
        <w:t xml:space="preserve"> mice. N=5-6 mice per genotype. Bar graphs show mean +/- S.D. P-values are indicated in the graphs; statistical analysis was performed using Mann-Whitney U test.</w:t>
      </w: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Supplementary Fig. 5: </w:t>
      </w:r>
      <w:proofErr w:type="spellStart"/>
      <w:r w:rsidRPr="00513F0F">
        <w:rPr>
          <w:b/>
          <w:bCs/>
          <w:i/>
          <w:iCs/>
          <w:lang w:val="en-US"/>
        </w:rPr>
        <w:t>Pkdcc</w:t>
      </w:r>
      <w:proofErr w:type="spellEnd"/>
      <w:r w:rsidRPr="00513F0F">
        <w:rPr>
          <w:b/>
          <w:bCs/>
          <w:lang w:val="en-US"/>
        </w:rPr>
        <w:t xml:space="preserve"> deletion in mesenchymal cells severely affects lung epithelial cells A) </w:t>
      </w:r>
      <w:r w:rsidRPr="00513F0F">
        <w:rPr>
          <w:lang w:val="en-US"/>
        </w:rPr>
        <w:t>Negative control staining for SPC and CK19 (see Fig. 4) using the secondary antibodies only.</w:t>
      </w:r>
      <w:r>
        <w:rPr>
          <w:lang w:val="en-US"/>
        </w:rPr>
        <w:t xml:space="preserve"> </w:t>
      </w:r>
      <w:r w:rsidRPr="00513F0F">
        <w:rPr>
          <w:b/>
          <w:bCs/>
          <w:lang w:val="en-US"/>
        </w:rPr>
        <w:t xml:space="preserve">B, C) </w:t>
      </w:r>
      <w:r w:rsidRPr="00513F0F">
        <w:rPr>
          <w:lang w:val="en-US"/>
        </w:rPr>
        <w:lastRenderedPageBreak/>
        <w:t xml:space="preserve">Representative immunofluorescence </w:t>
      </w:r>
      <w:proofErr w:type="spellStart"/>
      <w:r w:rsidRPr="00513F0F">
        <w:rPr>
          <w:lang w:val="en-US"/>
        </w:rPr>
        <w:t>stainings</w:t>
      </w:r>
      <w:proofErr w:type="spellEnd"/>
      <w:r w:rsidRPr="00513F0F">
        <w:rPr>
          <w:lang w:val="en-US"/>
        </w:rPr>
        <w:t xml:space="preserve"> of E18.5 lung sections from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proofErr w:type="spellStart"/>
      <w:r w:rsidRPr="00513F0F">
        <w:rPr>
          <w:lang w:val="en-US"/>
        </w:rPr>
        <w:t>podoplanin</w:t>
      </w:r>
      <w:proofErr w:type="spellEnd"/>
      <w:r w:rsidRPr="00513F0F">
        <w:rPr>
          <w:lang w:val="en-US"/>
        </w:rPr>
        <w:t xml:space="preserve"> (red,) counterstained with Hoechst (blue) (B) and quantification of </w:t>
      </w:r>
      <w:proofErr w:type="spellStart"/>
      <w:r w:rsidRPr="00513F0F">
        <w:rPr>
          <w:lang w:val="en-US"/>
        </w:rPr>
        <w:t>podoplanin</w:t>
      </w:r>
      <w:proofErr w:type="spellEnd"/>
      <w:r w:rsidRPr="00513F0F">
        <w:rPr>
          <w:lang w:val="en-US"/>
        </w:rPr>
        <w:t xml:space="preserve">-positive alveolar type I cells (C). Staining with the secondary antibody only is shown below the </w:t>
      </w:r>
      <w:proofErr w:type="spellStart"/>
      <w:r w:rsidRPr="00513F0F">
        <w:rPr>
          <w:lang w:val="en-US"/>
        </w:rPr>
        <w:t>podoplanin</w:t>
      </w:r>
      <w:proofErr w:type="spellEnd"/>
      <w:r w:rsidRPr="00513F0F">
        <w:rPr>
          <w:lang w:val="en-US"/>
        </w:rPr>
        <w:t xml:space="preserve"> </w:t>
      </w:r>
      <w:proofErr w:type="spellStart"/>
      <w:r w:rsidRPr="00513F0F">
        <w:rPr>
          <w:lang w:val="en-US"/>
        </w:rPr>
        <w:t>stainings</w:t>
      </w:r>
      <w:proofErr w:type="spellEnd"/>
      <w:r w:rsidRPr="00513F0F">
        <w:rPr>
          <w:lang w:val="en-US"/>
        </w:rPr>
        <w:t xml:space="preserve">. N=5-10 mice per genotype. </w:t>
      </w:r>
      <w:r w:rsidRPr="00513F0F">
        <w:rPr>
          <w:b/>
          <w:bCs/>
          <w:lang w:val="en-US"/>
        </w:rPr>
        <w:t>D, E)</w:t>
      </w:r>
      <w:r w:rsidRPr="00513F0F">
        <w:rPr>
          <w:lang w:val="en-US"/>
        </w:rPr>
        <w:t xml:space="preserve"> RT-qPCR analysis of RNA samples from E18.5 lungs of control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proofErr w:type="spellStart"/>
      <w:r w:rsidRPr="00513F0F">
        <w:rPr>
          <w:i/>
          <w:iCs/>
          <w:lang w:val="en-US"/>
        </w:rPr>
        <w:t>Pdpn</w:t>
      </w:r>
      <w:proofErr w:type="spellEnd"/>
      <w:r w:rsidRPr="00513F0F">
        <w:rPr>
          <w:i/>
          <w:iCs/>
          <w:lang w:val="en-US"/>
        </w:rPr>
        <w:t xml:space="preserve"> </w:t>
      </w:r>
      <w:r w:rsidRPr="00513F0F">
        <w:rPr>
          <w:lang w:val="en-US"/>
        </w:rPr>
        <w:t>(D) and</w:t>
      </w:r>
      <w:r w:rsidRPr="00513F0F">
        <w:rPr>
          <w:i/>
          <w:iCs/>
          <w:lang w:val="en-US"/>
        </w:rPr>
        <w:t xml:space="preserve"> Scgb1a1 </w:t>
      </w:r>
      <w:r w:rsidRPr="00513F0F">
        <w:rPr>
          <w:lang w:val="en-US"/>
        </w:rPr>
        <w:t xml:space="preserve">(E) relative to </w:t>
      </w:r>
      <w:r w:rsidRPr="00513F0F">
        <w:rPr>
          <w:i/>
          <w:iCs/>
          <w:lang w:val="en-US"/>
        </w:rPr>
        <w:t>Rps29</w:t>
      </w:r>
      <w:r w:rsidRPr="00513F0F">
        <w:rPr>
          <w:lang w:val="en-US"/>
        </w:rPr>
        <w:t>. N=8 per genotype.</w:t>
      </w:r>
      <w:r>
        <w:rPr>
          <w:lang w:val="en-US"/>
        </w:rPr>
        <w:t xml:space="preserve"> </w:t>
      </w:r>
      <w:r w:rsidRPr="00513F0F">
        <w:rPr>
          <w:b/>
          <w:bCs/>
          <w:lang w:val="en-US"/>
        </w:rPr>
        <w:t xml:space="preserve">F) </w:t>
      </w:r>
      <w:r w:rsidRPr="00513F0F">
        <w:rPr>
          <w:lang w:val="en-US"/>
        </w:rPr>
        <w:t xml:space="preserve">Negative control staining for SOX9 (see Fig. 4) using the secondary antibody only. </w:t>
      </w:r>
      <w:r w:rsidRPr="00513F0F">
        <w:rPr>
          <w:b/>
          <w:bCs/>
          <w:lang w:val="en-US"/>
        </w:rPr>
        <w:t xml:space="preserve">G) </w:t>
      </w:r>
      <w:r w:rsidRPr="00513F0F">
        <w:rPr>
          <w:lang w:val="en-US"/>
        </w:rPr>
        <w:t xml:space="preserve">RT-qPCR analysis of RNA samples from E18.5 lungs of CTRL and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mice for </w:t>
      </w:r>
      <w:r w:rsidRPr="00513F0F">
        <w:rPr>
          <w:i/>
          <w:iCs/>
          <w:lang w:val="en-US"/>
        </w:rPr>
        <w:t xml:space="preserve">Ccnd1 </w:t>
      </w:r>
      <w:r w:rsidRPr="00513F0F">
        <w:rPr>
          <w:lang w:val="en-US"/>
        </w:rPr>
        <w:t>and</w:t>
      </w:r>
      <w:r w:rsidRPr="00513F0F">
        <w:rPr>
          <w:i/>
          <w:iCs/>
          <w:lang w:val="en-US"/>
        </w:rPr>
        <w:t xml:space="preserve"> </w:t>
      </w:r>
      <w:proofErr w:type="spellStart"/>
      <w:r w:rsidRPr="00513F0F">
        <w:rPr>
          <w:i/>
          <w:iCs/>
          <w:lang w:val="en-US"/>
        </w:rPr>
        <w:t>Smo</w:t>
      </w:r>
      <w:proofErr w:type="spellEnd"/>
      <w:r w:rsidRPr="00513F0F">
        <w:rPr>
          <w:lang w:val="en-US"/>
        </w:rPr>
        <w:t xml:space="preserve">, relative to </w:t>
      </w:r>
      <w:r w:rsidRPr="00513F0F">
        <w:rPr>
          <w:i/>
          <w:iCs/>
          <w:lang w:val="en-US"/>
        </w:rPr>
        <w:t>Rps29</w:t>
      </w:r>
      <w:r w:rsidRPr="00513F0F">
        <w:rPr>
          <w:lang w:val="en-US"/>
        </w:rPr>
        <w:t>. N=8 per genotype.</w:t>
      </w:r>
      <w:r>
        <w:rPr>
          <w:lang w:val="en-US"/>
        </w:rPr>
        <w:t xml:space="preserve"> </w:t>
      </w:r>
      <w:r w:rsidRPr="00513F0F">
        <w:rPr>
          <w:b/>
          <w:bCs/>
          <w:lang w:val="en-US"/>
        </w:rPr>
        <w:t>H)</w:t>
      </w:r>
      <w:r w:rsidRPr="00513F0F">
        <w:rPr>
          <w:lang w:val="en-US"/>
        </w:rPr>
        <w:t xml:space="preserve"> Negative control </w:t>
      </w:r>
      <w:proofErr w:type="spellStart"/>
      <w:r w:rsidRPr="00513F0F">
        <w:rPr>
          <w:lang w:val="en-US"/>
        </w:rPr>
        <w:t>stainings</w:t>
      </w:r>
      <w:proofErr w:type="spellEnd"/>
      <w:r w:rsidRPr="00513F0F">
        <w:rPr>
          <w:lang w:val="en-US"/>
        </w:rPr>
        <w:t xml:space="preserve"> for FMOD and MATN4 (see Fig. 6) using the secondary antibody only. Bar graphs show mean +/- S.D. P-values are indicated in the graphs; statistical analysis was performed using Mann-Whitney U test. Scale bars in A, B and F: 50 µm. Each image depicts a single mouse.</w:t>
      </w:r>
    </w:p>
    <w:p w:rsidR="005E2CBC" w:rsidRPr="00513F0F" w:rsidRDefault="005E2CBC" w:rsidP="005E2CBC">
      <w:pPr>
        <w:widowControl w:val="0"/>
        <w:autoSpaceDE w:val="0"/>
        <w:autoSpaceDN w:val="0"/>
        <w:adjustRightInd w:val="0"/>
        <w:ind w:left="640" w:hanging="640"/>
        <w:rPr>
          <w:lang w:val="en-US"/>
        </w:rPr>
      </w:pPr>
    </w:p>
    <w:p w:rsidR="005E2CBC" w:rsidRPr="00513F0F" w:rsidRDefault="005E2CBC" w:rsidP="005E2CBC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:rsidR="005E2CBC" w:rsidRPr="00513F0F" w:rsidRDefault="005E2CBC" w:rsidP="005E2CBC">
      <w:pPr>
        <w:spacing w:line="480" w:lineRule="auto"/>
        <w:jc w:val="both"/>
        <w:rPr>
          <w:lang w:val="en-US"/>
        </w:rPr>
      </w:pPr>
      <w:r w:rsidRPr="00513F0F">
        <w:rPr>
          <w:b/>
          <w:bCs/>
          <w:lang w:val="en-US"/>
        </w:rPr>
        <w:t xml:space="preserve">Supplementary Fig. 6: Volcano plot of all quantified </w:t>
      </w:r>
      <w:proofErr w:type="spellStart"/>
      <w:r w:rsidRPr="00513F0F">
        <w:rPr>
          <w:b/>
          <w:bCs/>
          <w:lang w:val="en-US"/>
        </w:rPr>
        <w:t>phosphotyrosine</w:t>
      </w:r>
      <w:proofErr w:type="spellEnd"/>
      <w:r w:rsidRPr="00513F0F">
        <w:rPr>
          <w:b/>
          <w:bCs/>
          <w:lang w:val="en-US"/>
        </w:rPr>
        <w:t xml:space="preserve"> peptides in E18.5 lungs of CTRL </w:t>
      </w:r>
      <w:r w:rsidRPr="00513F0F">
        <w:rPr>
          <w:b/>
          <w:bCs/>
          <w:i/>
          <w:iCs/>
          <w:lang w:val="en-US"/>
        </w:rPr>
        <w:t>vs.</w:t>
      </w:r>
      <w:r w:rsidRPr="00513F0F">
        <w:rPr>
          <w:b/>
          <w:bCs/>
          <w:lang w:val="en-US"/>
        </w:rPr>
        <w:t xml:space="preserve"> </w:t>
      </w:r>
      <w:proofErr w:type="spellStart"/>
      <w:r w:rsidRPr="00513F0F">
        <w:rPr>
          <w:b/>
          <w:bCs/>
          <w:i/>
          <w:iCs/>
          <w:lang w:val="en-US"/>
        </w:rPr>
        <w:t>Pkdcc</w:t>
      </w:r>
      <w:proofErr w:type="spellEnd"/>
      <w:r w:rsidRPr="00513F0F">
        <w:rPr>
          <w:b/>
          <w:bCs/>
          <w:i/>
          <w:iCs/>
          <w:vertAlign w:val="superscript"/>
          <w:lang w:val="en-US"/>
        </w:rPr>
        <w:t>-/-</w:t>
      </w:r>
      <w:r w:rsidRPr="00513F0F">
        <w:rPr>
          <w:b/>
          <w:bCs/>
          <w:lang w:val="en-US"/>
        </w:rPr>
        <w:t xml:space="preserve"> mice</w:t>
      </w:r>
      <w:r>
        <w:rPr>
          <w:b/>
          <w:bCs/>
          <w:lang w:val="en-US"/>
        </w:rPr>
        <w:t xml:space="preserve">. </w:t>
      </w:r>
      <w:r w:rsidRPr="00513F0F">
        <w:rPr>
          <w:lang w:val="en-US"/>
        </w:rPr>
        <w:t xml:space="preserve">Thresholds for selection of differentially abundant peptides: raw p-value: 0.05, fold change: 1.5. Shown is the peptide sequence of </w:t>
      </w:r>
      <w:proofErr w:type="spellStart"/>
      <w:r w:rsidRPr="00513F0F">
        <w:rPr>
          <w:lang w:val="en-US"/>
        </w:rPr>
        <w:t>fibrinopeptide</w:t>
      </w:r>
      <w:proofErr w:type="spellEnd"/>
      <w:r w:rsidRPr="00513F0F">
        <w:rPr>
          <w:lang w:val="en-US"/>
        </w:rPr>
        <w:t xml:space="preserve"> B with tyrosine phosphorylation site and lower abundance in samples from </w:t>
      </w:r>
      <w:proofErr w:type="spellStart"/>
      <w:r w:rsidRPr="00513F0F">
        <w:rPr>
          <w:i/>
          <w:iCs/>
          <w:lang w:val="en-US"/>
        </w:rPr>
        <w:t>Pkdcc</w:t>
      </w:r>
      <w:proofErr w:type="spellEnd"/>
      <w:r w:rsidRPr="00513F0F">
        <w:rPr>
          <w:vertAlign w:val="superscript"/>
          <w:lang w:val="en-US"/>
        </w:rPr>
        <w:t>-/-</w:t>
      </w:r>
      <w:r w:rsidRPr="00513F0F">
        <w:rPr>
          <w:lang w:val="en-US"/>
        </w:rPr>
        <w:t xml:space="preserve"> </w:t>
      </w:r>
      <w:r w:rsidRPr="00513F0F">
        <w:rPr>
          <w:i/>
          <w:iCs/>
          <w:lang w:val="en-US"/>
        </w:rPr>
        <w:t>vs.</w:t>
      </w:r>
      <w:r w:rsidRPr="00513F0F">
        <w:rPr>
          <w:lang w:val="en-US"/>
        </w:rPr>
        <w:t xml:space="preserve"> CTRL mice.</w:t>
      </w:r>
    </w:p>
    <w:p w:rsidR="006130BE" w:rsidRDefault="006130BE"/>
    <w:sectPr w:rsidR="00613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BC"/>
    <w:rsid w:val="00053DDE"/>
    <w:rsid w:val="00103331"/>
    <w:rsid w:val="00180389"/>
    <w:rsid w:val="001C0FCB"/>
    <w:rsid w:val="003C577B"/>
    <w:rsid w:val="00416C2E"/>
    <w:rsid w:val="005E2CBC"/>
    <w:rsid w:val="00601DA5"/>
    <w:rsid w:val="006130BE"/>
    <w:rsid w:val="0089699F"/>
    <w:rsid w:val="0095340A"/>
    <w:rsid w:val="009C65CE"/>
    <w:rsid w:val="00D21622"/>
    <w:rsid w:val="00E84B3C"/>
    <w:rsid w:val="00EE69A1"/>
    <w:rsid w:val="00F6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66E512-AAF5-4785-94D2-F3EC553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1</cp:revision>
  <dcterms:created xsi:type="dcterms:W3CDTF">2023-02-28T09:42:00Z</dcterms:created>
  <dcterms:modified xsi:type="dcterms:W3CDTF">2023-02-28T09:49:00Z</dcterms:modified>
</cp:coreProperties>
</file>