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4B5DC6" w14:textId="09AC3FAD" w:rsidR="00C028BA" w:rsidRPr="00C028BA" w:rsidRDefault="00C028BA" w:rsidP="00DA135B">
      <w:pPr>
        <w:spacing w:line="480" w:lineRule="auto"/>
        <w:rPr>
          <w:bCs/>
          <w:i/>
          <w:iCs/>
          <w:lang w:val="en-GB"/>
        </w:rPr>
      </w:pPr>
      <w:r w:rsidRPr="00C028BA">
        <w:rPr>
          <w:bCs/>
          <w:i/>
          <w:iCs/>
          <w:lang w:val="en-GB"/>
        </w:rPr>
        <w:t>Cellular and Molecular Life Sciences</w:t>
      </w:r>
    </w:p>
    <w:p w14:paraId="7AD7AE79" w14:textId="5E8B430F" w:rsidR="00C028BA" w:rsidRPr="00C028BA" w:rsidRDefault="00175530" w:rsidP="00DA135B">
      <w:pPr>
        <w:spacing w:line="480" w:lineRule="auto"/>
        <w:rPr>
          <w:bCs/>
          <w:lang w:val="en-GB"/>
        </w:rPr>
      </w:pPr>
      <w:r>
        <w:rPr>
          <w:b/>
          <w:color w:val="000000" w:themeColor="text1"/>
          <w:lang w:val="en-GB"/>
        </w:rPr>
        <w:t>Analysis of local e</w:t>
      </w:r>
      <w:r w:rsidR="00C028BA" w:rsidRPr="00FC3558">
        <w:rPr>
          <w:b/>
          <w:color w:val="000000" w:themeColor="text1"/>
          <w:lang w:val="en-GB"/>
        </w:rPr>
        <w:t xml:space="preserve">xtracellular matrix identifies different </w:t>
      </w:r>
      <w:r w:rsidR="000C07BD">
        <w:rPr>
          <w:b/>
          <w:color w:val="000000" w:themeColor="text1"/>
          <w:lang w:val="en-GB"/>
        </w:rPr>
        <w:t>a</w:t>
      </w:r>
      <w:r w:rsidR="00C028BA" w:rsidRPr="00FC3558">
        <w:rPr>
          <w:b/>
          <w:color w:val="000000" w:themeColor="text1"/>
          <w:lang w:val="en-GB"/>
        </w:rPr>
        <w:t>etiologies behind bicuspid and tricuspid aortic valve degeneration</w:t>
      </w:r>
      <w:r w:rsidR="00C028BA">
        <w:rPr>
          <w:b/>
          <w:color w:val="000000" w:themeColor="text1"/>
          <w:lang w:val="en-GB"/>
        </w:rPr>
        <w:t xml:space="preserve"> and suggests therapies</w:t>
      </w:r>
    </w:p>
    <w:p w14:paraId="0F2040F2" w14:textId="70BB6CD9" w:rsidR="00C028BA" w:rsidRPr="00FC3558" w:rsidRDefault="00C028BA" w:rsidP="00C028BA">
      <w:pPr>
        <w:spacing w:line="480" w:lineRule="auto"/>
        <w:rPr>
          <w:color w:val="000000" w:themeColor="text1"/>
          <w:lang w:val="en-GB"/>
        </w:rPr>
      </w:pPr>
      <w:r w:rsidRPr="00FC3558">
        <w:rPr>
          <w:color w:val="000000" w:themeColor="text1"/>
          <w:lang w:val="en-GB"/>
        </w:rPr>
        <w:t xml:space="preserve">Christian M. </w:t>
      </w:r>
      <w:proofErr w:type="spellStart"/>
      <w:r w:rsidRPr="00FC3558">
        <w:rPr>
          <w:color w:val="000000" w:themeColor="text1"/>
          <w:lang w:val="en-GB"/>
        </w:rPr>
        <w:t>Beusch</w:t>
      </w:r>
      <w:proofErr w:type="spellEnd"/>
      <w:r w:rsidRPr="00FC3558">
        <w:rPr>
          <w:color w:val="000000" w:themeColor="text1"/>
          <w:lang w:val="en-GB"/>
        </w:rPr>
        <w:t xml:space="preserve">*, Oscar E. Simonson*, Johan O. </w:t>
      </w:r>
      <w:proofErr w:type="spellStart"/>
      <w:r w:rsidRPr="00FC3558">
        <w:rPr>
          <w:color w:val="000000" w:themeColor="text1"/>
          <w:lang w:val="en-GB"/>
        </w:rPr>
        <w:t>Wedin</w:t>
      </w:r>
      <w:proofErr w:type="spellEnd"/>
      <w:r w:rsidRPr="00FC3558">
        <w:rPr>
          <w:color w:val="000000" w:themeColor="text1"/>
          <w:lang w:val="en-GB"/>
        </w:rPr>
        <w:t xml:space="preserve">, Pierre Sabatier, Ulrika </w:t>
      </w:r>
      <w:proofErr w:type="spellStart"/>
      <w:r w:rsidRPr="00FC3558">
        <w:rPr>
          <w:color w:val="000000" w:themeColor="text1"/>
          <w:lang w:val="en-GB"/>
        </w:rPr>
        <w:t>Felldin</w:t>
      </w:r>
      <w:proofErr w:type="spellEnd"/>
      <w:r w:rsidRPr="00FC3558">
        <w:rPr>
          <w:color w:val="000000" w:themeColor="text1"/>
          <w:lang w:val="en-GB"/>
        </w:rPr>
        <w:t xml:space="preserve">, Sandeep </w:t>
      </w:r>
      <w:proofErr w:type="spellStart"/>
      <w:r w:rsidRPr="00FC3558">
        <w:rPr>
          <w:color w:val="000000" w:themeColor="text1"/>
          <w:lang w:val="en-GB"/>
        </w:rPr>
        <w:t>Kadekar</w:t>
      </w:r>
      <w:proofErr w:type="spellEnd"/>
      <w:r w:rsidRPr="00FC3558">
        <w:rPr>
          <w:color w:val="000000" w:themeColor="text1"/>
          <w:lang w:val="en-GB"/>
        </w:rPr>
        <w:t xml:space="preserve">, </w:t>
      </w:r>
      <w:r w:rsidRPr="00F00CBB">
        <w:rPr>
          <w:color w:val="000000" w:themeColor="text1"/>
          <w:lang w:val="en-GB"/>
        </w:rPr>
        <w:t xml:space="preserve">Cecilia </w:t>
      </w:r>
      <w:proofErr w:type="spellStart"/>
      <w:r w:rsidRPr="00F00CBB">
        <w:rPr>
          <w:color w:val="000000" w:themeColor="text1"/>
          <w:lang w:val="en-GB"/>
        </w:rPr>
        <w:t>Österholm</w:t>
      </w:r>
      <w:proofErr w:type="spellEnd"/>
      <w:r>
        <w:rPr>
          <w:color w:val="000000" w:themeColor="text1"/>
          <w:lang w:val="en-GB"/>
        </w:rPr>
        <w:t xml:space="preserve">, </w:t>
      </w:r>
      <w:proofErr w:type="spellStart"/>
      <w:r w:rsidRPr="00FC3558">
        <w:rPr>
          <w:color w:val="000000" w:themeColor="text1"/>
          <w:lang w:val="en-GB"/>
        </w:rPr>
        <w:t>Ákos</w:t>
      </w:r>
      <w:proofErr w:type="spellEnd"/>
      <w:r w:rsidRPr="00FC3558">
        <w:rPr>
          <w:color w:val="000000" w:themeColor="text1"/>
          <w:lang w:val="en-GB"/>
        </w:rPr>
        <w:t xml:space="preserve"> </w:t>
      </w:r>
      <w:proofErr w:type="spellStart"/>
      <w:r w:rsidRPr="00FC3558">
        <w:rPr>
          <w:color w:val="000000" w:themeColor="text1"/>
          <w:lang w:val="en-GB"/>
        </w:rPr>
        <w:t>Végvári</w:t>
      </w:r>
      <w:proofErr w:type="spellEnd"/>
      <w:r w:rsidRPr="00FC3558">
        <w:rPr>
          <w:color w:val="000000" w:themeColor="text1"/>
          <w:lang w:val="en-GB"/>
        </w:rPr>
        <w:t xml:space="preserve">, Roman A. Zubarev, Karin </w:t>
      </w:r>
      <w:proofErr w:type="spellStart"/>
      <w:r w:rsidRPr="00FC3558">
        <w:rPr>
          <w:color w:val="000000" w:themeColor="text1"/>
          <w:lang w:val="en-GB"/>
        </w:rPr>
        <w:t>Fromell</w:t>
      </w:r>
      <w:proofErr w:type="spellEnd"/>
      <w:r w:rsidRPr="00FC3558">
        <w:rPr>
          <w:color w:val="000000" w:themeColor="text1"/>
          <w:lang w:val="en-GB"/>
        </w:rPr>
        <w:t xml:space="preserve">, Bo </w:t>
      </w:r>
      <w:proofErr w:type="spellStart"/>
      <w:r w:rsidRPr="00FC3558">
        <w:rPr>
          <w:color w:val="000000" w:themeColor="text1"/>
          <w:lang w:val="en-GB"/>
        </w:rPr>
        <w:t>Nilson</w:t>
      </w:r>
      <w:proofErr w:type="spellEnd"/>
      <w:r w:rsidRPr="00FC3558">
        <w:rPr>
          <w:color w:val="000000" w:themeColor="text1"/>
          <w:lang w:val="en-GB"/>
        </w:rPr>
        <w:t xml:space="preserve">, Stefan James, Elisabeth </w:t>
      </w:r>
      <w:proofErr w:type="spellStart"/>
      <w:r w:rsidRPr="00FC3558">
        <w:rPr>
          <w:color w:val="000000" w:themeColor="text1"/>
          <w:lang w:val="en-GB"/>
        </w:rPr>
        <w:t>Ståhle</w:t>
      </w:r>
      <w:proofErr w:type="spellEnd"/>
      <w:r w:rsidRPr="00FC3558">
        <w:rPr>
          <w:color w:val="000000" w:themeColor="text1"/>
          <w:lang w:val="en-GB"/>
        </w:rPr>
        <w:t xml:space="preserve">, Karl-Henrik </w:t>
      </w:r>
      <w:proofErr w:type="spellStart"/>
      <w:r w:rsidRPr="00FC3558">
        <w:rPr>
          <w:color w:val="000000" w:themeColor="text1"/>
          <w:lang w:val="en-GB"/>
        </w:rPr>
        <w:t>Grinnemo</w:t>
      </w:r>
      <w:proofErr w:type="spellEnd"/>
      <w:r w:rsidRPr="00FC3558">
        <w:rPr>
          <w:color w:val="000000" w:themeColor="text1"/>
          <w:lang w:val="en-GB"/>
        </w:rPr>
        <w:t>*, Sergey Rodin*†</w:t>
      </w:r>
    </w:p>
    <w:p w14:paraId="6368474F" w14:textId="77777777" w:rsidR="00C028BA" w:rsidRPr="00FC3558" w:rsidRDefault="00C028BA" w:rsidP="00C028BA">
      <w:pPr>
        <w:spacing w:line="480" w:lineRule="auto"/>
        <w:rPr>
          <w:color w:val="000000" w:themeColor="text1"/>
          <w:lang w:val="en-GB"/>
        </w:rPr>
      </w:pPr>
      <w:r w:rsidRPr="00FC3558">
        <w:rPr>
          <w:color w:val="000000" w:themeColor="text1"/>
          <w:lang w:val="en-GB"/>
        </w:rPr>
        <w:t>*Contributed equally</w:t>
      </w:r>
      <w:r w:rsidRPr="00FC3558">
        <w:rPr>
          <w:color w:val="000000" w:themeColor="text1"/>
          <w:lang w:val="en-GB"/>
        </w:rPr>
        <w:br/>
      </w:r>
    </w:p>
    <w:p w14:paraId="7C7FC460" w14:textId="77777777" w:rsidR="00C028BA" w:rsidRPr="00FC3558" w:rsidRDefault="00C028BA" w:rsidP="00C028BA">
      <w:pPr>
        <w:spacing w:line="480" w:lineRule="auto"/>
        <w:rPr>
          <w:color w:val="000000" w:themeColor="text1"/>
          <w:lang w:val="en-GB"/>
        </w:rPr>
      </w:pPr>
      <w:r w:rsidRPr="00FC3558">
        <w:rPr>
          <w:color w:val="000000" w:themeColor="text1"/>
          <w:lang w:val="en-GB"/>
        </w:rPr>
        <w:t>†</w:t>
      </w:r>
      <w:r w:rsidRPr="00FC3558">
        <w:rPr>
          <w:b/>
          <w:color w:val="000000" w:themeColor="text1"/>
          <w:lang w:val="en-GB"/>
        </w:rPr>
        <w:t>To whom correspondence should be addressed:</w:t>
      </w:r>
    </w:p>
    <w:p w14:paraId="4C9D929E" w14:textId="77777777" w:rsidR="00C028BA" w:rsidRPr="00FC3558" w:rsidRDefault="00C028BA" w:rsidP="00C028BA">
      <w:pPr>
        <w:spacing w:line="480" w:lineRule="auto"/>
        <w:rPr>
          <w:color w:val="000000" w:themeColor="text1"/>
          <w:lang w:val="en-GB"/>
        </w:rPr>
      </w:pPr>
      <w:r w:rsidRPr="00FC3558">
        <w:rPr>
          <w:color w:val="000000" w:themeColor="text1"/>
          <w:lang w:val="en-GB"/>
        </w:rPr>
        <w:t>Sergey Rodin, associate professor</w:t>
      </w:r>
      <w:r w:rsidRPr="00FC3558">
        <w:rPr>
          <w:color w:val="000000" w:themeColor="text1"/>
          <w:lang w:val="en-GB"/>
        </w:rPr>
        <w:br/>
        <w:t>Department of Surgical Sciences</w:t>
      </w:r>
      <w:r w:rsidRPr="00FC3558">
        <w:rPr>
          <w:color w:val="000000" w:themeColor="text1"/>
          <w:lang w:val="en-GB"/>
        </w:rPr>
        <w:br/>
        <w:t>Uppsala University</w:t>
      </w:r>
      <w:r w:rsidRPr="00FC3558">
        <w:rPr>
          <w:color w:val="000000" w:themeColor="text1"/>
          <w:lang w:val="en-GB"/>
        </w:rPr>
        <w:br/>
        <w:t>752 37 Uppsala, Sweden</w:t>
      </w:r>
      <w:r w:rsidRPr="00FC3558">
        <w:rPr>
          <w:color w:val="000000" w:themeColor="text1"/>
          <w:lang w:val="en-GB"/>
        </w:rPr>
        <w:br/>
        <w:t>E-mail address:</w:t>
      </w:r>
      <w:r>
        <w:rPr>
          <w:color w:val="000000" w:themeColor="text1"/>
          <w:lang w:val="en-GB"/>
        </w:rPr>
        <w:t xml:space="preserve"> </w:t>
      </w:r>
      <w:r w:rsidRPr="00EE34EB">
        <w:rPr>
          <w:color w:val="000000" w:themeColor="text1"/>
          <w:lang w:val="en-GB"/>
        </w:rPr>
        <w:t>sergey.rodin@surgsci.uu.se</w:t>
      </w:r>
    </w:p>
    <w:p w14:paraId="2825777C" w14:textId="77777777" w:rsidR="00C028BA" w:rsidRPr="00C028BA" w:rsidRDefault="00C028BA" w:rsidP="00DA135B">
      <w:pPr>
        <w:spacing w:line="480" w:lineRule="auto"/>
        <w:rPr>
          <w:bCs/>
          <w:lang w:val="en-GB"/>
        </w:rPr>
      </w:pPr>
    </w:p>
    <w:p w14:paraId="7577B1AE" w14:textId="77777777" w:rsidR="00C028BA" w:rsidRPr="00C028BA" w:rsidRDefault="00C028BA" w:rsidP="00DA135B">
      <w:pPr>
        <w:spacing w:line="480" w:lineRule="auto"/>
        <w:rPr>
          <w:bCs/>
          <w:lang w:val="en-GB"/>
        </w:rPr>
      </w:pPr>
    </w:p>
    <w:p w14:paraId="4F8112BB" w14:textId="7D5D0AE3" w:rsidR="002F5617" w:rsidRDefault="00F8080B" w:rsidP="00DA135B">
      <w:pPr>
        <w:spacing w:line="480" w:lineRule="auto"/>
        <w:rPr>
          <w:b/>
          <w:lang w:val="en-GB"/>
        </w:rPr>
      </w:pPr>
      <w:r w:rsidRPr="002E6F94">
        <w:rPr>
          <w:b/>
          <w:lang w:val="en-GB"/>
        </w:rPr>
        <w:t>SUPPLEMENTA</w:t>
      </w:r>
      <w:r w:rsidR="00C028BA">
        <w:rPr>
          <w:b/>
          <w:lang w:val="en-GB"/>
        </w:rPr>
        <w:t>RY</w:t>
      </w:r>
      <w:r w:rsidRPr="002E6F94">
        <w:rPr>
          <w:b/>
          <w:lang w:val="en-GB"/>
        </w:rPr>
        <w:t xml:space="preserve"> </w:t>
      </w:r>
      <w:r w:rsidR="002F5617" w:rsidRPr="002E6F94">
        <w:rPr>
          <w:b/>
          <w:lang w:val="en-GB"/>
        </w:rPr>
        <w:t>MATERIAL METHODS</w:t>
      </w:r>
      <w:r w:rsidR="00C028BA">
        <w:rPr>
          <w:b/>
          <w:lang w:val="en-GB"/>
        </w:rPr>
        <w:t xml:space="preserve"> AND</w:t>
      </w:r>
      <w:r w:rsidR="000F41F0">
        <w:rPr>
          <w:b/>
          <w:lang w:val="en-GB"/>
        </w:rPr>
        <w:t xml:space="preserve"> FIGURES</w:t>
      </w:r>
    </w:p>
    <w:p w14:paraId="7EA2425D" w14:textId="381FFE30" w:rsidR="000F41F0" w:rsidRDefault="000F41F0" w:rsidP="00DA135B">
      <w:pPr>
        <w:spacing w:line="480" w:lineRule="auto"/>
        <w:rPr>
          <w:b/>
          <w:lang w:val="en-GB"/>
        </w:rPr>
      </w:pPr>
    </w:p>
    <w:p w14:paraId="3E674D88" w14:textId="09542305" w:rsidR="000F41F0" w:rsidRPr="002E6F94" w:rsidRDefault="00064E72" w:rsidP="00DA135B">
      <w:pPr>
        <w:spacing w:line="480" w:lineRule="auto"/>
        <w:rPr>
          <w:b/>
          <w:lang w:val="en-GB"/>
        </w:rPr>
      </w:pPr>
      <w:r w:rsidRPr="002E6F94">
        <w:rPr>
          <w:b/>
          <w:lang w:val="en-GB"/>
        </w:rPr>
        <w:t>SUPPLEMENTA</w:t>
      </w:r>
      <w:r w:rsidR="00C028BA">
        <w:rPr>
          <w:b/>
          <w:lang w:val="en-US"/>
        </w:rPr>
        <w:t>RY</w:t>
      </w:r>
      <w:r w:rsidRPr="002E6F94">
        <w:rPr>
          <w:b/>
          <w:lang w:val="en-GB"/>
        </w:rPr>
        <w:t xml:space="preserve"> </w:t>
      </w:r>
      <w:r w:rsidR="000F41F0" w:rsidRPr="002E6F94">
        <w:rPr>
          <w:b/>
          <w:lang w:val="en-GB"/>
        </w:rPr>
        <w:t>METHODS</w:t>
      </w:r>
    </w:p>
    <w:p w14:paraId="4E76137A" w14:textId="77777777" w:rsidR="002F5617" w:rsidRPr="002E6F94" w:rsidRDefault="002F5617" w:rsidP="00DA135B">
      <w:pPr>
        <w:spacing w:line="480" w:lineRule="auto"/>
        <w:rPr>
          <w:lang w:val="en-GB"/>
        </w:rPr>
      </w:pPr>
      <w:r w:rsidRPr="002E6F94">
        <w:rPr>
          <w:b/>
          <w:lang w:val="en-GB"/>
        </w:rPr>
        <w:t xml:space="preserve">Enrichment of ECM Fractions in the Aortic Valve Samples </w:t>
      </w:r>
    </w:p>
    <w:p w14:paraId="22D60078" w14:textId="43AF7305" w:rsidR="002F5617" w:rsidRPr="002E6F94" w:rsidRDefault="002F5617" w:rsidP="00DA135B">
      <w:pPr>
        <w:spacing w:line="480" w:lineRule="auto"/>
        <w:ind w:firstLine="720"/>
        <w:rPr>
          <w:lang w:val="en-GB"/>
        </w:rPr>
      </w:pPr>
      <w:r w:rsidRPr="002E6F94">
        <w:rPr>
          <w:lang w:val="en-GB"/>
        </w:rPr>
        <w:t xml:space="preserve">Frozen valve tissue samples stored in </w:t>
      </w:r>
      <w:proofErr w:type="spellStart"/>
      <w:r w:rsidRPr="002E6F94">
        <w:rPr>
          <w:lang w:val="en-GB"/>
        </w:rPr>
        <w:t>Allprotect</w:t>
      </w:r>
      <w:proofErr w:type="spellEnd"/>
      <w:r w:rsidRPr="002E6F94">
        <w:rPr>
          <w:lang w:val="en-GB"/>
        </w:rPr>
        <w:t xml:space="preserve"> Tissue Reagent (Qiagen, US) were slowly thawed on ice, washed three times with ice cold PBS. Excessive liquid was removed by blotting the samples on </w:t>
      </w:r>
      <w:proofErr w:type="spellStart"/>
      <w:r w:rsidRPr="002E6F94">
        <w:rPr>
          <w:lang w:val="en-GB"/>
        </w:rPr>
        <w:t>Kimtech</w:t>
      </w:r>
      <w:proofErr w:type="spellEnd"/>
      <w:r w:rsidRPr="002E6F94">
        <w:rPr>
          <w:lang w:val="en-GB"/>
        </w:rPr>
        <w:t xml:space="preserve"> Science precision wipes (Merck, Germany) after which, the samples were cut into small pieces and weighed. Approximately 20-50 mg of a sample was used for the enrichment of the ECM fraction, following the manufacturers’ instructions of the Compartment Protein Extraction Kit (Merck, Germany)</w:t>
      </w:r>
      <w:r w:rsidRPr="002E6F94">
        <w:rPr>
          <w:lang w:val="en-GB"/>
        </w:rPr>
        <w:fldChar w:fldCharType="begin" w:fldLock="1"/>
      </w:r>
      <w:r w:rsidR="00C028BA">
        <w:rPr>
          <w:lang w:val="en-GB"/>
        </w:rPr>
        <w:instrText>ADDIN CSL_CITATION {"citationItems":[{"id":"ITEM-1","itemData":{"DOI":"10.3791/53057","ISSN":"1940087X","PMID":"26273955","abstract":"The extracellular matrix (ECM) is a complex meshwork of cross-linked proteins that provides biophysical and biochemical cues that are majorregulators of cell proliferation, survival, migration, etc. The ECM plays important roles in development and in diverse pathologies includingcardio-vascular and musculo-skeletal diseases, fibrosis, and cancer. Thus, characterizing the composition of ECMs of normal and diseasedtissues could lead to the identification of novel prognostic and diagnostic biomarkers and potential novel therapeutic targets. However, thevery nature of ECM proteins (large in size, cross-linked and covalently bound, heavily glycosylated) has rendered biochemical analyses ofECMs challenging. To overcome this challenge, we developed a method to enrich ECMs from fresh or frozen tissues and tumors that takesadvantage of the insolubility of ECM proteins. We describe here in detail the decellularization procedure that consists of sequential incubationsin buffers of different pH and salt and detergent concentrations and that results in 1) the extraction of intracellular (cytosolic, nuclear, membraneand cytoskeletal) proteins and 2) the enrichment of ECM proteins. We then describe how to deglycosylate and digest ECM-enriched proteinpreparations into peptides for subsequent analysis by mass spectrometry.","author":[{"dropping-particle":"","family":"Naba","given":"Alexandra","non-dropping-particle":"","parse-names":false,"suffix":""},{"dropping-particle":"","family":"Clauser","given":"Karl R.","non-dropping-particle":"","parse-names":false,"suffix":""},{"dropping-particle":"","family":"Hynes","given":"Richard O.","non-dropping-particle":"","parse-names":false,"suffix":""}],"container-title":"Journal of Visualized Experiments","id":"ITEM-1","issue":"101","issued":{"date-parts":[["2015","7","23"]]},"page":"e53057","publisher":"Journal of Visualized Experiments","title":"Enrichment of extracellular matrix proteins from tissues and digestion into peptides for mass spectrometry analysis","type":"article-journal","volume":"2015"},"uris":["http://www.mendeley.com/documents/?uuid=78ecdd8b-da14-3e5d-b88c-8badbc789b11"]}],"mendeley":{"formattedCitation":"[1]","plainTextFormattedCitation":"[1]","previouslyFormattedCitation":"(1)"},"properties":{"noteIndex":0},"schema":"https://github.com/citation-style-language/schema/raw/master/csl-citation.json"}</w:instrText>
      </w:r>
      <w:r w:rsidRPr="002E6F94">
        <w:rPr>
          <w:lang w:val="en-GB"/>
        </w:rPr>
        <w:fldChar w:fldCharType="separate"/>
      </w:r>
      <w:r w:rsidR="00C028BA" w:rsidRPr="00C028BA">
        <w:rPr>
          <w:noProof/>
          <w:lang w:val="en-GB"/>
        </w:rPr>
        <w:t>[1]</w:t>
      </w:r>
      <w:r w:rsidRPr="002E6F94">
        <w:rPr>
          <w:lang w:val="en-GB"/>
        </w:rPr>
        <w:fldChar w:fldCharType="end"/>
      </w:r>
      <w:r w:rsidRPr="002E6F94">
        <w:rPr>
          <w:lang w:val="en-GB"/>
        </w:rPr>
        <w:t xml:space="preserve">, which includes the </w:t>
      </w:r>
      <w:proofErr w:type="spellStart"/>
      <w:r w:rsidRPr="002E6F94">
        <w:rPr>
          <w:lang w:val="en-GB"/>
        </w:rPr>
        <w:lastRenderedPageBreak/>
        <w:t>deglycosylation</w:t>
      </w:r>
      <w:proofErr w:type="spellEnd"/>
      <w:r w:rsidRPr="002E6F94">
        <w:rPr>
          <w:lang w:val="en-GB"/>
        </w:rPr>
        <w:t xml:space="preserve"> step. The enrichment for one patient (patient number 79) was performed twice (samples 79 and 79re) to additionally test the reproducibility of the method (</w:t>
      </w:r>
      <w:r w:rsidR="00064E72" w:rsidRPr="00A90167">
        <w:rPr>
          <w:color w:val="000000" w:themeColor="text1"/>
          <w:lang w:val="en-GB"/>
        </w:rPr>
        <w:t>Supplementa</w:t>
      </w:r>
      <w:r w:rsidR="00C028BA">
        <w:rPr>
          <w:color w:val="000000" w:themeColor="text1"/>
          <w:lang w:val="en-GB"/>
        </w:rPr>
        <w:t>ry</w:t>
      </w:r>
      <w:r w:rsidR="00064E72" w:rsidRPr="00A90167">
        <w:rPr>
          <w:color w:val="000000" w:themeColor="text1"/>
          <w:lang w:val="en-GB"/>
        </w:rPr>
        <w:t xml:space="preserve"> </w:t>
      </w:r>
      <w:r w:rsidRPr="002E6F94">
        <w:rPr>
          <w:lang w:val="en-GB"/>
        </w:rPr>
        <w:t>Fig</w:t>
      </w:r>
      <w:r w:rsidR="00064E72">
        <w:rPr>
          <w:lang w:val="en-GB"/>
        </w:rPr>
        <w:t>ure</w:t>
      </w:r>
      <w:r w:rsidR="00064E72" w:rsidRPr="002E6F94">
        <w:rPr>
          <w:lang w:val="en-GB"/>
        </w:rPr>
        <w:t xml:space="preserve"> </w:t>
      </w:r>
      <w:r w:rsidR="00D24BAE">
        <w:rPr>
          <w:lang w:val="en-GB"/>
        </w:rPr>
        <w:t>10</w:t>
      </w:r>
      <w:r w:rsidRPr="002E6F94">
        <w:rPr>
          <w:lang w:val="en-GB"/>
        </w:rPr>
        <w:t xml:space="preserve">).   </w:t>
      </w:r>
    </w:p>
    <w:p w14:paraId="06DCCA92" w14:textId="77777777" w:rsidR="002F5617" w:rsidRPr="002E6F94" w:rsidRDefault="002F5617" w:rsidP="00DA135B">
      <w:pPr>
        <w:spacing w:line="480" w:lineRule="auto"/>
        <w:rPr>
          <w:lang w:val="en-GB"/>
        </w:rPr>
      </w:pPr>
    </w:p>
    <w:p w14:paraId="5F5407BF" w14:textId="77777777" w:rsidR="002F5617" w:rsidRPr="002E6F94" w:rsidRDefault="002F5617" w:rsidP="00DA135B">
      <w:pPr>
        <w:spacing w:line="480" w:lineRule="auto"/>
        <w:rPr>
          <w:bCs/>
          <w:lang w:val="en-GB"/>
        </w:rPr>
      </w:pPr>
      <w:r w:rsidRPr="002E6F94">
        <w:rPr>
          <w:b/>
          <w:bCs/>
          <w:lang w:val="en-GB"/>
        </w:rPr>
        <w:t xml:space="preserve">Proteolytic Digestion on S-Trap Plate </w:t>
      </w:r>
    </w:p>
    <w:p w14:paraId="3F7FB15E" w14:textId="3FF8D981" w:rsidR="002F5617" w:rsidRPr="002E6F94" w:rsidRDefault="002F5617" w:rsidP="00DA135B">
      <w:pPr>
        <w:spacing w:line="480" w:lineRule="auto"/>
        <w:ind w:firstLine="720"/>
        <w:rPr>
          <w:lang w:val="en-GB"/>
        </w:rPr>
      </w:pPr>
      <w:r w:rsidRPr="002E6F94">
        <w:rPr>
          <w:lang w:val="en-GB"/>
        </w:rPr>
        <w:t>The ECM fraction samples were vortexed vigorously for 4-5 s and pipetted quickly up and down several times before shaking on a Vortex Genie disruptor at maximum speed (2850 rpm) for 5 min. An aliquot of 250 µL of each sample, corresponding to ca. 1 mm protein pellet as defined in manufacturer’s instruction to Compartment Protein Extraction Kit (Merck, Germany), was transferred to a 15 mL tube and supplemented with 50 µL solubilization buffer (20% SDS in 50 mM triethylammonium bicarbonate (TEAB), pH 7.55), 3 µL of cc. phosphoric acid and 2121 µL of binding buffer (100 mM TEAB in 90% methanol, pH 7.1) according to the manufacturer’s instructions (</w:t>
      </w:r>
      <w:proofErr w:type="spellStart"/>
      <w:r w:rsidRPr="002E6F94">
        <w:rPr>
          <w:lang w:val="en-GB"/>
        </w:rPr>
        <w:t>Protifi</w:t>
      </w:r>
      <w:proofErr w:type="spellEnd"/>
      <w:r w:rsidRPr="002E6F94">
        <w:rPr>
          <w:lang w:val="en-GB"/>
        </w:rPr>
        <w:t xml:space="preserve">, </w:t>
      </w:r>
      <w:proofErr w:type="spellStart"/>
      <w:r w:rsidRPr="002E6F94">
        <w:rPr>
          <w:lang w:val="en-GB"/>
        </w:rPr>
        <w:t>Hungtington</w:t>
      </w:r>
      <w:proofErr w:type="spellEnd"/>
      <w:r w:rsidRPr="002E6F94">
        <w:rPr>
          <w:lang w:val="en-GB"/>
        </w:rPr>
        <w:t xml:space="preserve"> NY) with brief </w:t>
      </w:r>
      <w:proofErr w:type="spellStart"/>
      <w:r w:rsidRPr="002E6F94">
        <w:rPr>
          <w:lang w:val="en-GB"/>
        </w:rPr>
        <w:t>vortexing</w:t>
      </w:r>
      <w:proofErr w:type="spellEnd"/>
      <w:r w:rsidRPr="002E6F94">
        <w:rPr>
          <w:lang w:val="en-GB"/>
        </w:rPr>
        <w:t xml:space="preserve"> between each step. The whole sample volumes were loaded in 400 µL aliquots onto an S-Trap plate (</w:t>
      </w:r>
      <w:proofErr w:type="spellStart"/>
      <w:r w:rsidRPr="002E6F94">
        <w:rPr>
          <w:lang w:val="en-GB"/>
        </w:rPr>
        <w:t>Protifi</w:t>
      </w:r>
      <w:proofErr w:type="spellEnd"/>
      <w:r w:rsidRPr="002E6F94">
        <w:rPr>
          <w:lang w:val="en-GB"/>
        </w:rPr>
        <w:t xml:space="preserve">, </w:t>
      </w:r>
      <w:proofErr w:type="spellStart"/>
      <w:r w:rsidRPr="002E6F94">
        <w:rPr>
          <w:lang w:val="en-GB"/>
        </w:rPr>
        <w:t>Hungtington</w:t>
      </w:r>
      <w:proofErr w:type="spellEnd"/>
      <w:r w:rsidRPr="002E6F94">
        <w:rPr>
          <w:lang w:val="en-GB"/>
        </w:rPr>
        <w:t xml:space="preserve"> NY), spun down at 1500 </w:t>
      </w:r>
      <w:r w:rsidRPr="002E6F94">
        <w:rPr>
          <w:i/>
          <w:iCs/>
          <w:lang w:val="en-GB"/>
        </w:rPr>
        <w:t>g</w:t>
      </w:r>
      <w:r w:rsidRPr="002E6F94">
        <w:rPr>
          <w:lang w:val="en-GB"/>
        </w:rPr>
        <w:t xml:space="preserve"> for 2 min stepwise, followed by washing with 200 µL of binding buffer three times</w:t>
      </w:r>
      <w:r w:rsidR="00BB023F" w:rsidRPr="002E6F94">
        <w:rPr>
          <w:lang w:val="en-GB"/>
        </w:rPr>
        <w:t>.</w:t>
      </w:r>
    </w:p>
    <w:p w14:paraId="20C43AD1" w14:textId="77777777" w:rsidR="002F5617" w:rsidRPr="002E6F94" w:rsidRDefault="002F5617" w:rsidP="00DA135B">
      <w:pPr>
        <w:spacing w:line="480" w:lineRule="auto"/>
        <w:ind w:firstLine="720"/>
        <w:rPr>
          <w:lang w:val="en-GB"/>
        </w:rPr>
      </w:pPr>
      <w:r w:rsidRPr="002E6F94">
        <w:rPr>
          <w:lang w:val="en-GB"/>
        </w:rPr>
        <w:t xml:space="preserve">Proteolytic digestion was performed by adding 125 µL of 0.1 µg/µL trypsin (sequencing grade, Promega) in 50 mM TEAB incubated at 47°C for 1.5 h. The derived peptides were eluted consecutively applying 80 µL of 50 mM TEAB; 80 µL of 0.2% formic and 80 µL of 0.2% formic acid in 50% </w:t>
      </w:r>
      <w:proofErr w:type="spellStart"/>
      <w:r w:rsidRPr="002E6F94">
        <w:rPr>
          <w:lang w:val="en-GB"/>
        </w:rPr>
        <w:t>AcN</w:t>
      </w:r>
      <w:proofErr w:type="spellEnd"/>
      <w:r w:rsidRPr="002E6F94">
        <w:rPr>
          <w:lang w:val="en-GB"/>
        </w:rPr>
        <w:t xml:space="preserve"> with centrifugation at 1500 g for 2 min between each step and finally a drying step in a vacuum concentrator (</w:t>
      </w:r>
      <w:proofErr w:type="spellStart"/>
      <w:r w:rsidRPr="002E6F94">
        <w:rPr>
          <w:lang w:val="en-GB"/>
        </w:rPr>
        <w:t>miVac</w:t>
      </w:r>
      <w:proofErr w:type="spellEnd"/>
      <w:r w:rsidRPr="002E6F94">
        <w:rPr>
          <w:lang w:val="en-GB"/>
        </w:rPr>
        <w:t xml:space="preserve">, </w:t>
      </w:r>
      <w:proofErr w:type="spellStart"/>
      <w:r w:rsidRPr="002E6F94">
        <w:rPr>
          <w:lang w:val="en-GB"/>
        </w:rPr>
        <w:t>Thermo</w:t>
      </w:r>
      <w:proofErr w:type="spellEnd"/>
      <w:r w:rsidRPr="002E6F94">
        <w:rPr>
          <w:lang w:val="en-GB"/>
        </w:rPr>
        <w:t xml:space="preserve"> Scientific). The samples were cleaned on a C18 </w:t>
      </w:r>
      <w:proofErr w:type="spellStart"/>
      <w:r w:rsidRPr="002E6F94">
        <w:rPr>
          <w:lang w:val="en-GB"/>
        </w:rPr>
        <w:t>Hypersep</w:t>
      </w:r>
      <w:proofErr w:type="spellEnd"/>
      <w:r w:rsidRPr="002E6F94">
        <w:rPr>
          <w:lang w:val="en-GB"/>
        </w:rPr>
        <w:t xml:space="preserve"> plate (</w:t>
      </w:r>
      <w:proofErr w:type="spellStart"/>
      <w:r w:rsidRPr="002E6F94">
        <w:rPr>
          <w:lang w:val="en-GB"/>
        </w:rPr>
        <w:t>Thermo</w:t>
      </w:r>
      <w:proofErr w:type="spellEnd"/>
      <w:r w:rsidRPr="002E6F94">
        <w:rPr>
          <w:lang w:val="en-GB"/>
        </w:rPr>
        <w:t xml:space="preserve"> Scientific) and dried in a 96-well plate to completeness and stored at -80°C.</w:t>
      </w:r>
    </w:p>
    <w:p w14:paraId="23112B56" w14:textId="77777777" w:rsidR="002F5617" w:rsidRPr="002E6F94" w:rsidRDefault="002F5617" w:rsidP="00DA135B">
      <w:pPr>
        <w:spacing w:line="480" w:lineRule="auto"/>
        <w:rPr>
          <w:lang w:val="en-GB"/>
        </w:rPr>
      </w:pPr>
    </w:p>
    <w:p w14:paraId="64B839B0" w14:textId="77777777" w:rsidR="002F5617" w:rsidRPr="002E6F94" w:rsidRDefault="002F5617" w:rsidP="00DA135B">
      <w:pPr>
        <w:spacing w:line="480" w:lineRule="auto"/>
        <w:rPr>
          <w:bCs/>
          <w:lang w:val="en-GB"/>
        </w:rPr>
      </w:pPr>
      <w:r w:rsidRPr="002E6F94">
        <w:rPr>
          <w:b/>
          <w:bCs/>
          <w:lang w:val="en-GB"/>
        </w:rPr>
        <w:t xml:space="preserve">Mass-Spectrometry Analysis of ECM from Aortic Valves </w:t>
      </w:r>
    </w:p>
    <w:p w14:paraId="0A89FEAA" w14:textId="48BD07E6" w:rsidR="002F5617" w:rsidRPr="002E6F94" w:rsidRDefault="002F5617" w:rsidP="00DA135B">
      <w:pPr>
        <w:spacing w:line="480" w:lineRule="auto"/>
        <w:ind w:firstLine="720"/>
        <w:rPr>
          <w:lang w:val="en-GB"/>
        </w:rPr>
      </w:pPr>
      <w:r w:rsidRPr="002E6F94">
        <w:rPr>
          <w:lang w:val="en-GB"/>
        </w:rPr>
        <w:lastRenderedPageBreak/>
        <w:t xml:space="preserve">Prior to mass-spectrometry analysis, the samples were resuspended in 2% ACN and 0.1% FA (solvent A) and injected into an </w:t>
      </w:r>
      <w:proofErr w:type="spellStart"/>
      <w:r w:rsidRPr="002E6F94">
        <w:rPr>
          <w:lang w:val="en-GB"/>
        </w:rPr>
        <w:t>UltiMate</w:t>
      </w:r>
      <w:proofErr w:type="spellEnd"/>
      <w:r w:rsidRPr="002E6F94">
        <w:rPr>
          <w:lang w:val="en-GB"/>
        </w:rPr>
        <w:t xml:space="preserve"> 3000 UPLC autosampler (Thermo Scientific) coupled to an Orbitrap Fusion </w:t>
      </w:r>
      <w:proofErr w:type="spellStart"/>
      <w:r w:rsidRPr="002E6F94">
        <w:rPr>
          <w:lang w:val="en-GB"/>
        </w:rPr>
        <w:t>Tribrid</w:t>
      </w:r>
      <w:proofErr w:type="spellEnd"/>
      <w:r w:rsidRPr="002E6F94">
        <w:rPr>
          <w:lang w:val="en-GB"/>
        </w:rPr>
        <w:t xml:space="preserve"> mass-spectrometer (Thermo Scientific). The peptides were loaded on a trap column (Acclaim </w:t>
      </w:r>
      <w:proofErr w:type="spellStart"/>
      <w:r w:rsidRPr="002E6F94">
        <w:rPr>
          <w:lang w:val="en-GB"/>
        </w:rPr>
        <w:t>PepMap</w:t>
      </w:r>
      <w:proofErr w:type="spellEnd"/>
      <w:r w:rsidRPr="002E6F94">
        <w:rPr>
          <w:lang w:val="en-GB"/>
        </w:rPr>
        <w:t xml:space="preserve"> 100 C18, 100 </w:t>
      </w:r>
      <w:proofErr w:type="spellStart"/>
      <w:r w:rsidRPr="002E6F94">
        <w:rPr>
          <w:lang w:val="en-GB"/>
        </w:rPr>
        <w:t>μm</w:t>
      </w:r>
      <w:proofErr w:type="spellEnd"/>
      <w:r w:rsidRPr="002E6F94">
        <w:rPr>
          <w:lang w:val="en-GB"/>
        </w:rPr>
        <w:t xml:space="preserve"> × 2 cm) and separated on a 50 cm long C18 Easy spray column (Thermo Scientific). Chromatographic separation was achieved using the following gradient: 4-26% of solvent B (98% ACN and 0.1% FA) in 90 min, 26-95% in 5 min, and 5 min of 95%, before equilibration for 9 min at 4% with a flow rate of 300 nlmin</w:t>
      </w:r>
      <w:r w:rsidRPr="002E6F94">
        <w:rPr>
          <w:vertAlign w:val="superscript"/>
          <w:lang w:val="en-GB"/>
        </w:rPr>
        <w:t>-1</w:t>
      </w:r>
      <w:r w:rsidRPr="002E6F94">
        <w:rPr>
          <w:lang w:val="en-GB"/>
        </w:rPr>
        <w:t>. For data collection, the mass-spectrometer operated in positive polarity using a data-dependent acquisition (DDA) mode. The cycle time was 2 s and consisted of one full scan with a resolution of 120,000 (at 200 Th) covering the range from 350 to 1800 Th. Automatic gain control (AGC) was set to 4*10</w:t>
      </w:r>
      <w:r w:rsidRPr="002E6F94">
        <w:rPr>
          <w:vertAlign w:val="superscript"/>
          <w:lang w:val="en-GB"/>
        </w:rPr>
        <w:t>5</w:t>
      </w:r>
      <w:r w:rsidRPr="002E6F94">
        <w:rPr>
          <w:lang w:val="en-GB"/>
        </w:rPr>
        <w:t xml:space="preserve"> with a maximum injection time of 50 </w:t>
      </w:r>
      <w:proofErr w:type="spellStart"/>
      <w:r w:rsidRPr="002E6F94">
        <w:rPr>
          <w:lang w:val="en-GB"/>
        </w:rPr>
        <w:t>ms</w:t>
      </w:r>
      <w:proofErr w:type="spellEnd"/>
      <w:r w:rsidRPr="002E6F94">
        <w:rPr>
          <w:lang w:val="en-GB"/>
        </w:rPr>
        <w:t xml:space="preserve">, and lock mass was set to 445.12003 Th. Triggered MS/MS scans were recorded with a resolution of 30`000, AGC of 50`000, maximum injection time of 54 </w:t>
      </w:r>
      <w:proofErr w:type="spellStart"/>
      <w:r w:rsidRPr="002E6F94">
        <w:rPr>
          <w:lang w:val="en-GB"/>
        </w:rPr>
        <w:t>ms</w:t>
      </w:r>
      <w:proofErr w:type="spellEnd"/>
      <w:r w:rsidRPr="002E6F94">
        <w:rPr>
          <w:lang w:val="en-GB"/>
        </w:rPr>
        <w:t>, isolation window of 1.6</w:t>
      </w:r>
      <w:r w:rsidRPr="002E6F94">
        <w:rPr>
          <w:vertAlign w:val="superscript"/>
          <w:lang w:val="en-GB"/>
        </w:rPr>
        <w:t xml:space="preserve"> </w:t>
      </w:r>
      <w:r w:rsidRPr="002E6F94">
        <w:rPr>
          <w:lang w:val="en-GB"/>
        </w:rPr>
        <w:t xml:space="preserve">Th, and normalized collision energy (NCE) 30%. Only peptide with a charge from 2+ to 7+ were selected, dynamic exclusion was set to 45 s. All spectra were acquired in profile mode using the orbitrap. </w:t>
      </w:r>
    </w:p>
    <w:p w14:paraId="6AFB7E8C" w14:textId="77777777" w:rsidR="002F5617" w:rsidRPr="002E6F94" w:rsidRDefault="002F5617" w:rsidP="00DA135B">
      <w:pPr>
        <w:spacing w:line="480" w:lineRule="auto"/>
        <w:ind w:firstLine="720"/>
        <w:rPr>
          <w:lang w:val="en-GB"/>
        </w:rPr>
      </w:pPr>
      <w:r w:rsidRPr="002E6F94">
        <w:rPr>
          <w:lang w:val="en-GB"/>
        </w:rPr>
        <w:t xml:space="preserve">Patient samples were randomized for the preparation and data collection for all LC-MS/MS analyses. </w:t>
      </w:r>
    </w:p>
    <w:p w14:paraId="4D32A2F1" w14:textId="77777777" w:rsidR="002F5617" w:rsidRPr="002E6F94" w:rsidRDefault="002F5617" w:rsidP="00DA135B">
      <w:pPr>
        <w:spacing w:line="480" w:lineRule="auto"/>
        <w:rPr>
          <w:lang w:val="en-GB"/>
        </w:rPr>
      </w:pPr>
    </w:p>
    <w:p w14:paraId="2AA1C88D" w14:textId="77777777" w:rsidR="002F5617" w:rsidRPr="002E6F94" w:rsidRDefault="002F5617" w:rsidP="00DA135B">
      <w:pPr>
        <w:spacing w:line="480" w:lineRule="auto"/>
        <w:rPr>
          <w:bCs/>
          <w:lang w:val="en-GB"/>
        </w:rPr>
      </w:pPr>
      <w:r w:rsidRPr="002E6F94">
        <w:rPr>
          <w:b/>
          <w:bCs/>
          <w:lang w:val="en-GB"/>
        </w:rPr>
        <w:t xml:space="preserve">Bioinformatics and Data Analysis of ECM from Aortic Valves </w:t>
      </w:r>
    </w:p>
    <w:p w14:paraId="1B978A43" w14:textId="1DEA5FFB" w:rsidR="002F5617" w:rsidRPr="002E6F94" w:rsidRDefault="002F5617" w:rsidP="00DA135B">
      <w:pPr>
        <w:spacing w:line="480" w:lineRule="auto"/>
        <w:ind w:firstLine="720"/>
        <w:rPr>
          <w:lang w:val="en-GB"/>
        </w:rPr>
      </w:pPr>
      <w:r w:rsidRPr="002E6F94">
        <w:rPr>
          <w:lang w:val="en-GB"/>
        </w:rPr>
        <w:t xml:space="preserve">MS raw files of DDA samples were </w:t>
      </w:r>
      <w:r w:rsidR="002E6F94" w:rsidRPr="002E6F94">
        <w:rPr>
          <w:lang w:val="en-GB"/>
        </w:rPr>
        <w:t>analysed</w:t>
      </w:r>
      <w:r w:rsidRPr="002E6F94">
        <w:rPr>
          <w:lang w:val="en-GB"/>
        </w:rPr>
        <w:t xml:space="preserve"> with Proteome Discoverer (version 2.3, </w:t>
      </w:r>
      <w:proofErr w:type="spellStart"/>
      <w:r w:rsidRPr="002E6F94">
        <w:rPr>
          <w:lang w:val="en-GB"/>
        </w:rPr>
        <w:t>ThermoFisher</w:t>
      </w:r>
      <w:proofErr w:type="spellEnd"/>
      <w:r w:rsidRPr="002E6F94">
        <w:rPr>
          <w:lang w:val="en-GB"/>
        </w:rPr>
        <w:t xml:space="preserve"> Scientific) and </w:t>
      </w:r>
      <w:r w:rsidR="002E6F94" w:rsidRPr="002E6F94">
        <w:rPr>
          <w:lang w:val="en-GB"/>
        </w:rPr>
        <w:t>analysed</w:t>
      </w:r>
      <w:r w:rsidRPr="002E6F94">
        <w:rPr>
          <w:lang w:val="en-GB"/>
        </w:rPr>
        <w:t xml:space="preserve"> using the </w:t>
      </w:r>
      <w:proofErr w:type="spellStart"/>
      <w:r w:rsidRPr="002E6F94">
        <w:rPr>
          <w:lang w:val="en-GB"/>
        </w:rPr>
        <w:t>SwissProt</w:t>
      </w:r>
      <w:proofErr w:type="spellEnd"/>
      <w:r w:rsidRPr="002E6F94">
        <w:rPr>
          <w:lang w:val="en-GB"/>
        </w:rPr>
        <w:t xml:space="preserve"> protein database with Mascot Server v2.5.1 (</w:t>
      </w:r>
      <w:proofErr w:type="spellStart"/>
      <w:r w:rsidRPr="002E6F94">
        <w:rPr>
          <w:lang w:val="en-GB"/>
        </w:rPr>
        <w:t>MatrixScience</w:t>
      </w:r>
      <w:proofErr w:type="spellEnd"/>
      <w:r w:rsidRPr="002E6F94">
        <w:rPr>
          <w:lang w:val="en-GB"/>
        </w:rPr>
        <w:t xml:space="preserve"> Ltd., UK) search engine. Parameters were chosen as follows: up to two missed cleavage sites for trypsin, peptide mass tolerance 10 ppm, 0.05 Da for the HCD fragment ions. </w:t>
      </w:r>
      <w:proofErr w:type="spellStart"/>
      <w:r w:rsidRPr="002E6F94">
        <w:rPr>
          <w:lang w:val="en-GB"/>
        </w:rPr>
        <w:t>Carbamidomethylation</w:t>
      </w:r>
      <w:proofErr w:type="spellEnd"/>
      <w:r w:rsidRPr="002E6F94">
        <w:rPr>
          <w:lang w:val="en-GB"/>
        </w:rPr>
        <w:t xml:space="preserve"> of cysteine was specified as a fixed modification, whereas oxidation of methionine, deamidation of asparagine and glutamine were defined as </w:t>
      </w:r>
      <w:r w:rsidRPr="002E6F94">
        <w:rPr>
          <w:lang w:val="en-GB"/>
        </w:rPr>
        <w:lastRenderedPageBreak/>
        <w:t>variable modifications. For quantification, both unique and razor peptides were allowed. The false discovery rate was set to 0.01 for peptide and protein level.</w:t>
      </w:r>
    </w:p>
    <w:p w14:paraId="1F9FF94B" w14:textId="41471396" w:rsidR="002F5617" w:rsidRPr="002E6F94" w:rsidRDefault="002F5617" w:rsidP="00DA135B">
      <w:pPr>
        <w:spacing w:line="480" w:lineRule="auto"/>
        <w:ind w:firstLine="720"/>
        <w:rPr>
          <w:lang w:val="en-GB"/>
        </w:rPr>
      </w:pPr>
      <w:r w:rsidRPr="002E6F94">
        <w:rPr>
          <w:lang w:val="en-GB"/>
        </w:rPr>
        <w:t>Only proteins with at least two identified peptides were included in the subsequent statistical analyses. All data analyses and figures were made with R (version 4.0.2). GO enrichment was performed with g:Profiler</w:t>
      </w:r>
      <w:r w:rsidRPr="002E6F94">
        <w:rPr>
          <w:lang w:val="en-GB"/>
        </w:rPr>
        <w:fldChar w:fldCharType="begin" w:fldLock="1"/>
      </w:r>
      <w:r w:rsidR="00C028BA">
        <w:rPr>
          <w:lang w:val="en-GB"/>
        </w:rPr>
        <w:instrText>ADDIN CSL_CITATION {"citationItems":[{"id":"ITEM-1","itemData":{"DOI":"10.1093/nar/gkm226","ISSN":"03051048","PMID":"17478515","abstract":"g:Profiler (http://biit.cs.ut.ee/gprofiler/) is a public web server for characterising and manipulating gene lists resulting from mining high-throughput genomic data. g:Profiler has a simple, user-friendly web interface with powerful visualisation for capturing Gene Ontology (GO), pathway, or transcription factor binding site enrichments down to individual gene levels. Besides standard multiple testing corrections, a new improved method for estimating the true effect of multiple testing over complex structures like GO has been introduced. Interpreting ranked gene lists is supported from the same interface with very efficient algorithms. Such ordered lists may arise when studying the most significantly affected genes from high-throughput data or genes co-expressed with the query gene. Other important aspects of practical data analysis are supported by modules tightly integrated with g:Profiler. These are: g:Convert for converting between different database identifiers; g:Orth for finding orthologous genes from other species; and g:Sorter for searching a large body of public gene expression data for co-expression. g:Profiler supports 31 different species, and underlying data is updated regularly from sources like the Ensembl database. Bioinformatics communities wishing to integrate with g:Profiler can use alternative simple textual outputs. © 2007 The Author(s).","author":[{"dropping-particle":"","family":"Reimand","given":"Jüri","non-dropping-particle":"","parse-names":false,"suffix":""},{"dropping-particle":"","family":"Kull","given":"Meelis","non-dropping-particle":"","parse-names":false,"suffix":""},{"dropping-particle":"","family":"Peterson","given":"Hedi","non-dropping-particle":"","parse-names":false,"suffix":""},{"dropping-particle":"","family":"Hansen","given":"Jaanus","non-dropping-particle":"","parse-names":false,"suffix":""},{"dropping-particle":"","family":"Vilo","given":"Jaak","non-dropping-particle":"","parse-names":false,"suffix":""}],"container-title":"Nucleic Acids Research","id":"ITEM-1","issue":"SUPPL.2","issued":{"date-parts":[["2007","7"]]},"page":"W193","publisher":"Oxford University Press","title":"G:Profiler-a web-based toolset for functional profiling of gene lists from large-scale experiments","type":"article-journal","volume":"35"},"uris":["http://www.mendeley.com/documents/?uuid=2b491042-d68e-3ba2-a9d6-58758f9252a9"]}],"mendeley":{"formattedCitation":"[2]","plainTextFormattedCitation":"[2]","previouslyFormattedCitation":"(2)"},"properties":{"noteIndex":0},"schema":"https://github.com/citation-style-language/schema/raw/master/csl-citation.json"}</w:instrText>
      </w:r>
      <w:r w:rsidRPr="002E6F94">
        <w:rPr>
          <w:lang w:val="en-GB"/>
        </w:rPr>
        <w:fldChar w:fldCharType="separate"/>
      </w:r>
      <w:r w:rsidR="00C028BA" w:rsidRPr="00C028BA">
        <w:rPr>
          <w:noProof/>
          <w:lang w:val="en-GB"/>
        </w:rPr>
        <w:t>[2]</w:t>
      </w:r>
      <w:r w:rsidRPr="002E6F94">
        <w:rPr>
          <w:lang w:val="en-GB"/>
        </w:rPr>
        <w:fldChar w:fldCharType="end"/>
      </w:r>
      <w:r w:rsidRPr="002E6F94">
        <w:rPr>
          <w:lang w:val="en-GB"/>
        </w:rPr>
        <w:t xml:space="preserve"> using all annotated genes as background and all reliably quantified proteins as query input. </w:t>
      </w:r>
    </w:p>
    <w:p w14:paraId="45066EB1" w14:textId="77777777" w:rsidR="00D849C5" w:rsidRPr="002E6F94" w:rsidRDefault="002F5617" w:rsidP="00DA135B">
      <w:pPr>
        <w:spacing w:line="480" w:lineRule="auto"/>
        <w:ind w:firstLine="720"/>
        <w:rPr>
          <w:lang w:val="en-GB"/>
        </w:rPr>
      </w:pPr>
      <w:r w:rsidRPr="002E6F94">
        <w:rPr>
          <w:lang w:val="en-GB"/>
        </w:rPr>
        <w:t xml:space="preserve">For further analysis, protein intensities were normalized by variance stabilization normalization (VSN). Coefficient of variation (CV) values of protein intensities were calculated according to the formula (sample standard deviation/ sample mean) and correlations analysis between the patients´ samples were calculated using Pearson correlation. </w:t>
      </w:r>
    </w:p>
    <w:p w14:paraId="3A0C37CC" w14:textId="55AC109E" w:rsidR="002F5617" w:rsidRPr="002E6F94" w:rsidRDefault="002F5617" w:rsidP="00DA135B">
      <w:pPr>
        <w:spacing w:line="480" w:lineRule="auto"/>
        <w:ind w:firstLine="720"/>
        <w:rPr>
          <w:lang w:val="en-GB"/>
        </w:rPr>
      </w:pPr>
      <w:r w:rsidRPr="002E6F94">
        <w:rPr>
          <w:lang w:val="en-GB"/>
        </w:rPr>
        <w:t>For statistical analyses, the extracted second time sample (patient number 79re) was removed from the analysis, protein intensities were log</w:t>
      </w:r>
      <w:r w:rsidRPr="002E6F94">
        <w:rPr>
          <w:vertAlign w:val="subscript"/>
          <w:lang w:val="en-GB"/>
        </w:rPr>
        <w:t>2</w:t>
      </w:r>
      <w:r w:rsidRPr="002E6F94">
        <w:rPr>
          <w:lang w:val="en-GB"/>
        </w:rPr>
        <w:t xml:space="preserve"> transformed and normalized by the average of all TAV samples. Two-tailed Student’s </w:t>
      </w:r>
      <w:r w:rsidRPr="002E6F94">
        <w:rPr>
          <w:i/>
          <w:lang w:val="en-GB"/>
        </w:rPr>
        <w:t>t</w:t>
      </w:r>
      <w:r w:rsidRPr="002E6F94">
        <w:rPr>
          <w:lang w:val="en-GB"/>
        </w:rPr>
        <w:t>-test (with equal or unequal variance depending on F-test) was applied to calculate p-values. Proteins were considered to be statically significant if p-value &lt;0.01 and fold-change &gt; log</w:t>
      </w:r>
      <w:r w:rsidRPr="002E6F94">
        <w:rPr>
          <w:vertAlign w:val="subscript"/>
          <w:lang w:val="en-GB"/>
        </w:rPr>
        <w:t>2</w:t>
      </w:r>
      <w:r w:rsidRPr="002E6F94">
        <w:rPr>
          <w:lang w:val="en-GB"/>
        </w:rPr>
        <w:t>(1.5). All 88 unique patient samples were used for data analysis.</w:t>
      </w:r>
    </w:p>
    <w:p w14:paraId="3FAB31D9" w14:textId="25A42E12" w:rsidR="0064641D" w:rsidRPr="002E6F94" w:rsidRDefault="0064641D" w:rsidP="00DA135B">
      <w:pPr>
        <w:spacing w:line="480" w:lineRule="auto"/>
        <w:rPr>
          <w:lang w:val="en-GB"/>
        </w:rPr>
      </w:pPr>
    </w:p>
    <w:p w14:paraId="26883305" w14:textId="4FAC3E6C" w:rsidR="0064641D" w:rsidRPr="002E6F94" w:rsidRDefault="0064641D" w:rsidP="00DA135B">
      <w:pPr>
        <w:spacing w:line="480" w:lineRule="auto"/>
        <w:rPr>
          <w:lang w:val="en-GB"/>
        </w:rPr>
      </w:pPr>
      <w:r w:rsidRPr="002E6F94">
        <w:rPr>
          <w:lang w:val="en-GB"/>
        </w:rPr>
        <w:t>Literature:</w:t>
      </w:r>
    </w:p>
    <w:p w14:paraId="32DAEA1E" w14:textId="076AF176" w:rsidR="00C028BA" w:rsidRPr="00C028BA" w:rsidRDefault="002F17C0" w:rsidP="00C028BA">
      <w:pPr>
        <w:widowControl w:val="0"/>
        <w:autoSpaceDE w:val="0"/>
        <w:autoSpaceDN w:val="0"/>
        <w:adjustRightInd w:val="0"/>
        <w:spacing w:line="480" w:lineRule="auto"/>
        <w:ind w:left="640" w:hanging="640"/>
        <w:rPr>
          <w:noProof/>
          <w:lang w:val="en-GB"/>
        </w:rPr>
      </w:pPr>
      <w:r w:rsidRPr="002E6F94">
        <w:rPr>
          <w:lang w:val="en-GB"/>
        </w:rPr>
        <w:fldChar w:fldCharType="begin" w:fldLock="1"/>
      </w:r>
      <w:r w:rsidRPr="00175530">
        <w:rPr>
          <w:lang w:val="en-US"/>
        </w:rPr>
        <w:instrText xml:space="preserve">ADDIN Mendeley Bibliography CSL_BIBLIOGRAPHY </w:instrText>
      </w:r>
      <w:r w:rsidRPr="002E6F94">
        <w:rPr>
          <w:lang w:val="en-GB"/>
        </w:rPr>
        <w:fldChar w:fldCharType="separate"/>
      </w:r>
      <w:r w:rsidR="00C028BA" w:rsidRPr="00C028BA">
        <w:rPr>
          <w:noProof/>
          <w:lang w:val="en-GB"/>
        </w:rPr>
        <w:t xml:space="preserve">1. </w:t>
      </w:r>
      <w:r w:rsidR="00C028BA" w:rsidRPr="00C028BA">
        <w:rPr>
          <w:noProof/>
          <w:lang w:val="en-GB"/>
        </w:rPr>
        <w:tab/>
        <w:t>Naba A, Clauser KR, Hynes RO (2015) Enrichment of extracellular matrix proteins from tissues and digestion into peptides for mass spectrometry analysis. J Vis Exp 2015:e53057. https://doi.org/10.3791/53057</w:t>
      </w:r>
    </w:p>
    <w:p w14:paraId="13543D25" w14:textId="77777777" w:rsidR="00C028BA" w:rsidRPr="00175530" w:rsidRDefault="00C028BA" w:rsidP="00C028BA">
      <w:pPr>
        <w:widowControl w:val="0"/>
        <w:autoSpaceDE w:val="0"/>
        <w:autoSpaceDN w:val="0"/>
        <w:adjustRightInd w:val="0"/>
        <w:spacing w:line="480" w:lineRule="auto"/>
        <w:ind w:left="640" w:hanging="640"/>
        <w:rPr>
          <w:noProof/>
          <w:lang w:val="en-US"/>
        </w:rPr>
      </w:pPr>
      <w:r w:rsidRPr="00C028BA">
        <w:rPr>
          <w:noProof/>
          <w:lang w:val="en-GB"/>
        </w:rPr>
        <w:t xml:space="preserve">2. </w:t>
      </w:r>
      <w:r w:rsidRPr="00C028BA">
        <w:rPr>
          <w:noProof/>
          <w:lang w:val="en-GB"/>
        </w:rPr>
        <w:tab/>
        <w:t>Reimand J, Kull M, Peterson H, et al (2007) G:Profiler-a web-based toolset for functional profiling of gene lists from large-scale experiments. Nucleic Acids Res 35:W193. https://doi.org/10.1093/nar/gkm226</w:t>
      </w:r>
    </w:p>
    <w:p w14:paraId="1DE38BC7" w14:textId="21BA696B" w:rsidR="0064641D" w:rsidRPr="002E6F94" w:rsidRDefault="002F17C0" w:rsidP="00C028BA">
      <w:pPr>
        <w:widowControl w:val="0"/>
        <w:autoSpaceDE w:val="0"/>
        <w:autoSpaceDN w:val="0"/>
        <w:adjustRightInd w:val="0"/>
        <w:spacing w:line="480" w:lineRule="auto"/>
        <w:ind w:left="640" w:hanging="640"/>
        <w:rPr>
          <w:lang w:val="en-GB"/>
        </w:rPr>
      </w:pPr>
      <w:r w:rsidRPr="002E6F94">
        <w:rPr>
          <w:lang w:val="en-GB"/>
        </w:rPr>
        <w:fldChar w:fldCharType="end"/>
      </w:r>
    </w:p>
    <w:p w14:paraId="558F3047" w14:textId="736DFF29" w:rsidR="002F5617" w:rsidRPr="002E6F94" w:rsidRDefault="002F5617" w:rsidP="00DA135B">
      <w:pPr>
        <w:spacing w:line="480" w:lineRule="auto"/>
        <w:rPr>
          <w:color w:val="000000" w:themeColor="text1"/>
          <w:lang w:val="en-GB"/>
        </w:rPr>
      </w:pPr>
    </w:p>
    <w:p w14:paraId="5DE2CEB0" w14:textId="61202D72" w:rsidR="002F5617" w:rsidRPr="002E6F94" w:rsidRDefault="002F5617" w:rsidP="00DA135B">
      <w:pPr>
        <w:spacing w:line="480" w:lineRule="auto"/>
        <w:rPr>
          <w:color w:val="000000" w:themeColor="text1"/>
          <w:lang w:val="en-GB"/>
        </w:rPr>
      </w:pPr>
      <w:r w:rsidRPr="002E6F94">
        <w:rPr>
          <w:color w:val="000000" w:themeColor="text1"/>
          <w:lang w:val="en-GB"/>
        </w:rPr>
        <w:lastRenderedPageBreak/>
        <w:br w:type="page"/>
      </w:r>
    </w:p>
    <w:p w14:paraId="33E00254" w14:textId="6A6F5A48" w:rsidR="007A77B9" w:rsidRPr="002E6F94" w:rsidRDefault="00064E72" w:rsidP="00DA135B">
      <w:pPr>
        <w:spacing w:line="480" w:lineRule="auto"/>
        <w:rPr>
          <w:lang w:val="en-GB"/>
        </w:rPr>
      </w:pPr>
      <w:r w:rsidRPr="002E6F94">
        <w:rPr>
          <w:b/>
          <w:lang w:val="en-GB"/>
        </w:rPr>
        <w:lastRenderedPageBreak/>
        <w:t>SUPPLEMENTA</w:t>
      </w:r>
      <w:r w:rsidR="00C028BA">
        <w:rPr>
          <w:b/>
          <w:lang w:val="en-GB"/>
        </w:rPr>
        <w:t>RY</w:t>
      </w:r>
      <w:r w:rsidRPr="002E6F94">
        <w:rPr>
          <w:b/>
          <w:lang w:val="en-GB"/>
        </w:rPr>
        <w:t xml:space="preserve"> </w:t>
      </w:r>
      <w:r w:rsidR="00147A0E" w:rsidRPr="002E6F94">
        <w:rPr>
          <w:b/>
          <w:lang w:val="en-GB"/>
        </w:rPr>
        <w:t>FIGURES</w:t>
      </w:r>
    </w:p>
    <w:p w14:paraId="4919E977" w14:textId="202FBA0A" w:rsidR="007A77B9" w:rsidRPr="002E6F94" w:rsidRDefault="00BF60D4" w:rsidP="00DA135B">
      <w:pPr>
        <w:spacing w:line="480" w:lineRule="auto"/>
        <w:rPr>
          <w:lang w:val="en-GB"/>
        </w:rPr>
      </w:pPr>
      <w:r w:rsidRPr="002E6F94">
        <w:rPr>
          <w:noProof/>
          <w:lang w:val="en-US"/>
        </w:rPr>
        <w:drawing>
          <wp:inline distT="0" distB="0" distL="0" distR="0" wp14:anchorId="6AC6507A" wp14:editId="400740CA">
            <wp:extent cx="5283382" cy="8873066"/>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88101" cy="8880991"/>
                    </a:xfrm>
                    <a:prstGeom prst="rect">
                      <a:avLst/>
                    </a:prstGeom>
                    <a:noFill/>
                    <a:ln>
                      <a:noFill/>
                    </a:ln>
                  </pic:spPr>
                </pic:pic>
              </a:graphicData>
            </a:graphic>
          </wp:inline>
        </w:drawing>
      </w:r>
    </w:p>
    <w:p w14:paraId="274DFF2A" w14:textId="77777777" w:rsidR="00FC0DC4" w:rsidRPr="002E6F94" w:rsidRDefault="00FC0DC4" w:rsidP="00DA135B">
      <w:pPr>
        <w:spacing w:line="480" w:lineRule="auto"/>
        <w:rPr>
          <w:lang w:val="en-GB"/>
        </w:rPr>
      </w:pPr>
    </w:p>
    <w:p w14:paraId="42D74E32" w14:textId="7EE36E3C" w:rsidR="00975EA8" w:rsidRPr="00064E72" w:rsidRDefault="00064E72" w:rsidP="00DA135B">
      <w:pPr>
        <w:spacing w:line="480" w:lineRule="auto"/>
        <w:rPr>
          <w:b/>
          <w:bCs/>
          <w:lang w:val="en-GB"/>
        </w:rPr>
      </w:pPr>
      <w:r w:rsidRPr="00064E72">
        <w:rPr>
          <w:b/>
          <w:bCs/>
          <w:color w:val="000000" w:themeColor="text1"/>
          <w:lang w:val="en-GB"/>
        </w:rPr>
        <w:t>Supplementa</w:t>
      </w:r>
      <w:r w:rsidR="00C028BA">
        <w:rPr>
          <w:b/>
          <w:bCs/>
          <w:color w:val="000000" w:themeColor="text1"/>
          <w:lang w:val="en-GB"/>
        </w:rPr>
        <w:t>ry</w:t>
      </w:r>
      <w:r w:rsidRPr="00064E72">
        <w:rPr>
          <w:b/>
          <w:bCs/>
          <w:color w:val="000000" w:themeColor="text1"/>
          <w:lang w:val="en-GB"/>
        </w:rPr>
        <w:t xml:space="preserve"> </w:t>
      </w:r>
      <w:r w:rsidR="00975EA8" w:rsidRPr="00064E72">
        <w:rPr>
          <w:b/>
          <w:bCs/>
          <w:lang w:val="en-GB"/>
        </w:rPr>
        <w:t xml:space="preserve">Figure </w:t>
      </w:r>
      <w:r w:rsidR="006E0375" w:rsidRPr="00064E72">
        <w:rPr>
          <w:b/>
          <w:bCs/>
          <w:lang w:val="en-GB"/>
        </w:rPr>
        <w:t>1</w:t>
      </w:r>
      <w:r w:rsidR="00BE47CB" w:rsidRPr="00064E72">
        <w:rPr>
          <w:b/>
          <w:bCs/>
          <w:lang w:val="en-GB"/>
        </w:rPr>
        <w:t>.</w:t>
      </w:r>
      <w:r w:rsidR="00975EA8" w:rsidRPr="00064E72">
        <w:rPr>
          <w:b/>
          <w:bCs/>
          <w:lang w:val="en-GB"/>
        </w:rPr>
        <w:t xml:space="preserve"> Instructions for </w:t>
      </w:r>
      <w:r w:rsidR="00BE47CB" w:rsidRPr="00064E72">
        <w:rPr>
          <w:b/>
          <w:bCs/>
          <w:lang w:val="en-GB"/>
        </w:rPr>
        <w:t>the</w:t>
      </w:r>
      <w:r w:rsidR="00975EA8" w:rsidRPr="00064E72">
        <w:rPr>
          <w:b/>
          <w:bCs/>
          <w:lang w:val="en-GB"/>
        </w:rPr>
        <w:t xml:space="preserve"> web interface. </w:t>
      </w:r>
    </w:p>
    <w:p w14:paraId="58DF9C3E" w14:textId="6327C9AF" w:rsidR="00975EA8" w:rsidRPr="002E6F94" w:rsidRDefault="00B8630A" w:rsidP="00DA135B">
      <w:pPr>
        <w:spacing w:line="480" w:lineRule="auto"/>
        <w:rPr>
          <w:lang w:val="en-GB"/>
        </w:rPr>
      </w:pPr>
      <w:r w:rsidRPr="002E6F94">
        <w:rPr>
          <w:b/>
          <w:bCs/>
          <w:lang w:val="en-GB"/>
        </w:rPr>
        <w:t>A</w:t>
      </w:r>
      <w:r w:rsidR="00BE47CB" w:rsidRPr="002E6F94">
        <w:rPr>
          <w:bCs/>
          <w:lang w:val="en-GB"/>
        </w:rPr>
        <w:t>,</w:t>
      </w:r>
      <w:r w:rsidR="00975EA8" w:rsidRPr="002E6F94">
        <w:rPr>
          <w:b/>
          <w:bCs/>
          <w:lang w:val="en-GB"/>
        </w:rPr>
        <w:t xml:space="preserve"> </w:t>
      </w:r>
      <w:r w:rsidR="00975EA8" w:rsidRPr="002E6F94">
        <w:rPr>
          <w:bCs/>
          <w:lang w:val="en-GB"/>
        </w:rPr>
        <w:t>Step by Step instructions for the Protein Significance Analysis tab.</w:t>
      </w:r>
    </w:p>
    <w:p w14:paraId="1579ECB0" w14:textId="532BFBDE" w:rsidR="00975EA8" w:rsidRPr="002E6F94" w:rsidRDefault="00975EA8" w:rsidP="00DA135B">
      <w:pPr>
        <w:spacing w:line="480" w:lineRule="auto"/>
        <w:rPr>
          <w:lang w:val="en-GB"/>
        </w:rPr>
      </w:pPr>
      <w:r w:rsidRPr="002E6F94">
        <w:rPr>
          <w:lang w:val="en-GB"/>
        </w:rPr>
        <w:t>1) The user can decide to perform the statistical analysis based on predefined medical conditions or on custom grouping.</w:t>
      </w:r>
    </w:p>
    <w:p w14:paraId="0179E093" w14:textId="7EDA1974" w:rsidR="00975EA8" w:rsidRPr="002E6F94" w:rsidRDefault="00975EA8" w:rsidP="00DA135B">
      <w:pPr>
        <w:spacing w:line="480" w:lineRule="auto"/>
        <w:rPr>
          <w:lang w:val="en-GB"/>
        </w:rPr>
      </w:pPr>
      <w:r w:rsidRPr="002E6F94">
        <w:rPr>
          <w:lang w:val="en-GB"/>
        </w:rPr>
        <w:t xml:space="preserve">2a) If predefined medical conditions are selected in panel 1, the user can choose </w:t>
      </w:r>
      <w:r w:rsidR="00C1413B" w:rsidRPr="002E6F94">
        <w:rPr>
          <w:lang w:val="en-GB"/>
        </w:rPr>
        <w:t xml:space="preserve">based on which </w:t>
      </w:r>
      <w:r w:rsidRPr="002E6F94">
        <w:rPr>
          <w:lang w:val="en-GB"/>
        </w:rPr>
        <w:t>patient medical record data the statistical analysis</w:t>
      </w:r>
      <w:r w:rsidR="00C1413B" w:rsidRPr="002E6F94">
        <w:rPr>
          <w:lang w:val="en-GB"/>
        </w:rPr>
        <w:t xml:space="preserve"> should be performed</w:t>
      </w:r>
      <w:r w:rsidRPr="002E6F94">
        <w:rPr>
          <w:lang w:val="en-GB"/>
        </w:rPr>
        <w:t>. </w:t>
      </w:r>
    </w:p>
    <w:p w14:paraId="3BA92991" w14:textId="67B54527" w:rsidR="00975EA8" w:rsidRPr="002E6F94" w:rsidRDefault="00975EA8" w:rsidP="00DA135B">
      <w:pPr>
        <w:spacing w:line="480" w:lineRule="auto"/>
        <w:rPr>
          <w:lang w:val="en-GB"/>
        </w:rPr>
      </w:pPr>
      <w:r w:rsidRPr="002E6F94">
        <w:rPr>
          <w:lang w:val="en-GB"/>
        </w:rPr>
        <w:t>2b) If custom analysis is selected, the user can select patients</w:t>
      </w:r>
      <w:r w:rsidR="00AB6FD7" w:rsidRPr="002E6F94">
        <w:rPr>
          <w:lang w:val="en-GB"/>
        </w:rPr>
        <w:t>,</w:t>
      </w:r>
      <w:r w:rsidRPr="002E6F94">
        <w:rPr>
          <w:lang w:val="en-GB"/>
        </w:rPr>
        <w:t xml:space="preserve"> which should be used as denominator. </w:t>
      </w:r>
      <w:r w:rsidR="00C1413B" w:rsidRPr="002E6F94">
        <w:rPr>
          <w:color w:val="0E101A"/>
          <w:lang w:val="en-GB"/>
        </w:rPr>
        <w:t xml:space="preserve">To facilitate the analysis, the user can start with the predefined medical conditions if desired. </w:t>
      </w:r>
      <w:r w:rsidRPr="002E6F94">
        <w:rPr>
          <w:lang w:val="en-GB"/>
        </w:rPr>
        <w:t xml:space="preserve">Afterwards, the user is required to press the start custom analysis button. </w:t>
      </w:r>
    </w:p>
    <w:p w14:paraId="63AC6210" w14:textId="401D1B37" w:rsidR="00975EA8" w:rsidRPr="002E6F94" w:rsidRDefault="00975EA8" w:rsidP="00DA135B">
      <w:pPr>
        <w:spacing w:line="480" w:lineRule="auto"/>
        <w:rPr>
          <w:lang w:val="en-GB"/>
        </w:rPr>
      </w:pPr>
      <w:r w:rsidRPr="002E6F94">
        <w:rPr>
          <w:lang w:val="en-GB"/>
        </w:rPr>
        <w:t xml:space="preserve">3) The user can specify the p-value and log2 fold change </w:t>
      </w:r>
      <w:r w:rsidR="00AB6FD7" w:rsidRPr="002E6F94">
        <w:rPr>
          <w:lang w:val="en-GB"/>
        </w:rPr>
        <w:t>thresholds for</w:t>
      </w:r>
      <w:r w:rsidRPr="002E6F94">
        <w:rPr>
          <w:lang w:val="en-GB"/>
        </w:rPr>
        <w:t xml:space="preserve"> proteins </w:t>
      </w:r>
      <w:r w:rsidR="00AB6FD7" w:rsidRPr="002E6F94">
        <w:rPr>
          <w:lang w:val="en-GB"/>
        </w:rPr>
        <w:t>to</w:t>
      </w:r>
      <w:r w:rsidRPr="002E6F94">
        <w:rPr>
          <w:lang w:val="en-GB"/>
        </w:rPr>
        <w:t xml:space="preserve"> be highlighted in the volcano plot. </w:t>
      </w:r>
    </w:p>
    <w:p w14:paraId="673AE291" w14:textId="78422D23" w:rsidR="00975EA8" w:rsidRPr="002E6F94" w:rsidRDefault="00975EA8" w:rsidP="00DA135B">
      <w:pPr>
        <w:spacing w:line="480" w:lineRule="auto"/>
        <w:rPr>
          <w:lang w:val="en-GB"/>
        </w:rPr>
      </w:pPr>
      <w:r w:rsidRPr="002E6F94">
        <w:rPr>
          <w:lang w:val="en-GB"/>
        </w:rPr>
        <w:t xml:space="preserve">4) If </w:t>
      </w:r>
      <w:r w:rsidR="00AB6FD7" w:rsidRPr="002E6F94">
        <w:rPr>
          <w:lang w:val="en-GB"/>
        </w:rPr>
        <w:t>needed,</w:t>
      </w:r>
      <w:r w:rsidRPr="002E6F94">
        <w:rPr>
          <w:lang w:val="en-GB"/>
        </w:rPr>
        <w:t xml:space="preserve"> the user can exclude individual patients from the statistical analysis.</w:t>
      </w:r>
    </w:p>
    <w:p w14:paraId="5912BDF3" w14:textId="77777777" w:rsidR="00975EA8" w:rsidRPr="002E6F94" w:rsidRDefault="00975EA8" w:rsidP="00DA135B">
      <w:pPr>
        <w:spacing w:line="480" w:lineRule="auto"/>
        <w:rPr>
          <w:lang w:val="en-GB"/>
        </w:rPr>
      </w:pPr>
      <w:r w:rsidRPr="002E6F94">
        <w:rPr>
          <w:lang w:val="en-GB"/>
        </w:rPr>
        <w:t>5) Link to the original article. </w:t>
      </w:r>
    </w:p>
    <w:p w14:paraId="3F0DF4FC" w14:textId="77777777" w:rsidR="00975EA8" w:rsidRPr="002E6F94" w:rsidRDefault="00975EA8" w:rsidP="00DA135B">
      <w:pPr>
        <w:spacing w:line="480" w:lineRule="auto"/>
        <w:rPr>
          <w:lang w:val="en-GB"/>
        </w:rPr>
      </w:pPr>
      <w:r w:rsidRPr="002E6F94">
        <w:rPr>
          <w:lang w:val="en-GB"/>
        </w:rPr>
        <w:t>6) Hide or show the checkbox column.</w:t>
      </w:r>
    </w:p>
    <w:p w14:paraId="157C3BFE" w14:textId="77777777" w:rsidR="00975EA8" w:rsidRPr="002E6F94" w:rsidRDefault="00975EA8" w:rsidP="00DA135B">
      <w:pPr>
        <w:spacing w:line="480" w:lineRule="auto"/>
        <w:rPr>
          <w:lang w:val="en-GB"/>
        </w:rPr>
      </w:pPr>
      <w:r w:rsidRPr="002E6F94">
        <w:rPr>
          <w:lang w:val="en-GB"/>
        </w:rPr>
        <w:t>7) Tab for the Protein Significance Analysis based on patient medical records. </w:t>
      </w:r>
    </w:p>
    <w:p w14:paraId="5A164DF2" w14:textId="77777777" w:rsidR="00975EA8" w:rsidRPr="002E6F94" w:rsidRDefault="00975EA8" w:rsidP="00DA135B">
      <w:pPr>
        <w:spacing w:line="480" w:lineRule="auto"/>
        <w:rPr>
          <w:lang w:val="en-GB"/>
        </w:rPr>
      </w:pPr>
      <w:r w:rsidRPr="002E6F94">
        <w:rPr>
          <w:lang w:val="en-GB"/>
        </w:rPr>
        <w:t>8) Tab for the Protein Correlation Analysis of AVDs.  </w:t>
      </w:r>
    </w:p>
    <w:p w14:paraId="24B9327B" w14:textId="100F7F5E" w:rsidR="00975EA8" w:rsidRPr="002E6F94" w:rsidRDefault="00975EA8" w:rsidP="00DA135B">
      <w:pPr>
        <w:spacing w:line="480" w:lineRule="auto"/>
        <w:rPr>
          <w:lang w:val="en-GB"/>
        </w:rPr>
      </w:pPr>
      <w:r w:rsidRPr="002E6F94">
        <w:rPr>
          <w:lang w:val="en-GB"/>
        </w:rPr>
        <w:t xml:space="preserve">9) </w:t>
      </w:r>
      <w:r w:rsidR="00C1413B" w:rsidRPr="002E6F94">
        <w:rPr>
          <w:lang w:val="en-GB"/>
        </w:rPr>
        <w:t xml:space="preserve">Tab </w:t>
      </w:r>
      <w:r w:rsidRPr="002E6F94">
        <w:rPr>
          <w:lang w:val="en-GB"/>
        </w:rPr>
        <w:t>which contains the instructions and guidance for the web interface.</w:t>
      </w:r>
    </w:p>
    <w:p w14:paraId="6FD24BEF" w14:textId="77777777" w:rsidR="00975EA8" w:rsidRPr="002E6F94" w:rsidRDefault="00975EA8" w:rsidP="00DA135B">
      <w:pPr>
        <w:spacing w:line="480" w:lineRule="auto"/>
        <w:rPr>
          <w:lang w:val="en-GB"/>
        </w:rPr>
      </w:pPr>
      <w:r w:rsidRPr="002E6F94">
        <w:rPr>
          <w:lang w:val="en-GB"/>
        </w:rPr>
        <w:t>10) An interactive volcano plot is created based on the user's input of the statistical analysis. By clicking on a protein, a boxplot with jitter with the individual patient data is created (see panel 12). </w:t>
      </w:r>
    </w:p>
    <w:p w14:paraId="71B7F2F4" w14:textId="77777777" w:rsidR="00975EA8" w:rsidRPr="002E6F94" w:rsidRDefault="00975EA8" w:rsidP="00DA135B">
      <w:pPr>
        <w:spacing w:line="480" w:lineRule="auto"/>
        <w:rPr>
          <w:lang w:val="en-GB"/>
        </w:rPr>
      </w:pPr>
      <w:r w:rsidRPr="002E6F94">
        <w:rPr>
          <w:lang w:val="en-GB"/>
        </w:rPr>
        <w:t xml:space="preserve">11) The user can download the statistical analysis as a </w:t>
      </w:r>
      <w:proofErr w:type="spellStart"/>
      <w:r w:rsidRPr="002E6F94">
        <w:rPr>
          <w:lang w:val="en-GB"/>
        </w:rPr>
        <w:t>tsv</w:t>
      </w:r>
      <w:proofErr w:type="spellEnd"/>
      <w:r w:rsidRPr="002E6F94">
        <w:rPr>
          <w:lang w:val="en-GB"/>
        </w:rPr>
        <w:t xml:space="preserve"> file and export the volcano plot as a pdf file. </w:t>
      </w:r>
    </w:p>
    <w:p w14:paraId="38F06078" w14:textId="509DC842" w:rsidR="00975EA8" w:rsidRPr="002E6F94" w:rsidRDefault="00975EA8" w:rsidP="00DA135B">
      <w:pPr>
        <w:spacing w:line="480" w:lineRule="auto"/>
        <w:rPr>
          <w:lang w:val="en-GB"/>
        </w:rPr>
      </w:pPr>
      <w:r w:rsidRPr="002E6F94">
        <w:rPr>
          <w:lang w:val="en-GB"/>
        </w:rPr>
        <w:t>12) If selected</w:t>
      </w:r>
      <w:r w:rsidR="00A94B06" w:rsidRPr="002E6F94">
        <w:rPr>
          <w:lang w:val="en-GB"/>
        </w:rPr>
        <w:t>,</w:t>
      </w:r>
      <w:r w:rsidRPr="002E6F94">
        <w:rPr>
          <w:lang w:val="en-GB"/>
        </w:rPr>
        <w:t xml:space="preserve"> the user can stratify the boxplot below by various patients’ characteristics. </w:t>
      </w:r>
    </w:p>
    <w:p w14:paraId="78B1AFBC" w14:textId="55B8B58F" w:rsidR="00975EA8" w:rsidRPr="002E6F94" w:rsidRDefault="00975EA8" w:rsidP="00DA135B">
      <w:pPr>
        <w:spacing w:line="480" w:lineRule="auto"/>
        <w:rPr>
          <w:lang w:val="en-GB"/>
        </w:rPr>
      </w:pPr>
      <w:r w:rsidRPr="002E6F94">
        <w:rPr>
          <w:lang w:val="en-GB"/>
        </w:rPr>
        <w:lastRenderedPageBreak/>
        <w:t>13) An interactive boxplot with jitter is displayed if the user clicks on a protein in the volcano plot. Each dot represents an individual sample and</w:t>
      </w:r>
      <w:r w:rsidR="00A94B06" w:rsidRPr="002E6F94">
        <w:rPr>
          <w:lang w:val="en-GB"/>
        </w:rPr>
        <w:t>,</w:t>
      </w:r>
      <w:r w:rsidRPr="002E6F94">
        <w:rPr>
          <w:lang w:val="en-GB"/>
        </w:rPr>
        <w:t xml:space="preserve"> when hovered over</w:t>
      </w:r>
      <w:r w:rsidR="00A94B06" w:rsidRPr="002E6F94">
        <w:rPr>
          <w:lang w:val="en-GB"/>
        </w:rPr>
        <w:t>,</w:t>
      </w:r>
      <w:r w:rsidRPr="002E6F94">
        <w:rPr>
          <w:lang w:val="en-GB"/>
        </w:rPr>
        <w:t xml:space="preserve"> it displays the patients’ medical data. </w:t>
      </w:r>
    </w:p>
    <w:p w14:paraId="1838847D" w14:textId="78B6BB90" w:rsidR="00975EA8" w:rsidRPr="002E6F94" w:rsidRDefault="00975EA8" w:rsidP="00DA135B">
      <w:pPr>
        <w:spacing w:line="480" w:lineRule="auto"/>
        <w:rPr>
          <w:lang w:val="en-GB"/>
        </w:rPr>
      </w:pPr>
      <w:r w:rsidRPr="002E6F94">
        <w:rPr>
          <w:lang w:val="en-GB"/>
        </w:rPr>
        <w:t>14) The user can export the protein boxplot as a pdf file.</w:t>
      </w:r>
    </w:p>
    <w:p w14:paraId="1546883D" w14:textId="77777777" w:rsidR="00C1413B" w:rsidRPr="002E6F94" w:rsidRDefault="00C1413B" w:rsidP="00DA135B">
      <w:pPr>
        <w:spacing w:line="480" w:lineRule="auto"/>
        <w:rPr>
          <w:lang w:val="en-GB"/>
        </w:rPr>
      </w:pPr>
    </w:p>
    <w:p w14:paraId="4B3F6F19" w14:textId="08713A96" w:rsidR="00975EA8" w:rsidRPr="002E6F94" w:rsidRDefault="00B8630A" w:rsidP="00DA135B">
      <w:pPr>
        <w:spacing w:line="480" w:lineRule="auto"/>
        <w:rPr>
          <w:lang w:val="en-GB"/>
        </w:rPr>
      </w:pPr>
      <w:r w:rsidRPr="002E6F94">
        <w:rPr>
          <w:b/>
          <w:bCs/>
          <w:lang w:val="en-GB"/>
        </w:rPr>
        <w:t>B</w:t>
      </w:r>
      <w:r w:rsidR="00BE47CB" w:rsidRPr="002E6F94">
        <w:rPr>
          <w:bCs/>
          <w:lang w:val="en-GB"/>
        </w:rPr>
        <w:t>,</w:t>
      </w:r>
      <w:r w:rsidR="00975EA8" w:rsidRPr="002E6F94">
        <w:rPr>
          <w:b/>
          <w:bCs/>
          <w:lang w:val="en-GB"/>
        </w:rPr>
        <w:t xml:space="preserve"> </w:t>
      </w:r>
      <w:r w:rsidR="00975EA8" w:rsidRPr="002E6F94">
        <w:rPr>
          <w:bCs/>
          <w:lang w:val="en-GB"/>
        </w:rPr>
        <w:t>Step by Step instructions for the Protein Correlation Analysis tab</w:t>
      </w:r>
      <w:r w:rsidR="00975EA8" w:rsidRPr="002E6F94">
        <w:rPr>
          <w:lang w:val="en-GB"/>
        </w:rPr>
        <w:t>.</w:t>
      </w:r>
    </w:p>
    <w:p w14:paraId="5B95FB0E" w14:textId="77777777" w:rsidR="00975EA8" w:rsidRPr="002E6F94" w:rsidRDefault="00975EA8" w:rsidP="00DA135B">
      <w:pPr>
        <w:spacing w:line="480" w:lineRule="auto"/>
        <w:rPr>
          <w:lang w:val="en-GB"/>
        </w:rPr>
      </w:pPr>
      <w:r w:rsidRPr="002E6F94">
        <w:rPr>
          <w:lang w:val="en-GB"/>
        </w:rPr>
        <w:t xml:space="preserve">15) The user can apply a </w:t>
      </w:r>
      <w:proofErr w:type="spellStart"/>
      <w:r w:rsidRPr="002E6F94">
        <w:rPr>
          <w:lang w:val="en-GB"/>
        </w:rPr>
        <w:t>cutoff</w:t>
      </w:r>
      <w:proofErr w:type="spellEnd"/>
      <w:r w:rsidRPr="002E6F94">
        <w:rPr>
          <w:lang w:val="en-GB"/>
        </w:rPr>
        <w:t xml:space="preserve"> for the p-value and the correlation slope, based on which the correlation heatmap (panel 16) is rendered. </w:t>
      </w:r>
    </w:p>
    <w:p w14:paraId="23CD3449" w14:textId="46A06DE3" w:rsidR="00975EA8" w:rsidRPr="002E6F94" w:rsidRDefault="00975EA8" w:rsidP="00DA135B">
      <w:pPr>
        <w:spacing w:line="480" w:lineRule="auto"/>
        <w:rPr>
          <w:lang w:val="en-GB"/>
        </w:rPr>
      </w:pPr>
      <w:r w:rsidRPr="002E6F94">
        <w:rPr>
          <w:lang w:val="en-GB"/>
        </w:rPr>
        <w:t xml:space="preserve">16) The user can search and select specific protein pairs </w:t>
      </w:r>
      <w:r w:rsidR="00A94B06" w:rsidRPr="002E6F94">
        <w:rPr>
          <w:lang w:val="en-GB"/>
        </w:rPr>
        <w:t>to</w:t>
      </w:r>
      <w:r w:rsidRPr="002E6F94">
        <w:rPr>
          <w:lang w:val="en-GB"/>
        </w:rPr>
        <w:t xml:space="preserve"> be visualized in panel 17. </w:t>
      </w:r>
    </w:p>
    <w:p w14:paraId="125B9316" w14:textId="0C29CD03" w:rsidR="00975EA8" w:rsidRPr="002E6F94" w:rsidRDefault="00975EA8" w:rsidP="00DA135B">
      <w:pPr>
        <w:spacing w:line="480" w:lineRule="auto"/>
        <w:rPr>
          <w:lang w:val="en-GB"/>
        </w:rPr>
      </w:pPr>
      <w:r w:rsidRPr="002E6F94">
        <w:rPr>
          <w:lang w:val="en-GB"/>
        </w:rPr>
        <w:t xml:space="preserve">17) An interactive correlation heatmap is created, </w:t>
      </w:r>
      <w:r w:rsidR="00A94B06" w:rsidRPr="002E6F94">
        <w:rPr>
          <w:lang w:val="en-GB"/>
        </w:rPr>
        <w:t>in which</w:t>
      </w:r>
      <w:r w:rsidRPr="002E6F94">
        <w:rPr>
          <w:lang w:val="en-GB"/>
        </w:rPr>
        <w:t xml:space="preserve"> the bottom triangle represents the patients</w:t>
      </w:r>
      <w:r w:rsidR="00A94B06" w:rsidRPr="002E6F94">
        <w:rPr>
          <w:lang w:val="en-GB"/>
        </w:rPr>
        <w:t xml:space="preserve"> with BAV</w:t>
      </w:r>
      <w:r w:rsidRPr="002E6F94">
        <w:rPr>
          <w:lang w:val="en-GB"/>
        </w:rPr>
        <w:t xml:space="preserve"> and the upper the</w:t>
      </w:r>
      <w:r w:rsidR="00A94B06" w:rsidRPr="002E6F94">
        <w:rPr>
          <w:lang w:val="en-GB"/>
        </w:rPr>
        <w:t xml:space="preserve"> patients with</w:t>
      </w:r>
      <w:r w:rsidRPr="002E6F94">
        <w:rPr>
          <w:lang w:val="en-GB"/>
        </w:rPr>
        <w:t xml:space="preserve"> TAV. Hovering over a tile shows the corresponding proteins and the Pearson correlation. </w:t>
      </w:r>
    </w:p>
    <w:p w14:paraId="5E26802B" w14:textId="77777777" w:rsidR="00975EA8" w:rsidRPr="002E6F94" w:rsidRDefault="00975EA8" w:rsidP="00DA135B">
      <w:pPr>
        <w:spacing w:line="480" w:lineRule="auto"/>
        <w:rPr>
          <w:lang w:val="en-GB"/>
        </w:rPr>
      </w:pPr>
      <w:r w:rsidRPr="002E6F94">
        <w:rPr>
          <w:lang w:val="en-GB"/>
        </w:rPr>
        <w:t>18) By clicking on a specific tile in the heatmap or selecting two proteins in panel 15, the user can visualize the Pearson correlation between two proteins for BAV and TAV AVD. </w:t>
      </w:r>
    </w:p>
    <w:p w14:paraId="060FCEE9" w14:textId="3AAAAA0E" w:rsidR="00975EA8" w:rsidRPr="002E6F94" w:rsidRDefault="00975EA8" w:rsidP="00DA135B">
      <w:pPr>
        <w:spacing w:line="480" w:lineRule="auto"/>
        <w:rPr>
          <w:lang w:val="en-GB"/>
        </w:rPr>
      </w:pPr>
      <w:r w:rsidRPr="002E6F94">
        <w:rPr>
          <w:lang w:val="en-GB"/>
        </w:rPr>
        <w:t>19) The user can export the protein correlation plot as a pdf file.</w:t>
      </w:r>
    </w:p>
    <w:p w14:paraId="404ABD3E" w14:textId="1E69B2BD" w:rsidR="00A94B06" w:rsidRPr="002E6F94" w:rsidRDefault="00A94B06" w:rsidP="00DA135B">
      <w:pPr>
        <w:spacing w:line="480" w:lineRule="auto"/>
        <w:rPr>
          <w:lang w:val="en-GB"/>
        </w:rPr>
      </w:pPr>
      <w:r w:rsidRPr="002E6F94">
        <w:rPr>
          <w:color w:val="000000" w:themeColor="text1"/>
          <w:lang w:val="en-GB"/>
        </w:rPr>
        <w:t>In figure, AVD: aortic valve degeneration; BAV: bicuspid aortic valve; TAV: tricuspid aortic valve.</w:t>
      </w:r>
    </w:p>
    <w:p w14:paraId="44D51324" w14:textId="3431D6CB" w:rsidR="00975EA8" w:rsidRPr="002E6F94" w:rsidRDefault="00975EA8" w:rsidP="00DA135B">
      <w:pPr>
        <w:spacing w:line="480" w:lineRule="auto"/>
        <w:rPr>
          <w:lang w:val="en-GB"/>
        </w:rPr>
      </w:pPr>
      <w:r w:rsidRPr="002E6F94">
        <w:rPr>
          <w:lang w:val="en-GB"/>
        </w:rPr>
        <w:br w:type="page"/>
      </w:r>
    </w:p>
    <w:p w14:paraId="6B470354" w14:textId="7F9F2EAD" w:rsidR="00DB1E75" w:rsidRPr="002E6F94" w:rsidRDefault="00BF60D4" w:rsidP="00DA135B">
      <w:pPr>
        <w:spacing w:line="480" w:lineRule="auto"/>
        <w:rPr>
          <w:lang w:val="en-GB"/>
        </w:rPr>
      </w:pPr>
      <w:r w:rsidRPr="002E6F94">
        <w:rPr>
          <w:noProof/>
          <w:lang w:val="en-US"/>
        </w:rPr>
        <w:lastRenderedPageBreak/>
        <w:drawing>
          <wp:inline distT="0" distB="0" distL="0" distR="0" wp14:anchorId="2D37DB1F" wp14:editId="754D6D9B">
            <wp:extent cx="2472690" cy="1858010"/>
            <wp:effectExtent l="0" t="0" r="381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2690" cy="1858010"/>
                    </a:xfrm>
                    <a:prstGeom prst="rect">
                      <a:avLst/>
                    </a:prstGeom>
                    <a:noFill/>
                    <a:ln>
                      <a:noFill/>
                    </a:ln>
                  </pic:spPr>
                </pic:pic>
              </a:graphicData>
            </a:graphic>
          </wp:inline>
        </w:drawing>
      </w:r>
    </w:p>
    <w:p w14:paraId="1E578E7A" w14:textId="75F850E5" w:rsidR="00DB1E75" w:rsidRPr="002E6F94" w:rsidRDefault="00064E72" w:rsidP="00DA135B">
      <w:pPr>
        <w:spacing w:line="480" w:lineRule="auto"/>
        <w:rPr>
          <w:b/>
          <w:bCs/>
          <w:lang w:val="en-GB"/>
        </w:rPr>
      </w:pPr>
      <w:r w:rsidRPr="00A44E3A">
        <w:rPr>
          <w:b/>
          <w:bCs/>
          <w:color w:val="000000" w:themeColor="text1"/>
          <w:lang w:val="en-GB"/>
        </w:rPr>
        <w:t>Supplementa</w:t>
      </w:r>
      <w:r w:rsidR="00C028BA">
        <w:rPr>
          <w:b/>
          <w:bCs/>
          <w:color w:val="000000" w:themeColor="text1"/>
          <w:lang w:val="en-GB"/>
        </w:rPr>
        <w:t>ry</w:t>
      </w:r>
      <w:r w:rsidRPr="00A44E3A">
        <w:rPr>
          <w:b/>
          <w:bCs/>
          <w:color w:val="000000" w:themeColor="text1"/>
          <w:lang w:val="en-GB"/>
        </w:rPr>
        <w:t xml:space="preserve"> </w:t>
      </w:r>
      <w:r w:rsidR="00DB1E75" w:rsidRPr="002E6F94">
        <w:rPr>
          <w:b/>
          <w:bCs/>
          <w:lang w:val="en-GB"/>
        </w:rPr>
        <w:t xml:space="preserve">Figure </w:t>
      </w:r>
      <w:r w:rsidR="006E0375" w:rsidRPr="002E6F94">
        <w:rPr>
          <w:b/>
          <w:bCs/>
          <w:lang w:val="en-GB"/>
        </w:rPr>
        <w:t>2</w:t>
      </w:r>
      <w:r w:rsidR="00BE47CB" w:rsidRPr="002E6F94">
        <w:rPr>
          <w:b/>
          <w:bCs/>
          <w:lang w:val="en-GB"/>
        </w:rPr>
        <w:t>.</w:t>
      </w:r>
    </w:p>
    <w:p w14:paraId="20019EFC" w14:textId="04473877" w:rsidR="00DB1E75" w:rsidRPr="002E6F94" w:rsidRDefault="0089634D" w:rsidP="00DA135B">
      <w:pPr>
        <w:spacing w:line="480" w:lineRule="auto"/>
        <w:rPr>
          <w:lang w:val="en-GB"/>
        </w:rPr>
      </w:pPr>
      <w:r w:rsidRPr="002E6F94">
        <w:rPr>
          <w:lang w:val="en-GB"/>
        </w:rPr>
        <w:t>T</w:t>
      </w:r>
      <w:r w:rsidR="00DB1E75" w:rsidRPr="002E6F94">
        <w:rPr>
          <w:lang w:val="en-GB"/>
        </w:rPr>
        <w:t>he absence of significant Pearson correlation between A</w:t>
      </w:r>
      <w:r w:rsidR="00716A15" w:rsidRPr="002E6F94">
        <w:rPr>
          <w:lang w:val="en-GB"/>
        </w:rPr>
        <w:t>NXA</w:t>
      </w:r>
      <w:r w:rsidR="00DB1E75" w:rsidRPr="002E6F94">
        <w:rPr>
          <w:lang w:val="en-GB"/>
        </w:rPr>
        <w:t xml:space="preserve">3 expression and age at surgery in ECM of </w:t>
      </w:r>
      <w:r w:rsidR="008658CF" w:rsidRPr="002E6F94">
        <w:rPr>
          <w:lang w:val="en-GB"/>
        </w:rPr>
        <w:t>aortic valve degeneration</w:t>
      </w:r>
      <w:r w:rsidR="008658CF" w:rsidRPr="002E6F94" w:rsidDel="008658CF">
        <w:rPr>
          <w:lang w:val="en-GB"/>
        </w:rPr>
        <w:t xml:space="preserve"> </w:t>
      </w:r>
      <w:r w:rsidR="00DB1E75" w:rsidRPr="002E6F94">
        <w:rPr>
          <w:lang w:val="en-GB"/>
        </w:rPr>
        <w:t xml:space="preserve">patients with </w:t>
      </w:r>
      <w:r w:rsidR="008658CF" w:rsidRPr="002E6F94">
        <w:rPr>
          <w:lang w:val="en-GB"/>
        </w:rPr>
        <w:t>tricuspid aortic valves</w:t>
      </w:r>
      <w:r w:rsidR="00DB1E75" w:rsidRPr="002E6F94">
        <w:rPr>
          <w:lang w:val="en-GB"/>
        </w:rPr>
        <w:t>.</w:t>
      </w:r>
      <w:r w:rsidR="007D35A5" w:rsidRPr="002E6F94">
        <w:rPr>
          <w:lang w:val="en-GB"/>
        </w:rPr>
        <w:t xml:space="preserve"> The letter R indicates the Pearson correlation coefficient, p indicates the Pearson p-value, and shaded regions denote 95% confidence intervals.</w:t>
      </w:r>
      <w:r w:rsidR="00E616C3" w:rsidRPr="002E6F94">
        <w:rPr>
          <w:lang w:val="en-GB"/>
        </w:rPr>
        <w:t xml:space="preserve"> </w:t>
      </w:r>
    </w:p>
    <w:p w14:paraId="3A138120" w14:textId="77777777" w:rsidR="00A0294B" w:rsidRPr="002E6F94" w:rsidRDefault="00716A15" w:rsidP="00DA135B">
      <w:pPr>
        <w:spacing w:line="480" w:lineRule="auto"/>
        <w:rPr>
          <w:lang w:val="en-GB"/>
        </w:rPr>
        <w:sectPr w:rsidR="00A0294B" w:rsidRPr="002E6F94" w:rsidSect="005A210B">
          <w:footerReference w:type="even" r:id="rId9"/>
          <w:footerReference w:type="default" r:id="rId10"/>
          <w:pgSz w:w="11900" w:h="16840"/>
          <w:pgMar w:top="851" w:right="1418" w:bottom="1418" w:left="1418" w:header="709" w:footer="709" w:gutter="0"/>
          <w:cols w:space="708"/>
          <w:docGrid w:linePitch="360"/>
        </w:sectPr>
      </w:pPr>
      <w:r w:rsidRPr="002E6F94">
        <w:rPr>
          <w:lang w:val="en-GB"/>
        </w:rPr>
        <w:br w:type="page"/>
      </w:r>
    </w:p>
    <w:p w14:paraId="5D1A531F" w14:textId="01379CD3" w:rsidR="00716A15" w:rsidRPr="002E6F94" w:rsidRDefault="00BF60D4" w:rsidP="00DA135B">
      <w:pPr>
        <w:spacing w:line="480" w:lineRule="auto"/>
        <w:rPr>
          <w:lang w:val="en-GB"/>
        </w:rPr>
      </w:pPr>
      <w:r w:rsidRPr="002E6F94">
        <w:rPr>
          <w:noProof/>
          <w:lang w:val="en-US"/>
        </w:rPr>
        <w:lastRenderedPageBreak/>
        <w:drawing>
          <wp:inline distT="0" distB="0" distL="0" distR="0" wp14:anchorId="2F021CFD" wp14:editId="15DACA76">
            <wp:extent cx="6363970" cy="184340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63970" cy="1843405"/>
                    </a:xfrm>
                    <a:prstGeom prst="rect">
                      <a:avLst/>
                    </a:prstGeom>
                    <a:noFill/>
                    <a:ln>
                      <a:noFill/>
                    </a:ln>
                  </pic:spPr>
                </pic:pic>
              </a:graphicData>
            </a:graphic>
          </wp:inline>
        </w:drawing>
      </w:r>
    </w:p>
    <w:p w14:paraId="7DE74787" w14:textId="2CAFF53D" w:rsidR="00A0294B" w:rsidRPr="002E6F94" w:rsidRDefault="00A0294B" w:rsidP="00DA135B">
      <w:pPr>
        <w:spacing w:line="480" w:lineRule="auto"/>
        <w:rPr>
          <w:lang w:val="en-GB"/>
        </w:rPr>
      </w:pPr>
    </w:p>
    <w:p w14:paraId="755FEDEA" w14:textId="132E837E" w:rsidR="00A0294B" w:rsidRPr="002E6F94" w:rsidRDefault="00064E72" w:rsidP="00DA135B">
      <w:pPr>
        <w:spacing w:line="480" w:lineRule="auto"/>
        <w:rPr>
          <w:b/>
          <w:lang w:val="en-GB"/>
        </w:rPr>
      </w:pPr>
      <w:r w:rsidRPr="00A44E3A">
        <w:rPr>
          <w:b/>
          <w:bCs/>
          <w:color w:val="000000" w:themeColor="text1"/>
          <w:lang w:val="en-GB"/>
        </w:rPr>
        <w:t>Supplementa</w:t>
      </w:r>
      <w:r w:rsidR="00C028BA">
        <w:rPr>
          <w:b/>
          <w:bCs/>
          <w:color w:val="000000" w:themeColor="text1"/>
          <w:lang w:val="en-GB"/>
        </w:rPr>
        <w:t>ry</w:t>
      </w:r>
      <w:r w:rsidRPr="00A44E3A">
        <w:rPr>
          <w:b/>
          <w:bCs/>
          <w:color w:val="000000" w:themeColor="text1"/>
          <w:lang w:val="en-GB"/>
        </w:rPr>
        <w:t xml:space="preserve"> </w:t>
      </w:r>
      <w:r w:rsidR="00B46265" w:rsidRPr="002E6F94">
        <w:rPr>
          <w:b/>
          <w:lang w:val="en-GB"/>
        </w:rPr>
        <w:t xml:space="preserve">Figure </w:t>
      </w:r>
      <w:r w:rsidR="006E0375" w:rsidRPr="002E6F94">
        <w:rPr>
          <w:b/>
          <w:lang w:val="en-GB"/>
        </w:rPr>
        <w:t>3</w:t>
      </w:r>
      <w:r w:rsidR="00BE47CB" w:rsidRPr="002E6F94">
        <w:rPr>
          <w:b/>
          <w:lang w:val="en-GB"/>
        </w:rPr>
        <w:t>.</w:t>
      </w:r>
    </w:p>
    <w:p w14:paraId="29808410" w14:textId="66F70485" w:rsidR="00A0294B" w:rsidRPr="002E6F94" w:rsidRDefault="00B9223F" w:rsidP="00DA135B">
      <w:pPr>
        <w:spacing w:line="480" w:lineRule="auto"/>
        <w:rPr>
          <w:lang w:val="en-GB"/>
        </w:rPr>
      </w:pPr>
      <w:r w:rsidRPr="002E6F94">
        <w:rPr>
          <w:lang w:val="en-GB"/>
        </w:rPr>
        <w:t>Representative i</w:t>
      </w:r>
      <w:r w:rsidR="00B46265" w:rsidRPr="002E6F94">
        <w:rPr>
          <w:lang w:val="en-GB"/>
        </w:rPr>
        <w:t>mmunostaining of aortic valve tissues of aortic valve d</w:t>
      </w:r>
      <w:r w:rsidR="003E17C4" w:rsidRPr="002E6F94">
        <w:rPr>
          <w:lang w:val="en-GB"/>
        </w:rPr>
        <w:t>egeneration</w:t>
      </w:r>
      <w:r w:rsidR="00B46265" w:rsidRPr="002E6F94">
        <w:rPr>
          <w:lang w:val="en-GB"/>
        </w:rPr>
        <w:t xml:space="preserve"> patients with </w:t>
      </w:r>
      <w:r w:rsidR="008658CF" w:rsidRPr="002E6F94">
        <w:rPr>
          <w:lang w:val="en-GB"/>
        </w:rPr>
        <w:t>tricuspid aortic valve (TAV)</w:t>
      </w:r>
      <w:r w:rsidR="008658CF" w:rsidRPr="002E6F94" w:rsidDel="008658CF">
        <w:rPr>
          <w:lang w:val="en-GB"/>
        </w:rPr>
        <w:t xml:space="preserve"> </w:t>
      </w:r>
      <w:r w:rsidR="00B46265" w:rsidRPr="002E6F94">
        <w:rPr>
          <w:lang w:val="en-GB"/>
        </w:rPr>
        <w:t xml:space="preserve">and </w:t>
      </w:r>
      <w:r w:rsidR="008658CF" w:rsidRPr="002E6F94">
        <w:rPr>
          <w:lang w:val="en-GB"/>
        </w:rPr>
        <w:t xml:space="preserve">bicuspid aortic valve </w:t>
      </w:r>
      <w:r w:rsidR="00D71B78" w:rsidRPr="002E6F94">
        <w:rPr>
          <w:lang w:val="en-GB"/>
        </w:rPr>
        <w:t>(</w:t>
      </w:r>
      <w:r w:rsidR="008658CF" w:rsidRPr="002E6F94">
        <w:rPr>
          <w:lang w:val="en-GB"/>
        </w:rPr>
        <w:t>BAV</w:t>
      </w:r>
      <w:r w:rsidR="00D71B78" w:rsidRPr="002E6F94">
        <w:rPr>
          <w:lang w:val="en-GB"/>
        </w:rPr>
        <w:t>)</w:t>
      </w:r>
      <w:r w:rsidR="008658CF" w:rsidRPr="002E6F94">
        <w:rPr>
          <w:lang w:val="en-GB"/>
        </w:rPr>
        <w:t xml:space="preserve"> </w:t>
      </w:r>
      <w:r w:rsidR="00B46265" w:rsidRPr="002E6F94">
        <w:rPr>
          <w:lang w:val="en-GB"/>
        </w:rPr>
        <w:t>and normal aortic valves (control) with anti-Annexin A3, anti-Tenascin C, and anti-Apolipoprotein A-IV.</w:t>
      </w:r>
      <w:r w:rsidR="00B6085A" w:rsidRPr="002E6F94">
        <w:rPr>
          <w:lang w:val="en-GB"/>
        </w:rPr>
        <w:t xml:space="preserve"> Scale bars – 100 </w:t>
      </w:r>
      <w:r w:rsidR="00B6085A" w:rsidRPr="002E6F94">
        <w:rPr>
          <w:lang w:val="en-GB"/>
        </w:rPr>
        <w:sym w:font="Symbol" w:char="F06D"/>
      </w:r>
      <w:r w:rsidR="00B6085A" w:rsidRPr="002E6F94">
        <w:rPr>
          <w:lang w:val="en-GB"/>
        </w:rPr>
        <w:t>m.</w:t>
      </w:r>
      <w:r w:rsidR="00346AAE" w:rsidRPr="002E6F94">
        <w:rPr>
          <w:lang w:val="en-GB"/>
        </w:rPr>
        <w:t xml:space="preserve"> </w:t>
      </w:r>
    </w:p>
    <w:p w14:paraId="4A3487B3" w14:textId="5C46C01B" w:rsidR="00A0294B" w:rsidRPr="002E6F94" w:rsidRDefault="00A0294B" w:rsidP="00DA135B">
      <w:pPr>
        <w:spacing w:line="480" w:lineRule="auto"/>
        <w:rPr>
          <w:lang w:val="en-GB"/>
        </w:rPr>
        <w:sectPr w:rsidR="00A0294B" w:rsidRPr="002E6F94" w:rsidSect="005A210B">
          <w:pgSz w:w="11900" w:h="16840"/>
          <w:pgMar w:top="1418" w:right="1418" w:bottom="851" w:left="1418" w:header="709" w:footer="709" w:gutter="0"/>
          <w:cols w:space="708"/>
          <w:docGrid w:linePitch="360"/>
        </w:sectPr>
      </w:pPr>
    </w:p>
    <w:p w14:paraId="322EFEE5" w14:textId="62A5E1A4" w:rsidR="00181A5B" w:rsidRPr="002E6F94" w:rsidRDefault="00BF60D4" w:rsidP="00DA135B">
      <w:pPr>
        <w:spacing w:line="480" w:lineRule="auto"/>
        <w:rPr>
          <w:lang w:val="en-GB"/>
        </w:rPr>
      </w:pPr>
      <w:r w:rsidRPr="002E6F94">
        <w:rPr>
          <w:noProof/>
          <w:lang w:val="en-US"/>
        </w:rPr>
        <w:lastRenderedPageBreak/>
        <w:drawing>
          <wp:inline distT="0" distB="0" distL="0" distR="0" wp14:anchorId="2E81C741" wp14:editId="17A670F1">
            <wp:extent cx="5749925" cy="8566150"/>
            <wp:effectExtent l="0" t="0" r="3175"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49925" cy="8566150"/>
                    </a:xfrm>
                    <a:prstGeom prst="rect">
                      <a:avLst/>
                    </a:prstGeom>
                    <a:noFill/>
                    <a:ln>
                      <a:noFill/>
                    </a:ln>
                  </pic:spPr>
                </pic:pic>
              </a:graphicData>
            </a:graphic>
          </wp:inline>
        </w:drawing>
      </w:r>
    </w:p>
    <w:p w14:paraId="7F72FCA7" w14:textId="0B729101" w:rsidR="00BE47CB" w:rsidRPr="002E6F94" w:rsidRDefault="00064E72" w:rsidP="00DA135B">
      <w:pPr>
        <w:spacing w:line="480" w:lineRule="auto"/>
        <w:rPr>
          <w:lang w:val="en-GB"/>
        </w:rPr>
      </w:pPr>
      <w:r w:rsidRPr="00A44E3A">
        <w:rPr>
          <w:b/>
          <w:bCs/>
          <w:color w:val="000000" w:themeColor="text1"/>
          <w:lang w:val="en-GB"/>
        </w:rPr>
        <w:lastRenderedPageBreak/>
        <w:t>Supplementa</w:t>
      </w:r>
      <w:r w:rsidR="00C028BA">
        <w:rPr>
          <w:b/>
          <w:bCs/>
          <w:color w:val="000000" w:themeColor="text1"/>
          <w:lang w:val="en-GB"/>
        </w:rPr>
        <w:t>ry</w:t>
      </w:r>
      <w:r w:rsidRPr="00A44E3A">
        <w:rPr>
          <w:b/>
          <w:bCs/>
          <w:color w:val="000000" w:themeColor="text1"/>
          <w:lang w:val="en-GB"/>
        </w:rPr>
        <w:t xml:space="preserve"> </w:t>
      </w:r>
      <w:r w:rsidR="00F62978" w:rsidRPr="002E6F94">
        <w:rPr>
          <w:b/>
          <w:lang w:val="en-GB"/>
        </w:rPr>
        <w:t xml:space="preserve">Figure </w:t>
      </w:r>
      <w:r w:rsidR="006E0375" w:rsidRPr="002E6F94">
        <w:rPr>
          <w:b/>
          <w:lang w:val="en-GB"/>
        </w:rPr>
        <w:t>4</w:t>
      </w:r>
      <w:r w:rsidR="00BE47CB" w:rsidRPr="002E6F94">
        <w:rPr>
          <w:b/>
          <w:lang w:val="en-GB"/>
        </w:rPr>
        <w:t>.</w:t>
      </w:r>
      <w:r w:rsidR="00BE47CB" w:rsidRPr="002E6F94">
        <w:rPr>
          <w:lang w:val="en-GB"/>
        </w:rPr>
        <w:t xml:space="preserve"> </w:t>
      </w:r>
      <w:r w:rsidR="008404AD" w:rsidRPr="002E6F94">
        <w:rPr>
          <w:b/>
          <w:lang w:val="en-GB"/>
        </w:rPr>
        <w:t xml:space="preserve">Quantification of relative abundances in </w:t>
      </w:r>
      <w:r w:rsidR="00B66050" w:rsidRPr="002E6F94">
        <w:rPr>
          <w:b/>
          <w:lang w:val="en-GB"/>
        </w:rPr>
        <w:t>the ECM samples of 18 TAV and 18 BAV patients</w:t>
      </w:r>
      <w:r w:rsidR="00EB45A5" w:rsidRPr="002E6F94">
        <w:rPr>
          <w:b/>
          <w:lang w:val="en-GB"/>
        </w:rPr>
        <w:t xml:space="preserve"> with aortic valve </w:t>
      </w:r>
      <w:r w:rsidR="003E17C4" w:rsidRPr="002E6F94">
        <w:rPr>
          <w:b/>
          <w:lang w:val="en-GB"/>
        </w:rPr>
        <w:t>degeneration</w:t>
      </w:r>
      <w:r w:rsidR="00B66050" w:rsidRPr="002E6F94">
        <w:rPr>
          <w:b/>
          <w:lang w:val="en-GB"/>
        </w:rPr>
        <w:t xml:space="preserve">. </w:t>
      </w:r>
    </w:p>
    <w:p w14:paraId="2A7653BF" w14:textId="6C1E1FD2" w:rsidR="00181A5B" w:rsidRPr="002E6F94" w:rsidRDefault="00B8630A" w:rsidP="00DA135B">
      <w:pPr>
        <w:spacing w:line="480" w:lineRule="auto"/>
        <w:rPr>
          <w:lang w:val="en-GB"/>
        </w:rPr>
      </w:pPr>
      <w:r w:rsidRPr="002E6F94">
        <w:rPr>
          <w:b/>
          <w:lang w:val="en-GB"/>
        </w:rPr>
        <w:t>A</w:t>
      </w:r>
      <w:r w:rsidR="008E1032" w:rsidRPr="002E6F94">
        <w:rPr>
          <w:lang w:val="en-GB"/>
        </w:rPr>
        <w:t>,</w:t>
      </w:r>
      <w:r w:rsidR="004B0514" w:rsidRPr="002E6F94">
        <w:rPr>
          <w:lang w:val="en-GB"/>
        </w:rPr>
        <w:t xml:space="preserve"> SYPRO Ruby total protein stain of the samples</w:t>
      </w:r>
      <w:r w:rsidR="00C435D2" w:rsidRPr="002E6F94">
        <w:rPr>
          <w:lang w:val="en-GB"/>
        </w:rPr>
        <w:t xml:space="preserve"> that was used for the quantification</w:t>
      </w:r>
      <w:r w:rsidR="004B0514" w:rsidRPr="002E6F94">
        <w:rPr>
          <w:lang w:val="en-GB"/>
        </w:rPr>
        <w:t xml:space="preserve">. </w:t>
      </w:r>
      <w:r w:rsidRPr="002E6F94">
        <w:rPr>
          <w:b/>
          <w:lang w:val="en-GB"/>
        </w:rPr>
        <w:t>B</w:t>
      </w:r>
      <w:r w:rsidR="008E1032" w:rsidRPr="002E6F94">
        <w:rPr>
          <w:lang w:val="en-GB"/>
        </w:rPr>
        <w:t>,</w:t>
      </w:r>
      <w:r w:rsidR="004B0514" w:rsidRPr="002E6F94">
        <w:rPr>
          <w:lang w:val="en-GB"/>
        </w:rPr>
        <w:t xml:space="preserve"> </w:t>
      </w:r>
      <w:r w:rsidR="00653800" w:rsidRPr="002E6F94">
        <w:rPr>
          <w:lang w:val="en-GB"/>
        </w:rPr>
        <w:t>Western blot analyses of Annexin A3 in ECM of AVD patients with TAV and BAV</w:t>
      </w:r>
      <w:r w:rsidR="00C435D2" w:rsidRPr="002E6F94">
        <w:rPr>
          <w:lang w:val="en-GB"/>
        </w:rPr>
        <w:t xml:space="preserve"> that was used for the quantification</w:t>
      </w:r>
      <w:r w:rsidR="00653800" w:rsidRPr="002E6F94">
        <w:rPr>
          <w:lang w:val="en-GB"/>
        </w:rPr>
        <w:t xml:space="preserve">. Black arrows indicate the specific band for Annexin A3. </w:t>
      </w:r>
      <w:r w:rsidRPr="002E6F94">
        <w:rPr>
          <w:b/>
          <w:lang w:val="en-GB"/>
        </w:rPr>
        <w:t>C</w:t>
      </w:r>
      <w:r w:rsidR="008E1032" w:rsidRPr="002E6F94">
        <w:rPr>
          <w:lang w:val="en-GB"/>
        </w:rPr>
        <w:t>,</w:t>
      </w:r>
      <w:r w:rsidR="00653800" w:rsidRPr="002E6F94">
        <w:rPr>
          <w:lang w:val="en-GB"/>
        </w:rPr>
        <w:t xml:space="preserve"> Western blot analyses of Tenascin C abundances in ECM of AVD patients with TAV and BAV</w:t>
      </w:r>
      <w:r w:rsidR="00C435D2" w:rsidRPr="002E6F94">
        <w:rPr>
          <w:lang w:val="en-GB"/>
        </w:rPr>
        <w:t xml:space="preserve"> that was used for the quantification</w:t>
      </w:r>
      <w:r w:rsidR="00653800" w:rsidRPr="002E6F94">
        <w:rPr>
          <w:lang w:val="en-GB"/>
        </w:rPr>
        <w:t xml:space="preserve">. Black arrows indicate the specific band for Tenascin C. </w:t>
      </w:r>
      <w:r w:rsidRPr="002E6F94">
        <w:rPr>
          <w:b/>
          <w:lang w:val="en-GB"/>
        </w:rPr>
        <w:t>D</w:t>
      </w:r>
      <w:r w:rsidR="008E1032" w:rsidRPr="002E6F94">
        <w:rPr>
          <w:lang w:val="en-GB"/>
        </w:rPr>
        <w:t>,</w:t>
      </w:r>
      <w:r w:rsidR="00653800" w:rsidRPr="002E6F94">
        <w:rPr>
          <w:lang w:val="en-GB"/>
        </w:rPr>
        <w:t xml:space="preserve"> Same as C but with lower exposition time. </w:t>
      </w:r>
      <w:r w:rsidRPr="002E6F94">
        <w:rPr>
          <w:b/>
          <w:lang w:val="en-GB"/>
        </w:rPr>
        <w:t>E</w:t>
      </w:r>
      <w:r w:rsidR="008E1032" w:rsidRPr="002E6F94">
        <w:rPr>
          <w:lang w:val="en-GB"/>
        </w:rPr>
        <w:t>,</w:t>
      </w:r>
      <w:r w:rsidR="00653800" w:rsidRPr="002E6F94">
        <w:rPr>
          <w:lang w:val="en-GB"/>
        </w:rPr>
        <w:t xml:space="preserve"> Relative quantification of total proteins, Annexin A3 and Tenascin C in the 18 TAV and 18 BAV patients. The total protein quantification is normalized t</w:t>
      </w:r>
      <w:r w:rsidR="00C435D2" w:rsidRPr="002E6F94">
        <w:rPr>
          <w:lang w:val="en-GB"/>
        </w:rPr>
        <w:t>o</w:t>
      </w:r>
      <w:r w:rsidR="00653800" w:rsidRPr="002E6F94">
        <w:rPr>
          <w:lang w:val="en-GB"/>
        </w:rPr>
        <w:t xml:space="preserve"> the mea</w:t>
      </w:r>
      <w:r w:rsidR="00C435D2" w:rsidRPr="002E6F94">
        <w:rPr>
          <w:lang w:val="en-GB"/>
        </w:rPr>
        <w:t xml:space="preserve">n signal in all the 36 samples. </w:t>
      </w:r>
      <w:r w:rsidR="00370A5E" w:rsidRPr="002E6F94">
        <w:rPr>
          <w:lang w:val="en-GB"/>
        </w:rPr>
        <w:t xml:space="preserve">The BAV sample in lane 19 shown an aberrant low value of 0.05 and was excluded from the </w:t>
      </w:r>
      <w:r w:rsidR="00EB45A5" w:rsidRPr="002E6F94">
        <w:rPr>
          <w:lang w:val="en-GB"/>
        </w:rPr>
        <w:t xml:space="preserve">downstream </w:t>
      </w:r>
      <w:r w:rsidR="00370A5E" w:rsidRPr="002E6F94">
        <w:rPr>
          <w:lang w:val="en-GB"/>
        </w:rPr>
        <w:t xml:space="preserve">analysis as an outlier. </w:t>
      </w:r>
      <w:r w:rsidR="003D2D0D" w:rsidRPr="002E6F94">
        <w:rPr>
          <w:lang w:val="en-GB"/>
        </w:rPr>
        <w:t xml:space="preserve">The Annexin A3 and Tenascin C signals were normalized to the </w:t>
      </w:r>
      <w:r w:rsidR="00370A5E" w:rsidRPr="002E6F94">
        <w:rPr>
          <w:lang w:val="en-GB"/>
        </w:rPr>
        <w:t xml:space="preserve">respective </w:t>
      </w:r>
      <w:r w:rsidR="003D2D0D" w:rsidRPr="002E6F94">
        <w:rPr>
          <w:lang w:val="en-GB"/>
        </w:rPr>
        <w:t xml:space="preserve">median </w:t>
      </w:r>
      <w:r w:rsidR="00370A5E" w:rsidRPr="002E6F94">
        <w:rPr>
          <w:lang w:val="en-GB"/>
        </w:rPr>
        <w:t>and total protein stain for the sample input.</w:t>
      </w:r>
      <w:r w:rsidR="003D2D0D" w:rsidRPr="002E6F94">
        <w:rPr>
          <w:lang w:val="en-GB"/>
        </w:rPr>
        <w:t xml:space="preserve"> </w:t>
      </w:r>
      <w:r w:rsidR="00C435D2" w:rsidRPr="002E6F94">
        <w:rPr>
          <w:lang w:val="en-GB"/>
        </w:rPr>
        <w:t xml:space="preserve">The quantification of Tenascin C signals for BAV samples in lanes 3 and 4 could not be performed because of the saturation of the signal. But, as shown in panel D the abundance of Tenascin C in the samples was higher than that in samples of patients with TAV. </w:t>
      </w:r>
      <w:r w:rsidRPr="002E6F94">
        <w:rPr>
          <w:b/>
          <w:lang w:val="en-GB"/>
        </w:rPr>
        <w:t>F</w:t>
      </w:r>
      <w:r w:rsidR="008E1032" w:rsidRPr="002E6F94">
        <w:rPr>
          <w:lang w:val="en-GB"/>
        </w:rPr>
        <w:t>,</w:t>
      </w:r>
      <w:r w:rsidR="00C435D2" w:rsidRPr="002E6F94">
        <w:rPr>
          <w:lang w:val="en-GB"/>
        </w:rPr>
        <w:t xml:space="preserve"> Graphic representation of the results from panel </w:t>
      </w:r>
      <w:r w:rsidR="003D2D0D" w:rsidRPr="002E6F94">
        <w:rPr>
          <w:lang w:val="en-GB"/>
        </w:rPr>
        <w:t>E. Horizonal line in the box plots represent the median, 25th and 75th percentiles and whiskers represent measurements to the 5th and 95th percentiles. In figure, ND</w:t>
      </w:r>
      <w:r w:rsidR="00B9223F" w:rsidRPr="002E6F94">
        <w:rPr>
          <w:lang w:val="en-GB"/>
        </w:rPr>
        <w:t xml:space="preserve">: </w:t>
      </w:r>
      <w:r w:rsidR="003D2D0D" w:rsidRPr="002E6F94">
        <w:rPr>
          <w:lang w:val="en-GB"/>
        </w:rPr>
        <w:t>not defined</w:t>
      </w:r>
      <w:r w:rsidR="00346AAE" w:rsidRPr="002E6F94">
        <w:rPr>
          <w:lang w:val="en-GB"/>
        </w:rPr>
        <w:t>; BAV: bicuspid aortic valve; TAV: tricuspid aortic valve.</w:t>
      </w:r>
    </w:p>
    <w:p w14:paraId="3B4B7C4B" w14:textId="39D22C1B" w:rsidR="00C1038C" w:rsidRPr="002E6F94" w:rsidRDefault="00C1038C" w:rsidP="00DA135B">
      <w:pPr>
        <w:spacing w:line="480" w:lineRule="auto"/>
        <w:rPr>
          <w:lang w:val="en-GB"/>
        </w:rPr>
      </w:pPr>
      <w:r w:rsidRPr="002E6F94">
        <w:rPr>
          <w:lang w:val="en-GB"/>
        </w:rPr>
        <w:br w:type="page"/>
      </w:r>
    </w:p>
    <w:p w14:paraId="4EF2D057" w14:textId="41EAAAC3" w:rsidR="00181A5B" w:rsidRPr="002E6F94" w:rsidRDefault="00BF60D4" w:rsidP="00DA135B">
      <w:pPr>
        <w:spacing w:line="480" w:lineRule="auto"/>
        <w:rPr>
          <w:lang w:val="en-GB"/>
        </w:rPr>
      </w:pPr>
      <w:r w:rsidRPr="002E6F94">
        <w:rPr>
          <w:noProof/>
          <w:lang w:val="en-US"/>
        </w:rPr>
        <w:lastRenderedPageBreak/>
        <w:drawing>
          <wp:inline distT="0" distB="0" distL="0" distR="0" wp14:anchorId="68330658" wp14:editId="57908BB9">
            <wp:extent cx="5749925" cy="2157730"/>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49925" cy="2157730"/>
                    </a:xfrm>
                    <a:prstGeom prst="rect">
                      <a:avLst/>
                    </a:prstGeom>
                    <a:noFill/>
                    <a:ln>
                      <a:noFill/>
                    </a:ln>
                  </pic:spPr>
                </pic:pic>
              </a:graphicData>
            </a:graphic>
          </wp:inline>
        </w:drawing>
      </w:r>
    </w:p>
    <w:p w14:paraId="542F6CDA" w14:textId="4EF0D671" w:rsidR="00C1038C" w:rsidRPr="002E6F94" w:rsidRDefault="00064E72" w:rsidP="00DA135B">
      <w:pPr>
        <w:spacing w:line="480" w:lineRule="auto"/>
        <w:rPr>
          <w:b/>
          <w:lang w:val="en-GB"/>
        </w:rPr>
      </w:pPr>
      <w:r w:rsidRPr="00A44E3A">
        <w:rPr>
          <w:b/>
          <w:bCs/>
          <w:color w:val="000000" w:themeColor="text1"/>
          <w:lang w:val="en-GB"/>
        </w:rPr>
        <w:t>Supplementa</w:t>
      </w:r>
      <w:r w:rsidR="00C028BA">
        <w:rPr>
          <w:b/>
          <w:bCs/>
          <w:color w:val="000000" w:themeColor="text1"/>
          <w:lang w:val="en-GB"/>
        </w:rPr>
        <w:t>ry</w:t>
      </w:r>
      <w:r w:rsidRPr="00A44E3A">
        <w:rPr>
          <w:b/>
          <w:bCs/>
          <w:color w:val="000000" w:themeColor="text1"/>
          <w:lang w:val="en-GB"/>
        </w:rPr>
        <w:t xml:space="preserve"> </w:t>
      </w:r>
      <w:r w:rsidR="00C1038C" w:rsidRPr="002E6F94">
        <w:rPr>
          <w:b/>
          <w:lang w:val="en-GB"/>
        </w:rPr>
        <w:t xml:space="preserve">Figure </w:t>
      </w:r>
      <w:r w:rsidR="006E0375" w:rsidRPr="002E6F94">
        <w:rPr>
          <w:b/>
          <w:lang w:val="en-GB"/>
        </w:rPr>
        <w:t>5</w:t>
      </w:r>
      <w:r w:rsidR="00BE47CB" w:rsidRPr="002E6F94">
        <w:rPr>
          <w:b/>
          <w:lang w:val="en-GB"/>
        </w:rPr>
        <w:t>.</w:t>
      </w:r>
    </w:p>
    <w:p w14:paraId="3A6FB978" w14:textId="0776B8D8" w:rsidR="00C1038C" w:rsidRPr="002E6F94" w:rsidRDefault="00B8630A" w:rsidP="00DA135B">
      <w:pPr>
        <w:spacing w:line="480" w:lineRule="auto"/>
        <w:rPr>
          <w:lang w:val="en-GB"/>
        </w:rPr>
      </w:pPr>
      <w:r w:rsidRPr="002E6F94">
        <w:rPr>
          <w:b/>
          <w:lang w:val="en-GB"/>
        </w:rPr>
        <w:t>A</w:t>
      </w:r>
      <w:r w:rsidR="00C1038C" w:rsidRPr="002E6F94">
        <w:rPr>
          <w:lang w:val="en-GB"/>
        </w:rPr>
        <w:t xml:space="preserve">, Representative immunostaining of aortic valve tissues of TAV AVD patients with anti-myeloperoxidase (MPO) antibodies (patient number 42 is shown). No positive signal was detected. </w:t>
      </w:r>
      <w:r w:rsidRPr="002E6F94">
        <w:rPr>
          <w:b/>
          <w:lang w:val="en-GB"/>
        </w:rPr>
        <w:t>B</w:t>
      </w:r>
      <w:r w:rsidR="00C1038C" w:rsidRPr="002E6F94">
        <w:rPr>
          <w:lang w:val="en-GB"/>
        </w:rPr>
        <w:t>, Representative HE staining of aortic valve tissues of TAV AVD patients (patient number 42 is shown). No segmented nuclei that are characteristic for neutrophils were detected. AVD: aortic valve degeneration; TAV: tricuspid aortic valve.</w:t>
      </w:r>
    </w:p>
    <w:p w14:paraId="62A39D30" w14:textId="40B2B524" w:rsidR="00C1038C" w:rsidRPr="002E6F94" w:rsidRDefault="00C1038C" w:rsidP="00DA135B">
      <w:pPr>
        <w:spacing w:line="480" w:lineRule="auto"/>
        <w:rPr>
          <w:lang w:val="en-GB"/>
        </w:rPr>
      </w:pPr>
      <w:r w:rsidRPr="002E6F94">
        <w:rPr>
          <w:lang w:val="en-GB"/>
        </w:rPr>
        <w:br w:type="page"/>
      </w:r>
    </w:p>
    <w:p w14:paraId="22DBFD72" w14:textId="0F44151D" w:rsidR="00C1038C" w:rsidRPr="002E6F94" w:rsidRDefault="00BF60D4" w:rsidP="00DA135B">
      <w:pPr>
        <w:spacing w:line="480" w:lineRule="auto"/>
        <w:rPr>
          <w:lang w:val="en-GB"/>
        </w:rPr>
      </w:pPr>
      <w:r w:rsidRPr="002E6F94">
        <w:rPr>
          <w:noProof/>
          <w:lang w:val="en-US"/>
        </w:rPr>
        <w:lastRenderedPageBreak/>
        <w:drawing>
          <wp:inline distT="0" distB="0" distL="0" distR="0" wp14:anchorId="134FF304" wp14:editId="3AD9EDD8">
            <wp:extent cx="5749925" cy="2597150"/>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49925" cy="2597150"/>
                    </a:xfrm>
                    <a:prstGeom prst="rect">
                      <a:avLst/>
                    </a:prstGeom>
                    <a:noFill/>
                    <a:ln>
                      <a:noFill/>
                    </a:ln>
                  </pic:spPr>
                </pic:pic>
              </a:graphicData>
            </a:graphic>
          </wp:inline>
        </w:drawing>
      </w:r>
    </w:p>
    <w:p w14:paraId="5E15EA60" w14:textId="40DFABAB" w:rsidR="00C1038C" w:rsidRPr="002E6F94" w:rsidRDefault="00064E72" w:rsidP="00DA135B">
      <w:pPr>
        <w:spacing w:line="480" w:lineRule="auto"/>
        <w:rPr>
          <w:b/>
          <w:color w:val="000000" w:themeColor="text1"/>
          <w:lang w:val="en-GB"/>
        </w:rPr>
      </w:pPr>
      <w:r w:rsidRPr="00A44E3A">
        <w:rPr>
          <w:b/>
          <w:bCs/>
          <w:color w:val="000000" w:themeColor="text1"/>
          <w:lang w:val="en-GB"/>
        </w:rPr>
        <w:t>Supplementa</w:t>
      </w:r>
      <w:r w:rsidR="00C028BA">
        <w:rPr>
          <w:b/>
          <w:bCs/>
          <w:color w:val="000000" w:themeColor="text1"/>
          <w:lang w:val="en-GB"/>
        </w:rPr>
        <w:t>ry</w:t>
      </w:r>
      <w:r w:rsidRPr="00A44E3A">
        <w:rPr>
          <w:b/>
          <w:bCs/>
          <w:color w:val="000000" w:themeColor="text1"/>
          <w:lang w:val="en-GB"/>
        </w:rPr>
        <w:t xml:space="preserve"> </w:t>
      </w:r>
      <w:r w:rsidR="00C1038C" w:rsidRPr="002E6F94">
        <w:rPr>
          <w:b/>
          <w:color w:val="000000" w:themeColor="text1"/>
          <w:lang w:val="en-GB"/>
        </w:rPr>
        <w:t xml:space="preserve">Figure </w:t>
      </w:r>
      <w:r w:rsidR="006E0375" w:rsidRPr="002E6F94">
        <w:rPr>
          <w:b/>
          <w:color w:val="000000" w:themeColor="text1"/>
          <w:lang w:val="en-GB"/>
        </w:rPr>
        <w:t>6</w:t>
      </w:r>
      <w:r w:rsidR="00C1038C" w:rsidRPr="002E6F94">
        <w:rPr>
          <w:b/>
          <w:color w:val="000000" w:themeColor="text1"/>
          <w:lang w:val="en-GB"/>
        </w:rPr>
        <w:t xml:space="preserve">. Differences in several cholesterol </w:t>
      </w:r>
      <w:r w:rsidR="00AB6FD7" w:rsidRPr="002E6F94">
        <w:rPr>
          <w:b/>
          <w:color w:val="000000" w:themeColor="text1"/>
          <w:lang w:val="en-GB"/>
        </w:rPr>
        <w:t xml:space="preserve">deposition </w:t>
      </w:r>
      <w:r w:rsidR="00C1038C" w:rsidRPr="002E6F94">
        <w:rPr>
          <w:b/>
          <w:color w:val="000000" w:themeColor="text1"/>
          <w:lang w:val="en-GB"/>
        </w:rPr>
        <w:t xml:space="preserve">markers are independent from </w:t>
      </w:r>
      <w:r w:rsidR="00BE47CB" w:rsidRPr="002E6F94">
        <w:rPr>
          <w:b/>
          <w:color w:val="000000" w:themeColor="text1"/>
          <w:lang w:val="en-GB"/>
        </w:rPr>
        <w:t>s</w:t>
      </w:r>
      <w:r w:rsidR="00C1038C" w:rsidRPr="002E6F94">
        <w:rPr>
          <w:b/>
          <w:color w:val="000000" w:themeColor="text1"/>
          <w:lang w:val="en-GB"/>
        </w:rPr>
        <w:t>tatin intake.</w:t>
      </w:r>
    </w:p>
    <w:p w14:paraId="2607D4D2" w14:textId="425290EA" w:rsidR="00C1038C" w:rsidRPr="002E6F94" w:rsidRDefault="00B8630A" w:rsidP="00DA135B">
      <w:pPr>
        <w:spacing w:line="480" w:lineRule="auto"/>
        <w:rPr>
          <w:color w:val="000000" w:themeColor="text1"/>
          <w:lang w:val="en-GB"/>
        </w:rPr>
      </w:pPr>
      <w:r w:rsidRPr="002E6F94">
        <w:rPr>
          <w:b/>
          <w:color w:val="000000" w:themeColor="text1"/>
          <w:lang w:val="en-GB"/>
        </w:rPr>
        <w:t>A</w:t>
      </w:r>
      <w:r w:rsidR="004536A2" w:rsidRPr="002E6F94">
        <w:rPr>
          <w:color w:val="000000" w:themeColor="text1"/>
          <w:lang w:val="en-GB"/>
        </w:rPr>
        <w:t>,</w:t>
      </w:r>
      <w:r w:rsidR="00C1038C" w:rsidRPr="002E6F94">
        <w:rPr>
          <w:color w:val="000000" w:themeColor="text1"/>
          <w:lang w:val="en-GB"/>
        </w:rPr>
        <w:t xml:space="preserve"> Two-way analysis of variance (ANOVA) with Tukey’s post-hoc test shows increased abundance of cholesterol</w:t>
      </w:r>
      <w:r w:rsidR="00AB6FD7" w:rsidRPr="002E6F94">
        <w:rPr>
          <w:color w:val="000000" w:themeColor="text1"/>
          <w:lang w:val="en-GB"/>
        </w:rPr>
        <w:t xml:space="preserve"> deposition</w:t>
      </w:r>
      <w:r w:rsidR="00C1038C" w:rsidRPr="002E6F94">
        <w:rPr>
          <w:color w:val="000000" w:themeColor="text1"/>
          <w:lang w:val="en-GB"/>
        </w:rPr>
        <w:t xml:space="preserve"> markers in </w:t>
      </w:r>
      <w:r w:rsidR="00AB6FD7" w:rsidRPr="002E6F94">
        <w:rPr>
          <w:color w:val="000000" w:themeColor="text1"/>
          <w:lang w:val="en-GB"/>
        </w:rPr>
        <w:t>the</w:t>
      </w:r>
      <w:r w:rsidR="00C1038C" w:rsidRPr="002E6F94">
        <w:rPr>
          <w:color w:val="000000" w:themeColor="text1"/>
          <w:lang w:val="en-GB"/>
        </w:rPr>
        <w:t xml:space="preserve"> </w:t>
      </w:r>
      <w:r w:rsidR="00AB6FD7" w:rsidRPr="002E6F94">
        <w:rPr>
          <w:color w:val="000000" w:themeColor="text1"/>
          <w:lang w:val="en-GB"/>
        </w:rPr>
        <w:t xml:space="preserve">ECM of the </w:t>
      </w:r>
      <w:r w:rsidR="00C1038C" w:rsidRPr="002E6F94">
        <w:rPr>
          <w:color w:val="000000" w:themeColor="text1"/>
          <w:lang w:val="en-GB"/>
        </w:rPr>
        <w:t>patients</w:t>
      </w:r>
      <w:r w:rsidR="00AB6FD7" w:rsidRPr="002E6F94">
        <w:rPr>
          <w:color w:val="000000" w:themeColor="text1"/>
          <w:lang w:val="en-GB"/>
        </w:rPr>
        <w:t xml:space="preserve"> with BAV</w:t>
      </w:r>
      <w:r w:rsidR="00C1038C" w:rsidRPr="002E6F94">
        <w:rPr>
          <w:color w:val="000000" w:themeColor="text1"/>
          <w:lang w:val="en-GB"/>
        </w:rPr>
        <w:t xml:space="preserve"> comparted to</w:t>
      </w:r>
      <w:r w:rsidR="00AB6FD7" w:rsidRPr="002E6F94">
        <w:rPr>
          <w:color w:val="000000" w:themeColor="text1"/>
          <w:lang w:val="en-GB"/>
        </w:rPr>
        <w:t xml:space="preserve"> that in the patients with</w:t>
      </w:r>
      <w:r w:rsidR="00C1038C" w:rsidRPr="002E6F94">
        <w:rPr>
          <w:color w:val="000000" w:themeColor="text1"/>
          <w:lang w:val="en-GB"/>
        </w:rPr>
        <w:t xml:space="preserve"> TAV.</w:t>
      </w:r>
      <w:r w:rsidR="004536A2" w:rsidRPr="002E6F94">
        <w:rPr>
          <w:color w:val="000000" w:themeColor="text1"/>
          <w:lang w:val="en-GB"/>
        </w:rPr>
        <w:t xml:space="preserve"> </w:t>
      </w:r>
      <w:r w:rsidRPr="002E6F94">
        <w:rPr>
          <w:b/>
          <w:color w:val="000000" w:themeColor="text1"/>
          <w:lang w:val="en-GB"/>
        </w:rPr>
        <w:t>B</w:t>
      </w:r>
      <w:r w:rsidR="004536A2" w:rsidRPr="002E6F94">
        <w:rPr>
          <w:color w:val="000000" w:themeColor="text1"/>
          <w:lang w:val="en-GB"/>
        </w:rPr>
        <w:t>,</w:t>
      </w:r>
      <w:r w:rsidR="00C1038C" w:rsidRPr="002E6F94">
        <w:rPr>
          <w:color w:val="000000" w:themeColor="text1"/>
          <w:lang w:val="en-GB"/>
        </w:rPr>
        <w:t xml:space="preserve"> Boxplot of several </w:t>
      </w:r>
      <w:r w:rsidR="00AB6FD7" w:rsidRPr="002E6F94">
        <w:rPr>
          <w:color w:val="000000" w:themeColor="text1"/>
          <w:lang w:val="en-GB"/>
        </w:rPr>
        <w:t>markers of c</w:t>
      </w:r>
      <w:r w:rsidR="00C1038C" w:rsidRPr="002E6F94">
        <w:rPr>
          <w:color w:val="000000" w:themeColor="text1"/>
          <w:lang w:val="en-GB"/>
        </w:rPr>
        <w:t xml:space="preserve">holesterol </w:t>
      </w:r>
      <w:r w:rsidR="00AB6FD7" w:rsidRPr="002E6F94">
        <w:rPr>
          <w:color w:val="000000" w:themeColor="text1"/>
          <w:lang w:val="en-GB"/>
        </w:rPr>
        <w:t>deposition</w:t>
      </w:r>
      <w:r w:rsidR="00C1038C" w:rsidRPr="002E6F94">
        <w:rPr>
          <w:color w:val="000000" w:themeColor="text1"/>
          <w:lang w:val="en-GB"/>
        </w:rPr>
        <w:t xml:space="preserve"> grouped by TAV and BAV AVD and </w:t>
      </w:r>
      <w:r w:rsidR="002C7C3C" w:rsidRPr="002E6F94">
        <w:rPr>
          <w:color w:val="000000" w:themeColor="text1"/>
          <w:lang w:val="en-GB"/>
        </w:rPr>
        <w:t>coloured</w:t>
      </w:r>
      <w:r w:rsidR="00C1038C" w:rsidRPr="002E6F94">
        <w:rPr>
          <w:color w:val="000000" w:themeColor="text1"/>
          <w:lang w:val="en-GB"/>
        </w:rPr>
        <w:t xml:space="preserve"> based on </w:t>
      </w:r>
      <w:r w:rsidR="00AB6FD7" w:rsidRPr="002E6F94">
        <w:rPr>
          <w:color w:val="000000" w:themeColor="text1"/>
          <w:lang w:val="en-GB"/>
        </w:rPr>
        <w:t>the</w:t>
      </w:r>
      <w:r w:rsidR="00C1038C" w:rsidRPr="002E6F94">
        <w:rPr>
          <w:color w:val="000000" w:themeColor="text1"/>
          <w:lang w:val="en-GB"/>
        </w:rPr>
        <w:t xml:space="preserve"> </w:t>
      </w:r>
      <w:r w:rsidR="00AB6FD7" w:rsidRPr="002E6F94">
        <w:rPr>
          <w:color w:val="000000" w:themeColor="text1"/>
          <w:lang w:val="en-GB"/>
        </w:rPr>
        <w:t>s</w:t>
      </w:r>
      <w:r w:rsidR="00C1038C" w:rsidRPr="002E6F94">
        <w:rPr>
          <w:color w:val="000000" w:themeColor="text1"/>
          <w:lang w:val="en-GB"/>
        </w:rPr>
        <w:t>tatin</w:t>
      </w:r>
      <w:r w:rsidR="00AB6FD7" w:rsidRPr="002E6F94">
        <w:rPr>
          <w:color w:val="000000" w:themeColor="text1"/>
          <w:lang w:val="en-GB"/>
        </w:rPr>
        <w:t xml:space="preserve"> intake</w:t>
      </w:r>
      <w:r w:rsidR="00C1038C" w:rsidRPr="002E6F94">
        <w:rPr>
          <w:color w:val="000000" w:themeColor="text1"/>
          <w:lang w:val="en-GB"/>
        </w:rPr>
        <w:t xml:space="preserve">. Box plots represent the median, 25th and 75th percentiles and whiskers represent measurements to the 5th and 95th percentiles. In figure, AVD: aortic valve degeneration; BAV: bicuspid aortic valve; TAV: tricuspid aortic valve; APOA4: Apolipoprotein; PLTP: Phospholipid transfer protein; HDLBP: </w:t>
      </w:r>
      <w:proofErr w:type="spellStart"/>
      <w:r w:rsidR="00C1038C" w:rsidRPr="002E6F94">
        <w:rPr>
          <w:color w:val="000000" w:themeColor="text1"/>
          <w:lang w:val="en-GB"/>
        </w:rPr>
        <w:t>Vigilin</w:t>
      </w:r>
      <w:proofErr w:type="spellEnd"/>
      <w:r w:rsidR="00C1038C" w:rsidRPr="002E6F94">
        <w:rPr>
          <w:color w:val="000000" w:themeColor="text1"/>
          <w:lang w:val="en-GB"/>
        </w:rPr>
        <w:t>; PCOLCE2: Procollagen C-endopeptidase enhancer 2</w:t>
      </w:r>
      <w:r w:rsidR="001D7C9F" w:rsidRPr="002E6F94">
        <w:rPr>
          <w:color w:val="000000" w:themeColor="text1"/>
          <w:lang w:val="en-GB"/>
        </w:rPr>
        <w:t>.</w:t>
      </w:r>
    </w:p>
    <w:p w14:paraId="5C2CE0A3" w14:textId="77777777" w:rsidR="00C1038C" w:rsidRPr="002E6F94" w:rsidRDefault="00C1038C" w:rsidP="00DA135B">
      <w:pPr>
        <w:spacing w:line="480" w:lineRule="auto"/>
        <w:rPr>
          <w:lang w:val="en-GB"/>
        </w:rPr>
      </w:pPr>
    </w:p>
    <w:p w14:paraId="51D74280" w14:textId="10E2A184" w:rsidR="00181A5B" w:rsidRDefault="00181A5B" w:rsidP="00DA135B">
      <w:pPr>
        <w:spacing w:line="480" w:lineRule="auto"/>
        <w:rPr>
          <w:lang w:val="en-GB"/>
        </w:rPr>
      </w:pPr>
      <w:r w:rsidRPr="002E6F94">
        <w:rPr>
          <w:lang w:val="en-GB"/>
        </w:rPr>
        <w:br w:type="page"/>
      </w:r>
    </w:p>
    <w:p w14:paraId="6186015E" w14:textId="6F8F87F6" w:rsidR="00D24BAE" w:rsidRDefault="00D24BAE" w:rsidP="00DA135B">
      <w:pPr>
        <w:spacing w:line="480" w:lineRule="auto"/>
        <w:rPr>
          <w:lang w:val="en-GB"/>
        </w:rPr>
      </w:pPr>
      <w:r>
        <w:rPr>
          <w:noProof/>
          <w:lang w:val="en-US"/>
        </w:rPr>
        <w:lastRenderedPageBreak/>
        <w:drawing>
          <wp:inline distT="0" distB="0" distL="0" distR="0" wp14:anchorId="705FE485" wp14:editId="3A453544">
            <wp:extent cx="5755640" cy="2006600"/>
            <wp:effectExtent l="0" t="0" r="0" b="0"/>
            <wp:docPr id="1096203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203478" name="Picture 109620347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55640" cy="2006600"/>
                    </a:xfrm>
                    <a:prstGeom prst="rect">
                      <a:avLst/>
                    </a:prstGeom>
                  </pic:spPr>
                </pic:pic>
              </a:graphicData>
            </a:graphic>
          </wp:inline>
        </w:drawing>
      </w:r>
    </w:p>
    <w:p w14:paraId="6C1F0A27" w14:textId="3CB70478" w:rsidR="00EC1634" w:rsidRPr="00EE22A3" w:rsidRDefault="004B3784" w:rsidP="00EC1634">
      <w:pPr>
        <w:spacing w:line="480" w:lineRule="auto"/>
        <w:rPr>
          <w:b/>
          <w:bCs/>
          <w:color w:val="000000" w:themeColor="text1"/>
          <w:lang w:val="en-GB"/>
        </w:rPr>
      </w:pPr>
      <w:r w:rsidRPr="00EE22A3">
        <w:rPr>
          <w:b/>
          <w:bCs/>
          <w:color w:val="000000" w:themeColor="text1"/>
          <w:lang w:val="en-GB"/>
        </w:rPr>
        <w:t xml:space="preserve">Supplementary </w:t>
      </w:r>
      <w:r w:rsidRPr="00EE22A3">
        <w:rPr>
          <w:b/>
          <w:color w:val="000000" w:themeColor="text1"/>
          <w:lang w:val="en-GB"/>
        </w:rPr>
        <w:t xml:space="preserve">Figure 7. </w:t>
      </w:r>
      <w:r w:rsidR="00EC1634" w:rsidRPr="00EE22A3">
        <w:rPr>
          <w:b/>
          <w:color w:val="000000" w:themeColor="text1"/>
          <w:lang w:val="en-GB"/>
        </w:rPr>
        <w:t xml:space="preserve">Abundance of </w:t>
      </w:r>
      <w:r w:rsidR="00BF51E4" w:rsidRPr="00EE22A3">
        <w:rPr>
          <w:b/>
          <w:bCs/>
          <w:color w:val="000000" w:themeColor="text1"/>
          <w:lang w:val="en-GB"/>
        </w:rPr>
        <w:t>Tissue metallopeptidase inhibitor 1 (TIMP1), Tissue metallopeptidase inhibitor 3 (TIMP3), Fibrillin 1 (FBN1), and Actin Alpha 2 (ACTA2) in the aortic valve ECM of the patients with AVD (shown in orange)</w:t>
      </w:r>
      <w:r w:rsidR="00EC1634" w:rsidRPr="00EE22A3">
        <w:rPr>
          <w:b/>
          <w:bCs/>
          <w:color w:val="000000" w:themeColor="text1"/>
          <w:lang w:val="en-GB"/>
        </w:rPr>
        <w:t>.</w:t>
      </w:r>
    </w:p>
    <w:p w14:paraId="72FE6E04" w14:textId="14144874" w:rsidR="00BF51E4" w:rsidRPr="00EE22A3" w:rsidRDefault="00BF51E4" w:rsidP="00EC1634">
      <w:pPr>
        <w:spacing w:line="480" w:lineRule="auto"/>
        <w:rPr>
          <w:color w:val="000000" w:themeColor="text1"/>
          <w:lang w:val="en-GB"/>
        </w:rPr>
      </w:pPr>
      <w:r w:rsidRPr="00EE22A3">
        <w:rPr>
          <w:b/>
          <w:bCs/>
          <w:color w:val="000000" w:themeColor="text1"/>
          <w:lang w:val="en-GB"/>
        </w:rPr>
        <w:t>A</w:t>
      </w:r>
      <w:r w:rsidRPr="00EE22A3">
        <w:rPr>
          <w:color w:val="000000" w:themeColor="text1"/>
          <w:lang w:val="en-GB"/>
        </w:rPr>
        <w:t>, Differential abundances of the four proteins in the TAV versus BAV group. TIMP1 had p=6</w:t>
      </w:r>
      <w:r w:rsidRPr="00EE22A3">
        <w:rPr>
          <w:color w:val="000000" w:themeColor="text1"/>
          <w:lang w:val="en-GB"/>
        </w:rPr>
        <w:sym w:font="Symbol" w:char="F02A"/>
      </w:r>
      <w:r w:rsidRPr="00EE22A3">
        <w:rPr>
          <w:color w:val="000000" w:themeColor="text1"/>
          <w:lang w:val="en-GB"/>
        </w:rPr>
        <w:t>10</w:t>
      </w:r>
      <w:r w:rsidRPr="00EE22A3">
        <w:rPr>
          <w:color w:val="000000" w:themeColor="text1"/>
          <w:vertAlign w:val="superscript"/>
          <w:lang w:val="en-GB"/>
        </w:rPr>
        <w:t>-4</w:t>
      </w:r>
      <w:r w:rsidRPr="00EE22A3">
        <w:rPr>
          <w:color w:val="000000" w:themeColor="text1"/>
          <w:lang w:val="en-GB"/>
        </w:rPr>
        <w:t xml:space="preserve"> and FC=1.4. </w:t>
      </w:r>
      <w:r w:rsidRPr="00EE22A3">
        <w:rPr>
          <w:b/>
          <w:bCs/>
          <w:color w:val="000000" w:themeColor="text1"/>
          <w:lang w:val="en-GB"/>
        </w:rPr>
        <w:t>B</w:t>
      </w:r>
      <w:r w:rsidRPr="00EE22A3">
        <w:rPr>
          <w:color w:val="000000" w:themeColor="text1"/>
          <w:lang w:val="en-GB"/>
        </w:rPr>
        <w:t>, Differential abundances of the four proteins in the ECM of BAV type 1 versus BAV type 3 patients.</w:t>
      </w:r>
    </w:p>
    <w:p w14:paraId="0E04B595" w14:textId="37059482" w:rsidR="00EC1634" w:rsidRDefault="00EC1634" w:rsidP="00EC1634">
      <w:pPr>
        <w:spacing w:line="480" w:lineRule="auto"/>
        <w:rPr>
          <w:lang w:val="en-GB"/>
        </w:rPr>
      </w:pPr>
      <w:r w:rsidRPr="00EC1634">
        <w:rPr>
          <w:lang w:val="en-GB"/>
        </w:rPr>
        <w:t xml:space="preserve"> </w:t>
      </w:r>
    </w:p>
    <w:p w14:paraId="657D740D" w14:textId="0DCD09FC" w:rsidR="00D24BAE" w:rsidRPr="002E6F94" w:rsidRDefault="00D24BAE" w:rsidP="00EC1634">
      <w:pPr>
        <w:spacing w:line="480" w:lineRule="auto"/>
        <w:rPr>
          <w:lang w:val="en-GB"/>
        </w:rPr>
      </w:pPr>
      <w:r>
        <w:rPr>
          <w:lang w:val="en-GB"/>
        </w:rPr>
        <w:br w:type="page"/>
      </w:r>
    </w:p>
    <w:p w14:paraId="615AEC24" w14:textId="3A8D9472" w:rsidR="00C95088" w:rsidRPr="002E6F94" w:rsidRDefault="00C95088" w:rsidP="00DA135B">
      <w:pPr>
        <w:spacing w:line="480" w:lineRule="auto"/>
        <w:rPr>
          <w:lang w:val="en-GB"/>
        </w:rPr>
      </w:pPr>
      <w:r w:rsidRPr="002E6F94">
        <w:rPr>
          <w:noProof/>
          <w:lang w:val="en-US"/>
        </w:rPr>
        <w:lastRenderedPageBreak/>
        <w:drawing>
          <wp:inline distT="0" distB="0" distL="0" distR="0" wp14:anchorId="6484ABC2" wp14:editId="79932F97">
            <wp:extent cx="5755640" cy="61499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55640" cy="6149975"/>
                    </a:xfrm>
                    <a:prstGeom prst="rect">
                      <a:avLst/>
                    </a:prstGeom>
                  </pic:spPr>
                </pic:pic>
              </a:graphicData>
            </a:graphic>
          </wp:inline>
        </w:drawing>
      </w:r>
    </w:p>
    <w:p w14:paraId="4AA0FB2C" w14:textId="549AF1DF" w:rsidR="00C95088" w:rsidRPr="002E6F94" w:rsidRDefault="00064E72" w:rsidP="00DA135B">
      <w:pPr>
        <w:spacing w:line="480" w:lineRule="auto"/>
        <w:rPr>
          <w:b/>
          <w:bCs/>
          <w:color w:val="000000" w:themeColor="text1"/>
          <w:lang w:val="en-GB"/>
        </w:rPr>
      </w:pPr>
      <w:r w:rsidRPr="00A44E3A">
        <w:rPr>
          <w:b/>
          <w:bCs/>
          <w:color w:val="000000" w:themeColor="text1"/>
          <w:lang w:val="en-GB"/>
        </w:rPr>
        <w:t>Supplementa</w:t>
      </w:r>
      <w:r w:rsidR="00C028BA">
        <w:rPr>
          <w:b/>
          <w:bCs/>
          <w:color w:val="000000" w:themeColor="text1"/>
          <w:lang w:val="en-GB"/>
        </w:rPr>
        <w:t>ry</w:t>
      </w:r>
      <w:r w:rsidRPr="00A44E3A">
        <w:rPr>
          <w:b/>
          <w:bCs/>
          <w:color w:val="000000" w:themeColor="text1"/>
          <w:lang w:val="en-GB"/>
        </w:rPr>
        <w:t xml:space="preserve"> </w:t>
      </w:r>
      <w:r w:rsidR="00C95088" w:rsidRPr="002E6F94">
        <w:rPr>
          <w:b/>
          <w:bCs/>
          <w:lang w:val="en-GB"/>
        </w:rPr>
        <w:t xml:space="preserve">Figure </w:t>
      </w:r>
      <w:r w:rsidR="00D24BAE">
        <w:rPr>
          <w:b/>
          <w:bCs/>
          <w:lang w:val="en-GB"/>
        </w:rPr>
        <w:t>8</w:t>
      </w:r>
      <w:r w:rsidR="00C95088" w:rsidRPr="002E6F94">
        <w:rPr>
          <w:b/>
          <w:bCs/>
          <w:lang w:val="en-GB"/>
        </w:rPr>
        <w:t xml:space="preserve">. </w:t>
      </w:r>
      <w:r w:rsidR="005C48A0" w:rsidRPr="002E6F94">
        <w:rPr>
          <w:b/>
          <w:bCs/>
          <w:lang w:val="en-GB"/>
        </w:rPr>
        <w:t xml:space="preserve">Absence and presence analysis of </w:t>
      </w:r>
      <w:proofErr w:type="spellStart"/>
      <w:r w:rsidR="005C48A0" w:rsidRPr="002E6F94">
        <w:rPr>
          <w:b/>
          <w:bCs/>
          <w:color w:val="000000" w:themeColor="text1"/>
          <w:lang w:val="en-GB"/>
        </w:rPr>
        <w:t>Lysyl</w:t>
      </w:r>
      <w:proofErr w:type="spellEnd"/>
      <w:r w:rsidR="005C48A0" w:rsidRPr="002E6F94">
        <w:rPr>
          <w:b/>
          <w:bCs/>
          <w:color w:val="000000" w:themeColor="text1"/>
          <w:lang w:val="en-GB"/>
        </w:rPr>
        <w:t xml:space="preserve"> oxidase homolog 2 enzyme (LOXL2) in the AVD patients with BAV and TAV.</w:t>
      </w:r>
    </w:p>
    <w:p w14:paraId="0001C21C" w14:textId="2167A109" w:rsidR="005C48A0" w:rsidRPr="002E6F94" w:rsidRDefault="005C48A0" w:rsidP="00DA135B">
      <w:pPr>
        <w:spacing w:line="480" w:lineRule="auto"/>
        <w:rPr>
          <w:bCs/>
          <w:color w:val="000000" w:themeColor="text1"/>
          <w:lang w:val="en-GB"/>
        </w:rPr>
      </w:pPr>
      <w:r w:rsidRPr="002E6F94">
        <w:rPr>
          <w:bCs/>
          <w:color w:val="000000" w:themeColor="text1"/>
          <w:lang w:val="en-GB"/>
        </w:rPr>
        <w:t xml:space="preserve">In figure, </w:t>
      </w:r>
      <w:r w:rsidRPr="002E6F94">
        <w:rPr>
          <w:color w:val="000000" w:themeColor="text1"/>
          <w:lang w:val="en-GB"/>
        </w:rPr>
        <w:t xml:space="preserve">AVD: aortic valve degeneration; BAV: bicuspid aortic valve; TAV: tricuspid aortic valve; </w:t>
      </w:r>
      <w:r w:rsidRPr="002E6F94">
        <w:rPr>
          <w:bCs/>
          <w:color w:val="000000" w:themeColor="text1"/>
          <w:lang w:val="en-GB"/>
        </w:rPr>
        <w:t xml:space="preserve">LOXL2: </w:t>
      </w:r>
      <w:proofErr w:type="spellStart"/>
      <w:r w:rsidRPr="002E6F94">
        <w:rPr>
          <w:bCs/>
          <w:color w:val="000000" w:themeColor="text1"/>
          <w:lang w:val="en-GB"/>
        </w:rPr>
        <w:t>Lysyl</w:t>
      </w:r>
      <w:proofErr w:type="spellEnd"/>
      <w:r w:rsidRPr="002E6F94">
        <w:rPr>
          <w:bCs/>
          <w:color w:val="000000" w:themeColor="text1"/>
          <w:lang w:val="en-GB"/>
        </w:rPr>
        <w:t xml:space="preserve"> oxidase homolog 2 enzyme.</w:t>
      </w:r>
    </w:p>
    <w:p w14:paraId="7AB5E1DB" w14:textId="2EA69069" w:rsidR="00C95088" w:rsidRPr="002E6F94" w:rsidRDefault="00C95088" w:rsidP="002E6F94">
      <w:pPr>
        <w:rPr>
          <w:lang w:val="en-GB"/>
        </w:rPr>
      </w:pPr>
      <w:r w:rsidRPr="002E6F94">
        <w:rPr>
          <w:lang w:val="en-GB"/>
        </w:rPr>
        <w:br w:type="page"/>
      </w:r>
    </w:p>
    <w:p w14:paraId="256F9556" w14:textId="379CA3C9" w:rsidR="00181A5B" w:rsidRPr="002E6F94" w:rsidRDefault="00BF60D4" w:rsidP="00DA135B">
      <w:pPr>
        <w:spacing w:line="480" w:lineRule="auto"/>
        <w:rPr>
          <w:lang w:val="en-GB"/>
        </w:rPr>
      </w:pPr>
      <w:r w:rsidRPr="002E6F94">
        <w:rPr>
          <w:noProof/>
          <w:lang w:val="en-US"/>
        </w:rPr>
        <w:lastRenderedPageBreak/>
        <w:drawing>
          <wp:inline distT="0" distB="0" distL="0" distR="0" wp14:anchorId="462821B2" wp14:editId="66BDEFE2">
            <wp:extent cx="3079750" cy="1367790"/>
            <wp:effectExtent l="0" t="0" r="635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79750" cy="1367790"/>
                    </a:xfrm>
                    <a:prstGeom prst="rect">
                      <a:avLst/>
                    </a:prstGeom>
                    <a:noFill/>
                    <a:ln>
                      <a:noFill/>
                    </a:ln>
                  </pic:spPr>
                </pic:pic>
              </a:graphicData>
            </a:graphic>
          </wp:inline>
        </w:drawing>
      </w:r>
    </w:p>
    <w:p w14:paraId="05383B62" w14:textId="7D09A2F0" w:rsidR="00F30824" w:rsidRPr="002E6F94" w:rsidRDefault="00064E72" w:rsidP="00DA135B">
      <w:pPr>
        <w:spacing w:line="480" w:lineRule="auto"/>
        <w:rPr>
          <w:b/>
          <w:lang w:val="en-GB"/>
        </w:rPr>
      </w:pPr>
      <w:r w:rsidRPr="00A44E3A">
        <w:rPr>
          <w:b/>
          <w:bCs/>
          <w:color w:val="000000" w:themeColor="text1"/>
          <w:lang w:val="en-GB"/>
        </w:rPr>
        <w:t>Supplementa</w:t>
      </w:r>
      <w:r w:rsidR="00C028BA">
        <w:rPr>
          <w:b/>
          <w:bCs/>
          <w:color w:val="000000" w:themeColor="text1"/>
          <w:lang w:val="en-GB"/>
        </w:rPr>
        <w:t>ry</w:t>
      </w:r>
      <w:r w:rsidRPr="00A44E3A">
        <w:rPr>
          <w:b/>
          <w:bCs/>
          <w:color w:val="000000" w:themeColor="text1"/>
          <w:lang w:val="en-GB"/>
        </w:rPr>
        <w:t xml:space="preserve"> </w:t>
      </w:r>
      <w:r w:rsidR="00F30824" w:rsidRPr="002E6F94">
        <w:rPr>
          <w:b/>
          <w:lang w:val="en-GB"/>
        </w:rPr>
        <w:t xml:space="preserve">Figure </w:t>
      </w:r>
      <w:r w:rsidR="00D24BAE">
        <w:rPr>
          <w:b/>
          <w:lang w:val="en-GB"/>
        </w:rPr>
        <w:t>9</w:t>
      </w:r>
      <w:r w:rsidR="001D7C9F" w:rsidRPr="002E6F94">
        <w:rPr>
          <w:b/>
          <w:lang w:val="en-GB"/>
        </w:rPr>
        <w:t>.</w:t>
      </w:r>
    </w:p>
    <w:p w14:paraId="24D7AD0C" w14:textId="789A09F5" w:rsidR="00F30824" w:rsidRPr="002E6F94" w:rsidRDefault="00B8630A" w:rsidP="00DA135B">
      <w:pPr>
        <w:spacing w:line="480" w:lineRule="auto"/>
        <w:rPr>
          <w:lang w:val="en-GB"/>
        </w:rPr>
      </w:pPr>
      <w:r w:rsidRPr="002E6F94">
        <w:rPr>
          <w:b/>
          <w:lang w:val="en-GB"/>
        </w:rPr>
        <w:t>A</w:t>
      </w:r>
      <w:r w:rsidR="004E70FC" w:rsidRPr="002E6F94">
        <w:rPr>
          <w:lang w:val="en-GB"/>
        </w:rPr>
        <w:t>,</w:t>
      </w:r>
      <w:r w:rsidR="00F30824" w:rsidRPr="002E6F94">
        <w:rPr>
          <w:lang w:val="en-GB"/>
        </w:rPr>
        <w:t xml:space="preserve"> SYPRO Ruby total protein stain of </w:t>
      </w:r>
      <w:r w:rsidR="00FB06F3" w:rsidRPr="002E6F94">
        <w:rPr>
          <w:lang w:val="en-GB"/>
        </w:rPr>
        <w:t>the Annexin A3 Western Blot in Fig</w:t>
      </w:r>
      <w:r w:rsidR="00064E72">
        <w:rPr>
          <w:lang w:val="en-GB"/>
        </w:rPr>
        <w:t>ure</w:t>
      </w:r>
      <w:r w:rsidR="00FB06F3" w:rsidRPr="002E6F94">
        <w:rPr>
          <w:lang w:val="en-GB"/>
        </w:rPr>
        <w:t xml:space="preserve"> 2B. </w:t>
      </w:r>
      <w:r w:rsidRPr="002E6F94">
        <w:rPr>
          <w:b/>
          <w:lang w:val="en-GB"/>
        </w:rPr>
        <w:t>B</w:t>
      </w:r>
      <w:r w:rsidR="004E70FC" w:rsidRPr="002E6F94">
        <w:rPr>
          <w:lang w:val="en-GB"/>
        </w:rPr>
        <w:t>,</w:t>
      </w:r>
      <w:r w:rsidR="00FB06F3" w:rsidRPr="002E6F94">
        <w:rPr>
          <w:lang w:val="en-GB"/>
        </w:rPr>
        <w:t xml:space="preserve"> SYPRO Ruby total protein stain of the Tenascin C Western Blot in Fig</w:t>
      </w:r>
      <w:r w:rsidR="00064E72">
        <w:rPr>
          <w:lang w:val="en-GB"/>
        </w:rPr>
        <w:t>ure</w:t>
      </w:r>
      <w:r w:rsidR="00FB06F3" w:rsidRPr="002E6F94">
        <w:rPr>
          <w:lang w:val="en-GB"/>
        </w:rPr>
        <w:t xml:space="preserve"> 2B.</w:t>
      </w:r>
    </w:p>
    <w:p w14:paraId="2AD22661" w14:textId="10204436" w:rsidR="0058583E" w:rsidRPr="002E6F94" w:rsidRDefault="0058583E" w:rsidP="00DA135B">
      <w:pPr>
        <w:spacing w:line="480" w:lineRule="auto"/>
        <w:rPr>
          <w:lang w:val="en-GB"/>
        </w:rPr>
      </w:pPr>
    </w:p>
    <w:p w14:paraId="40E57547" w14:textId="768921C1" w:rsidR="006E0375" w:rsidRPr="002E6F94" w:rsidRDefault="006E0375" w:rsidP="00DA135B">
      <w:pPr>
        <w:spacing w:line="480" w:lineRule="auto"/>
        <w:rPr>
          <w:lang w:val="en-GB"/>
        </w:rPr>
      </w:pPr>
      <w:r w:rsidRPr="002E6F94">
        <w:rPr>
          <w:lang w:val="en-GB"/>
        </w:rPr>
        <w:br w:type="page"/>
      </w:r>
    </w:p>
    <w:p w14:paraId="15B9DF0B" w14:textId="5A02C717" w:rsidR="006E0375" w:rsidRPr="002E6F94" w:rsidRDefault="00BF60D4" w:rsidP="00DA135B">
      <w:pPr>
        <w:spacing w:line="480" w:lineRule="auto"/>
        <w:rPr>
          <w:lang w:val="en-GB"/>
        </w:rPr>
      </w:pPr>
      <w:r w:rsidRPr="002E6F94">
        <w:rPr>
          <w:noProof/>
          <w:lang w:val="en-US"/>
        </w:rPr>
        <w:lastRenderedPageBreak/>
        <w:drawing>
          <wp:inline distT="0" distB="0" distL="0" distR="0" wp14:anchorId="5CC7928E" wp14:editId="07B5B42E">
            <wp:extent cx="2333625" cy="1909445"/>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33625" cy="1909445"/>
                    </a:xfrm>
                    <a:prstGeom prst="rect">
                      <a:avLst/>
                    </a:prstGeom>
                    <a:noFill/>
                    <a:ln>
                      <a:noFill/>
                    </a:ln>
                  </pic:spPr>
                </pic:pic>
              </a:graphicData>
            </a:graphic>
          </wp:inline>
        </w:drawing>
      </w:r>
    </w:p>
    <w:p w14:paraId="3C8583F4" w14:textId="6924017A" w:rsidR="006E0375" w:rsidRPr="002E6F94" w:rsidRDefault="006E0375" w:rsidP="00DA135B">
      <w:pPr>
        <w:spacing w:line="480" w:lineRule="auto"/>
        <w:rPr>
          <w:lang w:val="en-GB"/>
        </w:rPr>
      </w:pPr>
    </w:p>
    <w:p w14:paraId="79F68572" w14:textId="1C9891D2" w:rsidR="006E0375" w:rsidRPr="002E6F94" w:rsidRDefault="00064E72" w:rsidP="00DA135B">
      <w:pPr>
        <w:spacing w:line="480" w:lineRule="auto"/>
        <w:rPr>
          <w:b/>
          <w:lang w:val="en-GB"/>
        </w:rPr>
      </w:pPr>
      <w:r w:rsidRPr="00A44E3A">
        <w:rPr>
          <w:b/>
          <w:bCs/>
          <w:color w:val="000000" w:themeColor="text1"/>
          <w:lang w:val="en-GB"/>
        </w:rPr>
        <w:t>Supplementa</w:t>
      </w:r>
      <w:r w:rsidR="00C028BA">
        <w:rPr>
          <w:b/>
          <w:bCs/>
          <w:color w:val="000000" w:themeColor="text1"/>
          <w:lang w:val="en-GB"/>
        </w:rPr>
        <w:t>ry</w:t>
      </w:r>
      <w:r w:rsidRPr="00A44E3A">
        <w:rPr>
          <w:b/>
          <w:bCs/>
          <w:color w:val="000000" w:themeColor="text1"/>
          <w:lang w:val="en-GB"/>
        </w:rPr>
        <w:t xml:space="preserve"> </w:t>
      </w:r>
      <w:r w:rsidR="006E0375" w:rsidRPr="002E6F94">
        <w:rPr>
          <w:b/>
          <w:lang w:val="en-GB"/>
        </w:rPr>
        <w:t xml:space="preserve">Figure </w:t>
      </w:r>
      <w:r w:rsidR="00D24BAE">
        <w:rPr>
          <w:b/>
          <w:lang w:val="en-GB"/>
        </w:rPr>
        <w:t>10</w:t>
      </w:r>
      <w:r w:rsidR="006E0375" w:rsidRPr="002E6F94">
        <w:rPr>
          <w:b/>
          <w:lang w:val="en-GB"/>
        </w:rPr>
        <w:t>.</w:t>
      </w:r>
    </w:p>
    <w:p w14:paraId="016A5B02" w14:textId="77777777" w:rsidR="006E0375" w:rsidRPr="002E6F94" w:rsidRDefault="006E0375" w:rsidP="00DA135B">
      <w:pPr>
        <w:spacing w:line="480" w:lineRule="auto"/>
        <w:rPr>
          <w:lang w:val="en-GB"/>
        </w:rPr>
      </w:pPr>
      <w:r w:rsidRPr="002E6F94">
        <w:rPr>
          <w:lang w:val="en-GB"/>
        </w:rPr>
        <w:t>Correlation between the two extractions from aortic valve tissues of patient number 79 (79 and 79re) demonstrating high reproducibility of the ECM extraction protocol and LC-MS/MS analysis.</w:t>
      </w:r>
    </w:p>
    <w:p w14:paraId="25599D5B" w14:textId="1F38D0F0" w:rsidR="007F2D70" w:rsidRDefault="007F2D70">
      <w:pPr>
        <w:rPr>
          <w:lang w:val="en-GB"/>
        </w:rPr>
      </w:pPr>
    </w:p>
    <w:sectPr w:rsidR="007F2D70" w:rsidSect="005A210B">
      <w:pgSz w:w="11900" w:h="16840"/>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8204A" w14:textId="77777777" w:rsidR="002D3713" w:rsidRDefault="002D3713" w:rsidP="004A2DC3">
      <w:r>
        <w:separator/>
      </w:r>
    </w:p>
  </w:endnote>
  <w:endnote w:type="continuationSeparator" w:id="0">
    <w:p w14:paraId="12639077" w14:textId="77777777" w:rsidR="002D3713" w:rsidRDefault="002D3713" w:rsidP="004A2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67394533"/>
      <w:docPartObj>
        <w:docPartGallery w:val="Page Numbers (Bottom of Page)"/>
        <w:docPartUnique/>
      </w:docPartObj>
    </w:sdtPr>
    <w:sdtContent>
      <w:p w14:paraId="41B268AF" w14:textId="260E04F0" w:rsidR="004F418C" w:rsidRDefault="004F418C" w:rsidP="007C48A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BB31ED4" w14:textId="77777777" w:rsidR="004F418C" w:rsidRDefault="004F418C" w:rsidP="004A2DC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70600088"/>
      <w:docPartObj>
        <w:docPartGallery w:val="Page Numbers (Bottom of Page)"/>
        <w:docPartUnique/>
      </w:docPartObj>
    </w:sdtPr>
    <w:sdtContent>
      <w:p w14:paraId="07ED8691" w14:textId="0C91D227" w:rsidR="004F418C" w:rsidRDefault="004F418C" w:rsidP="007C48A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A210B">
          <w:rPr>
            <w:rStyle w:val="PageNumber"/>
            <w:noProof/>
          </w:rPr>
          <w:t>1</w:t>
        </w:r>
        <w:r>
          <w:rPr>
            <w:rStyle w:val="PageNumber"/>
          </w:rPr>
          <w:fldChar w:fldCharType="end"/>
        </w:r>
      </w:p>
    </w:sdtContent>
  </w:sdt>
  <w:p w14:paraId="354089A6" w14:textId="77777777" w:rsidR="004F418C" w:rsidRDefault="004F418C" w:rsidP="004A2DC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725315" w14:textId="77777777" w:rsidR="002D3713" w:rsidRDefault="002D3713" w:rsidP="004A2DC3">
      <w:r>
        <w:separator/>
      </w:r>
    </w:p>
  </w:footnote>
  <w:footnote w:type="continuationSeparator" w:id="0">
    <w:p w14:paraId="1BBF55B9" w14:textId="77777777" w:rsidR="002D3713" w:rsidRDefault="002D3713" w:rsidP="004A2D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oNotTrackMove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175"/>
    <w:rsid w:val="00004D41"/>
    <w:rsid w:val="000122A4"/>
    <w:rsid w:val="00037923"/>
    <w:rsid w:val="00063714"/>
    <w:rsid w:val="00064E72"/>
    <w:rsid w:val="00065A85"/>
    <w:rsid w:val="0008375B"/>
    <w:rsid w:val="0008464F"/>
    <w:rsid w:val="0009440E"/>
    <w:rsid w:val="00095359"/>
    <w:rsid w:val="000A1944"/>
    <w:rsid w:val="000C07BD"/>
    <w:rsid w:val="000D541C"/>
    <w:rsid w:val="000E68E1"/>
    <w:rsid w:val="000F0640"/>
    <w:rsid w:val="000F41F0"/>
    <w:rsid w:val="00123897"/>
    <w:rsid w:val="00130779"/>
    <w:rsid w:val="00140648"/>
    <w:rsid w:val="00143513"/>
    <w:rsid w:val="00147A0E"/>
    <w:rsid w:val="00152D16"/>
    <w:rsid w:val="00175530"/>
    <w:rsid w:val="00181A5B"/>
    <w:rsid w:val="00183381"/>
    <w:rsid w:val="00197C85"/>
    <w:rsid w:val="001C0194"/>
    <w:rsid w:val="001D3E8A"/>
    <w:rsid w:val="001D7C9F"/>
    <w:rsid w:val="001E2E3C"/>
    <w:rsid w:val="001E5527"/>
    <w:rsid w:val="002051EA"/>
    <w:rsid w:val="00214341"/>
    <w:rsid w:val="0024083A"/>
    <w:rsid w:val="002439B4"/>
    <w:rsid w:val="002971D3"/>
    <w:rsid w:val="002A7068"/>
    <w:rsid w:val="002B7DC2"/>
    <w:rsid w:val="002C7C3C"/>
    <w:rsid w:val="002D20D6"/>
    <w:rsid w:val="002D3011"/>
    <w:rsid w:val="002D3713"/>
    <w:rsid w:val="002D48EB"/>
    <w:rsid w:val="002E30B1"/>
    <w:rsid w:val="002E4030"/>
    <w:rsid w:val="002E6F94"/>
    <w:rsid w:val="002F0AF2"/>
    <w:rsid w:val="002F17C0"/>
    <w:rsid w:val="002F5617"/>
    <w:rsid w:val="00301350"/>
    <w:rsid w:val="003307C5"/>
    <w:rsid w:val="003444B4"/>
    <w:rsid w:val="00346AAE"/>
    <w:rsid w:val="00370A5E"/>
    <w:rsid w:val="003761C3"/>
    <w:rsid w:val="003830C7"/>
    <w:rsid w:val="00390BB8"/>
    <w:rsid w:val="003913BE"/>
    <w:rsid w:val="003A4944"/>
    <w:rsid w:val="003A5982"/>
    <w:rsid w:val="003B3AA7"/>
    <w:rsid w:val="003C4745"/>
    <w:rsid w:val="003D2D0D"/>
    <w:rsid w:val="003E17C4"/>
    <w:rsid w:val="003E69DD"/>
    <w:rsid w:val="003F4352"/>
    <w:rsid w:val="003F6F1E"/>
    <w:rsid w:val="00413CB4"/>
    <w:rsid w:val="00415489"/>
    <w:rsid w:val="00430DA6"/>
    <w:rsid w:val="0043146C"/>
    <w:rsid w:val="004536A2"/>
    <w:rsid w:val="00463195"/>
    <w:rsid w:val="004874BB"/>
    <w:rsid w:val="004A21E6"/>
    <w:rsid w:val="004A2DC3"/>
    <w:rsid w:val="004A7EF9"/>
    <w:rsid w:val="004B0514"/>
    <w:rsid w:val="004B1E16"/>
    <w:rsid w:val="004B2732"/>
    <w:rsid w:val="004B3784"/>
    <w:rsid w:val="004E3EF6"/>
    <w:rsid w:val="004E5090"/>
    <w:rsid w:val="004E70FC"/>
    <w:rsid w:val="004F418C"/>
    <w:rsid w:val="00513351"/>
    <w:rsid w:val="00523A4C"/>
    <w:rsid w:val="005440EE"/>
    <w:rsid w:val="0055597F"/>
    <w:rsid w:val="005570D6"/>
    <w:rsid w:val="005662BA"/>
    <w:rsid w:val="0057634A"/>
    <w:rsid w:val="0058583E"/>
    <w:rsid w:val="00596D64"/>
    <w:rsid w:val="005A1F36"/>
    <w:rsid w:val="005A210B"/>
    <w:rsid w:val="005B2589"/>
    <w:rsid w:val="005C48A0"/>
    <w:rsid w:val="005C62DF"/>
    <w:rsid w:val="005D04B2"/>
    <w:rsid w:val="005D10C8"/>
    <w:rsid w:val="005D3985"/>
    <w:rsid w:val="005E614D"/>
    <w:rsid w:val="0061323D"/>
    <w:rsid w:val="0064512F"/>
    <w:rsid w:val="0064641D"/>
    <w:rsid w:val="00653800"/>
    <w:rsid w:val="006547AC"/>
    <w:rsid w:val="00656293"/>
    <w:rsid w:val="00664B39"/>
    <w:rsid w:val="00680BA5"/>
    <w:rsid w:val="006A6EBA"/>
    <w:rsid w:val="006D6D46"/>
    <w:rsid w:val="006E0375"/>
    <w:rsid w:val="006E295A"/>
    <w:rsid w:val="006E42B9"/>
    <w:rsid w:val="006F09D7"/>
    <w:rsid w:val="006F4C9B"/>
    <w:rsid w:val="006F526F"/>
    <w:rsid w:val="00712084"/>
    <w:rsid w:val="00716A15"/>
    <w:rsid w:val="0072240F"/>
    <w:rsid w:val="00730223"/>
    <w:rsid w:val="007339B3"/>
    <w:rsid w:val="00740988"/>
    <w:rsid w:val="00743185"/>
    <w:rsid w:val="00755B60"/>
    <w:rsid w:val="007708E3"/>
    <w:rsid w:val="007924D0"/>
    <w:rsid w:val="007A342A"/>
    <w:rsid w:val="007A6865"/>
    <w:rsid w:val="007A77B9"/>
    <w:rsid w:val="007B2066"/>
    <w:rsid w:val="007B7B47"/>
    <w:rsid w:val="007C48AE"/>
    <w:rsid w:val="007C5434"/>
    <w:rsid w:val="007C62C0"/>
    <w:rsid w:val="007C7B3F"/>
    <w:rsid w:val="007D35A5"/>
    <w:rsid w:val="007E134C"/>
    <w:rsid w:val="007F2D70"/>
    <w:rsid w:val="00821B70"/>
    <w:rsid w:val="00823ECE"/>
    <w:rsid w:val="008305B8"/>
    <w:rsid w:val="00834688"/>
    <w:rsid w:val="008367A5"/>
    <w:rsid w:val="008404AD"/>
    <w:rsid w:val="00847A06"/>
    <w:rsid w:val="00863A1E"/>
    <w:rsid w:val="008658CF"/>
    <w:rsid w:val="00883C4B"/>
    <w:rsid w:val="0089186C"/>
    <w:rsid w:val="00894D82"/>
    <w:rsid w:val="0089634D"/>
    <w:rsid w:val="008A4C0B"/>
    <w:rsid w:val="008B424D"/>
    <w:rsid w:val="008B5272"/>
    <w:rsid w:val="008D5480"/>
    <w:rsid w:val="008E1032"/>
    <w:rsid w:val="00901533"/>
    <w:rsid w:val="00906503"/>
    <w:rsid w:val="00940C23"/>
    <w:rsid w:val="00954A48"/>
    <w:rsid w:val="009552A3"/>
    <w:rsid w:val="00957309"/>
    <w:rsid w:val="00960087"/>
    <w:rsid w:val="00961538"/>
    <w:rsid w:val="00973B13"/>
    <w:rsid w:val="00975EA8"/>
    <w:rsid w:val="00976B62"/>
    <w:rsid w:val="00993CEC"/>
    <w:rsid w:val="009A678B"/>
    <w:rsid w:val="009C0D6E"/>
    <w:rsid w:val="009D6CF5"/>
    <w:rsid w:val="009F4022"/>
    <w:rsid w:val="00A00175"/>
    <w:rsid w:val="00A022A3"/>
    <w:rsid w:val="00A0294B"/>
    <w:rsid w:val="00A02D07"/>
    <w:rsid w:val="00A03547"/>
    <w:rsid w:val="00A132AD"/>
    <w:rsid w:val="00A14561"/>
    <w:rsid w:val="00A410D1"/>
    <w:rsid w:val="00A4446C"/>
    <w:rsid w:val="00A50669"/>
    <w:rsid w:val="00A60CC9"/>
    <w:rsid w:val="00A61502"/>
    <w:rsid w:val="00A70BE0"/>
    <w:rsid w:val="00A71D45"/>
    <w:rsid w:val="00A94B06"/>
    <w:rsid w:val="00AA0FA9"/>
    <w:rsid w:val="00AA6782"/>
    <w:rsid w:val="00AB0776"/>
    <w:rsid w:val="00AB6FD7"/>
    <w:rsid w:val="00AC4904"/>
    <w:rsid w:val="00AD409C"/>
    <w:rsid w:val="00AD5C83"/>
    <w:rsid w:val="00AE7C03"/>
    <w:rsid w:val="00AF4D07"/>
    <w:rsid w:val="00B01A6C"/>
    <w:rsid w:val="00B17C3C"/>
    <w:rsid w:val="00B21A7F"/>
    <w:rsid w:val="00B21F00"/>
    <w:rsid w:val="00B32436"/>
    <w:rsid w:val="00B43114"/>
    <w:rsid w:val="00B46265"/>
    <w:rsid w:val="00B6085A"/>
    <w:rsid w:val="00B66050"/>
    <w:rsid w:val="00B671A0"/>
    <w:rsid w:val="00B745F8"/>
    <w:rsid w:val="00B75B64"/>
    <w:rsid w:val="00B8630A"/>
    <w:rsid w:val="00B9223F"/>
    <w:rsid w:val="00BB023F"/>
    <w:rsid w:val="00BE295E"/>
    <w:rsid w:val="00BE47CB"/>
    <w:rsid w:val="00BE7B18"/>
    <w:rsid w:val="00BF2DEA"/>
    <w:rsid w:val="00BF51E4"/>
    <w:rsid w:val="00BF5469"/>
    <w:rsid w:val="00BF60D4"/>
    <w:rsid w:val="00C028BA"/>
    <w:rsid w:val="00C02C37"/>
    <w:rsid w:val="00C1038C"/>
    <w:rsid w:val="00C10E0A"/>
    <w:rsid w:val="00C11EA3"/>
    <w:rsid w:val="00C1413B"/>
    <w:rsid w:val="00C408E3"/>
    <w:rsid w:val="00C435D2"/>
    <w:rsid w:val="00C612F6"/>
    <w:rsid w:val="00C652C0"/>
    <w:rsid w:val="00C65A4B"/>
    <w:rsid w:val="00C66316"/>
    <w:rsid w:val="00C81D5C"/>
    <w:rsid w:val="00C915C4"/>
    <w:rsid w:val="00C9496E"/>
    <w:rsid w:val="00C94C9D"/>
    <w:rsid w:val="00C95088"/>
    <w:rsid w:val="00CA3443"/>
    <w:rsid w:val="00CD1536"/>
    <w:rsid w:val="00CD572C"/>
    <w:rsid w:val="00CE66D5"/>
    <w:rsid w:val="00CE6756"/>
    <w:rsid w:val="00CE712F"/>
    <w:rsid w:val="00CF5FA2"/>
    <w:rsid w:val="00D04782"/>
    <w:rsid w:val="00D2050E"/>
    <w:rsid w:val="00D222EC"/>
    <w:rsid w:val="00D24BAE"/>
    <w:rsid w:val="00D42B36"/>
    <w:rsid w:val="00D71B78"/>
    <w:rsid w:val="00D849C5"/>
    <w:rsid w:val="00DA135B"/>
    <w:rsid w:val="00DA3F01"/>
    <w:rsid w:val="00DB16D8"/>
    <w:rsid w:val="00DB1E75"/>
    <w:rsid w:val="00DD0617"/>
    <w:rsid w:val="00DD66F7"/>
    <w:rsid w:val="00DF4414"/>
    <w:rsid w:val="00E01A42"/>
    <w:rsid w:val="00E12C19"/>
    <w:rsid w:val="00E14935"/>
    <w:rsid w:val="00E15C2F"/>
    <w:rsid w:val="00E31514"/>
    <w:rsid w:val="00E35FEA"/>
    <w:rsid w:val="00E378A7"/>
    <w:rsid w:val="00E616C3"/>
    <w:rsid w:val="00E63F97"/>
    <w:rsid w:val="00E66C6F"/>
    <w:rsid w:val="00E967A6"/>
    <w:rsid w:val="00EB0E01"/>
    <w:rsid w:val="00EB45A5"/>
    <w:rsid w:val="00EB7443"/>
    <w:rsid w:val="00EC096F"/>
    <w:rsid w:val="00EC1634"/>
    <w:rsid w:val="00EC2CBA"/>
    <w:rsid w:val="00ED7399"/>
    <w:rsid w:val="00EE22A3"/>
    <w:rsid w:val="00EE7C9F"/>
    <w:rsid w:val="00F04FB2"/>
    <w:rsid w:val="00F2545F"/>
    <w:rsid w:val="00F30824"/>
    <w:rsid w:val="00F30E42"/>
    <w:rsid w:val="00F55801"/>
    <w:rsid w:val="00F55AB1"/>
    <w:rsid w:val="00F62978"/>
    <w:rsid w:val="00F62FAF"/>
    <w:rsid w:val="00F64D42"/>
    <w:rsid w:val="00F770B0"/>
    <w:rsid w:val="00F8080B"/>
    <w:rsid w:val="00F97D43"/>
    <w:rsid w:val="00FA03FA"/>
    <w:rsid w:val="00FB06F3"/>
    <w:rsid w:val="00FB647B"/>
    <w:rsid w:val="00FB7BD0"/>
    <w:rsid w:val="00FC08E4"/>
    <w:rsid w:val="00FC0DC4"/>
    <w:rsid w:val="00FC2B26"/>
    <w:rsid w:val="00FD3D61"/>
    <w:rsid w:val="00FE071E"/>
    <w:rsid w:val="00FE2334"/>
    <w:rsid w:val="00FE78B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79F346"/>
  <w15:chartTrackingRefBased/>
  <w15:docId w15:val="{387C111B-EAFE-DE47-9AC2-6AFA1E598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E5090"/>
    <w:rPr>
      <w:sz w:val="16"/>
      <w:szCs w:val="16"/>
    </w:rPr>
  </w:style>
  <w:style w:type="paragraph" w:styleId="CommentText">
    <w:name w:val="annotation text"/>
    <w:basedOn w:val="Normal"/>
    <w:link w:val="CommentTextChar"/>
    <w:uiPriority w:val="99"/>
    <w:semiHidden/>
    <w:unhideWhenUsed/>
    <w:rsid w:val="004E5090"/>
    <w:rPr>
      <w:sz w:val="20"/>
      <w:szCs w:val="20"/>
    </w:rPr>
  </w:style>
  <w:style w:type="character" w:customStyle="1" w:styleId="CommentTextChar">
    <w:name w:val="Comment Text Char"/>
    <w:basedOn w:val="DefaultParagraphFont"/>
    <w:link w:val="CommentText"/>
    <w:uiPriority w:val="99"/>
    <w:semiHidden/>
    <w:rsid w:val="004E5090"/>
    <w:rPr>
      <w:sz w:val="20"/>
      <w:szCs w:val="20"/>
    </w:rPr>
  </w:style>
  <w:style w:type="paragraph" w:styleId="BalloonText">
    <w:name w:val="Balloon Text"/>
    <w:basedOn w:val="Normal"/>
    <w:link w:val="BalloonTextChar"/>
    <w:uiPriority w:val="99"/>
    <w:semiHidden/>
    <w:unhideWhenUsed/>
    <w:rsid w:val="004E5090"/>
    <w:rPr>
      <w:sz w:val="18"/>
      <w:szCs w:val="18"/>
    </w:rPr>
  </w:style>
  <w:style w:type="character" w:customStyle="1" w:styleId="BalloonTextChar">
    <w:name w:val="Balloon Text Char"/>
    <w:basedOn w:val="DefaultParagraphFont"/>
    <w:link w:val="BalloonText"/>
    <w:uiPriority w:val="99"/>
    <w:semiHidden/>
    <w:rsid w:val="004E5090"/>
    <w:rPr>
      <w:sz w:val="18"/>
      <w:szCs w:val="18"/>
    </w:rPr>
  </w:style>
  <w:style w:type="paragraph" w:styleId="Footer">
    <w:name w:val="footer"/>
    <w:basedOn w:val="Normal"/>
    <w:link w:val="FooterChar"/>
    <w:uiPriority w:val="99"/>
    <w:unhideWhenUsed/>
    <w:rsid w:val="004A2DC3"/>
    <w:pPr>
      <w:tabs>
        <w:tab w:val="center" w:pos="4703"/>
        <w:tab w:val="right" w:pos="9406"/>
      </w:tabs>
    </w:pPr>
  </w:style>
  <w:style w:type="character" w:customStyle="1" w:styleId="FooterChar">
    <w:name w:val="Footer Char"/>
    <w:basedOn w:val="DefaultParagraphFont"/>
    <w:link w:val="Footer"/>
    <w:uiPriority w:val="99"/>
    <w:rsid w:val="004A2DC3"/>
  </w:style>
  <w:style w:type="character" w:styleId="PageNumber">
    <w:name w:val="page number"/>
    <w:basedOn w:val="DefaultParagraphFont"/>
    <w:uiPriority w:val="99"/>
    <w:semiHidden/>
    <w:unhideWhenUsed/>
    <w:rsid w:val="004A2DC3"/>
  </w:style>
  <w:style w:type="table" w:styleId="TableGrid">
    <w:name w:val="Table Grid"/>
    <w:basedOn w:val="TableNormal"/>
    <w:uiPriority w:val="39"/>
    <w:rsid w:val="00961538"/>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A410D1"/>
    <w:rPr>
      <w:b/>
      <w:bCs/>
    </w:rPr>
  </w:style>
  <w:style w:type="character" w:customStyle="1" w:styleId="CommentSubjectChar">
    <w:name w:val="Comment Subject Char"/>
    <w:basedOn w:val="CommentTextChar"/>
    <w:link w:val="CommentSubject"/>
    <w:uiPriority w:val="99"/>
    <w:semiHidden/>
    <w:rsid w:val="00A410D1"/>
    <w:rPr>
      <w:rFonts w:eastAsiaTheme="minorEastAsia"/>
      <w:b/>
      <w:bCs/>
      <w:sz w:val="20"/>
      <w:szCs w:val="20"/>
    </w:rPr>
  </w:style>
  <w:style w:type="paragraph" w:styleId="Header">
    <w:name w:val="header"/>
    <w:basedOn w:val="Normal"/>
    <w:link w:val="HeaderChar"/>
    <w:uiPriority w:val="99"/>
    <w:unhideWhenUsed/>
    <w:rsid w:val="00CE6756"/>
    <w:pPr>
      <w:tabs>
        <w:tab w:val="center" w:pos="4703"/>
        <w:tab w:val="right" w:pos="9406"/>
      </w:tabs>
    </w:pPr>
  </w:style>
  <w:style w:type="character" w:customStyle="1" w:styleId="HeaderChar">
    <w:name w:val="Header Char"/>
    <w:basedOn w:val="DefaultParagraphFont"/>
    <w:link w:val="Header"/>
    <w:uiPriority w:val="99"/>
    <w:rsid w:val="00CE6756"/>
    <w:rPr>
      <w:rFonts w:eastAsiaTheme="minorEastAsia"/>
    </w:rPr>
  </w:style>
  <w:style w:type="character" w:styleId="LineNumber">
    <w:name w:val="line number"/>
    <w:basedOn w:val="DefaultParagraphFont"/>
    <w:uiPriority w:val="99"/>
    <w:semiHidden/>
    <w:unhideWhenUsed/>
    <w:rsid w:val="00E15C2F"/>
  </w:style>
  <w:style w:type="paragraph" w:styleId="Revision">
    <w:name w:val="Revision"/>
    <w:hidden/>
    <w:uiPriority w:val="99"/>
    <w:semiHidden/>
    <w:rsid w:val="008367A5"/>
    <w:rPr>
      <w:rFonts w:eastAsiaTheme="minorEastAsia"/>
    </w:rPr>
  </w:style>
  <w:style w:type="character" w:styleId="Hyperlink">
    <w:name w:val="Hyperlink"/>
    <w:basedOn w:val="DefaultParagraphFont"/>
    <w:uiPriority w:val="99"/>
    <w:semiHidden/>
    <w:unhideWhenUsed/>
    <w:rsid w:val="007F2D70"/>
    <w:rPr>
      <w:color w:val="0563C1"/>
      <w:u w:val="single"/>
    </w:rPr>
  </w:style>
  <w:style w:type="character" w:styleId="FollowedHyperlink">
    <w:name w:val="FollowedHyperlink"/>
    <w:basedOn w:val="DefaultParagraphFont"/>
    <w:uiPriority w:val="99"/>
    <w:semiHidden/>
    <w:unhideWhenUsed/>
    <w:rsid w:val="007F2D70"/>
    <w:rPr>
      <w:color w:val="954F72"/>
      <w:u w:val="single"/>
    </w:rPr>
  </w:style>
  <w:style w:type="paragraph" w:customStyle="1" w:styleId="msonormal0">
    <w:name w:val="msonormal"/>
    <w:basedOn w:val="Normal"/>
    <w:rsid w:val="007F2D70"/>
    <w:pPr>
      <w:spacing w:before="100" w:beforeAutospacing="1" w:after="100" w:afterAutospacing="1"/>
    </w:pPr>
    <w:rPr>
      <w:rFonts w:eastAsia="Times New Roman"/>
      <w:lang w:eastAsia="en-GB"/>
    </w:rPr>
  </w:style>
  <w:style w:type="paragraph" w:customStyle="1" w:styleId="xl63">
    <w:name w:val="xl63"/>
    <w:basedOn w:val="Normal"/>
    <w:rsid w:val="007F2D7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b/>
      <w:bCs/>
      <w:color w:val="000000"/>
      <w:lang w:eastAsia="en-GB"/>
    </w:rPr>
  </w:style>
  <w:style w:type="paragraph" w:customStyle="1" w:styleId="xl64">
    <w:name w:val="xl64"/>
    <w:basedOn w:val="Normal"/>
    <w:rsid w:val="007F2D7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b/>
      <w:bCs/>
      <w:lang w:eastAsia="en-GB"/>
    </w:rPr>
  </w:style>
  <w:style w:type="paragraph" w:customStyle="1" w:styleId="xl65">
    <w:name w:val="xl65"/>
    <w:basedOn w:val="Normal"/>
    <w:rsid w:val="007F2D70"/>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eastAsia="Times New Roman"/>
      <w:color w:val="000000"/>
      <w:lang w:eastAsia="en-GB"/>
    </w:rPr>
  </w:style>
  <w:style w:type="paragraph" w:customStyle="1" w:styleId="xl66">
    <w:name w:val="xl66"/>
    <w:basedOn w:val="Normal"/>
    <w:rsid w:val="007F2D70"/>
    <w:pPr>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eastAsia="Times New Roman"/>
      <w:lang w:eastAsia="en-GB"/>
    </w:rPr>
  </w:style>
  <w:style w:type="paragraph" w:customStyle="1" w:styleId="xl67">
    <w:name w:val="xl67"/>
    <w:basedOn w:val="Normal"/>
    <w:rsid w:val="007F2D70"/>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Times New Roman"/>
      <w:lang w:eastAsia="en-GB"/>
    </w:rPr>
  </w:style>
  <w:style w:type="paragraph" w:customStyle="1" w:styleId="xl68">
    <w:name w:val="xl68"/>
    <w:basedOn w:val="Normal"/>
    <w:rsid w:val="007F2D70"/>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eastAsia="Times New Roman"/>
      <w:lang w:eastAsia="en-GB"/>
    </w:rPr>
  </w:style>
  <w:style w:type="paragraph" w:customStyle="1" w:styleId="xl69">
    <w:name w:val="xl69"/>
    <w:basedOn w:val="Normal"/>
    <w:rsid w:val="007F2D70"/>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Times New Roman"/>
      <w:lang w:eastAsia="en-GB"/>
    </w:rPr>
  </w:style>
  <w:style w:type="paragraph" w:styleId="ListParagraph">
    <w:name w:val="List Paragraph"/>
    <w:basedOn w:val="Normal"/>
    <w:uiPriority w:val="34"/>
    <w:qFormat/>
    <w:rsid w:val="00BF51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714519">
      <w:bodyDiv w:val="1"/>
      <w:marLeft w:val="0"/>
      <w:marRight w:val="0"/>
      <w:marTop w:val="0"/>
      <w:marBottom w:val="0"/>
      <w:divBdr>
        <w:top w:val="none" w:sz="0" w:space="0" w:color="auto"/>
        <w:left w:val="none" w:sz="0" w:space="0" w:color="auto"/>
        <w:bottom w:val="none" w:sz="0" w:space="0" w:color="auto"/>
        <w:right w:val="none" w:sz="0" w:space="0" w:color="auto"/>
      </w:divBdr>
    </w:div>
    <w:div w:id="896822026">
      <w:bodyDiv w:val="1"/>
      <w:marLeft w:val="0"/>
      <w:marRight w:val="0"/>
      <w:marTop w:val="0"/>
      <w:marBottom w:val="0"/>
      <w:divBdr>
        <w:top w:val="none" w:sz="0" w:space="0" w:color="auto"/>
        <w:left w:val="none" w:sz="0" w:space="0" w:color="auto"/>
        <w:bottom w:val="none" w:sz="0" w:space="0" w:color="auto"/>
        <w:right w:val="none" w:sz="0" w:space="0" w:color="auto"/>
      </w:divBdr>
    </w:div>
    <w:div w:id="1674607066">
      <w:bodyDiv w:val="1"/>
      <w:marLeft w:val="0"/>
      <w:marRight w:val="0"/>
      <w:marTop w:val="0"/>
      <w:marBottom w:val="0"/>
      <w:divBdr>
        <w:top w:val="none" w:sz="0" w:space="0" w:color="auto"/>
        <w:left w:val="none" w:sz="0" w:space="0" w:color="auto"/>
        <w:bottom w:val="none" w:sz="0" w:space="0" w:color="auto"/>
        <w:right w:val="none" w:sz="0" w:space="0" w:color="auto"/>
      </w:divBdr>
    </w:div>
    <w:div w:id="182812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43BCCF-A399-4140-87B8-CCCA269AE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2930</Words>
  <Characters>16706</Characters>
  <Application>Microsoft Office Word</Application>
  <DocSecurity>0</DocSecurity>
  <Lines>139</Lines>
  <Paragraphs>39</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Manager/>
  <Company/>
  <LinksUpToDate>false</LinksUpToDate>
  <CharactersWithSpaces>19597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Sergey Rodin</dc:creator>
  <cp:keywords/>
  <dc:description/>
  <cp:lastModifiedBy>Microsoft Office User</cp:lastModifiedBy>
  <cp:revision>2</cp:revision>
  <cp:lastPrinted>2023-04-16T16:27:00Z</cp:lastPrinted>
  <dcterms:created xsi:type="dcterms:W3CDTF">2023-08-24T21:51:00Z</dcterms:created>
  <dcterms:modified xsi:type="dcterms:W3CDTF">2023-08-24T21:51:00Z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http://www.zotero.org/styles/american-sociological-association</vt:lpwstr>
  </property>
  <property fmtid="{D5CDD505-2E9C-101B-9397-08002B2CF9AE}" pid="3" name="Mendeley Recent Style Name 0_1">
    <vt:lpwstr>American Sociological Association 6th edition</vt:lpwstr>
  </property>
  <property fmtid="{D5CDD505-2E9C-101B-9397-08002B2CF9AE}" pid="4" name="Mendeley Recent Style Id 1_1">
    <vt:lpwstr>http://www.zotero.org/styles/cellular-and-molecular-life-sciences</vt:lpwstr>
  </property>
  <property fmtid="{D5CDD505-2E9C-101B-9397-08002B2CF9AE}" pid="5" name="Mendeley Recent Style Name 1_1">
    <vt:lpwstr>Cellular and Molecular Life Sciences</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http://www.zotero.org/styles/jacc-cardiovascular-interventions</vt:lpwstr>
  </property>
  <property fmtid="{D5CDD505-2E9C-101B-9397-08002B2CF9AE}" pid="13" name="Mendeley Recent Style Name 5_1">
    <vt:lpwstr>JACC: Cardiovascular Interventions</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http://www.zotero.org/styles/the-journal-of-clinical-investigation</vt:lpwstr>
  </property>
  <property fmtid="{D5CDD505-2E9C-101B-9397-08002B2CF9AE}" pid="21" name="Mendeley Recent Style Name 9_1">
    <vt:lpwstr>The Journal of Clinical Investigation</vt:lpwstr>
  </property>
  <property fmtid="{D5CDD505-2E9C-101B-9397-08002B2CF9AE}" pid="22" name="Mendeley Document_1">
    <vt:lpwstr>True</vt:lpwstr>
  </property>
  <property fmtid="{D5CDD505-2E9C-101B-9397-08002B2CF9AE}" pid="23" name="Mendeley Unique User Id_1">
    <vt:lpwstr>79aa1f27-5c8d-33d2-a65a-d3d3661253fd</vt:lpwstr>
  </property>
  <property fmtid="{D5CDD505-2E9C-101B-9397-08002B2CF9AE}" pid="24" name="Mendeley Citation Style_1">
    <vt:lpwstr>http://www.zotero.org/styles/cellular-and-molecular-life-sciences</vt:lpwstr>
  </property>
</Properties>
</file>