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5B83E6A" w14:textId="77777777" w:rsidR="00133437" w:rsidRPr="006D3D45" w:rsidRDefault="00133437" w:rsidP="00133437">
      <w:pPr>
        <w:keepNext/>
        <w:spacing w:after="0" w:line="240" w:lineRule="auto"/>
        <w:rPr>
          <w:rFonts w:eastAsia="Calibri"/>
          <w:color w:val="000000"/>
          <w:sz w:val="24"/>
        </w:rPr>
      </w:pPr>
      <w:r w:rsidRPr="006D3D45">
        <w:rPr>
          <w:rFonts w:eastAsia="Calibri"/>
          <w:noProof/>
          <w:color w:val="000000"/>
          <w:sz w:val="20"/>
          <w:szCs w:val="20"/>
          <w:lang w:val="en-US"/>
        </w:rPr>
        <w:drawing>
          <wp:inline distT="0" distB="0" distL="0" distR="0" wp14:anchorId="7F7CCECD" wp14:editId="3734A0AE">
            <wp:extent cx="6229350" cy="4941174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19" r="4339"/>
                    <a:stretch/>
                  </pic:blipFill>
                  <pic:spPr bwMode="auto">
                    <a:xfrm>
                      <a:off x="0" y="0"/>
                      <a:ext cx="6230496" cy="49420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783F26B2" w14:textId="77777777" w:rsidR="00133437" w:rsidRPr="006D3D45" w:rsidRDefault="00133437" w:rsidP="00133437">
      <w:pPr>
        <w:spacing w:before="240" w:after="0" w:line="240" w:lineRule="auto"/>
        <w:rPr>
          <w:rFonts w:eastAsia="Calibri"/>
          <w:b/>
          <w:sz w:val="20"/>
        </w:rPr>
      </w:pPr>
      <w:r w:rsidRPr="000E7C77">
        <w:rPr>
          <w:rFonts w:eastAsia="Calibri"/>
          <w:b/>
          <w:sz w:val="20"/>
        </w:rPr>
        <w:t>Supplementary Figure</w:t>
      </w:r>
      <w:r>
        <w:rPr>
          <w:rFonts w:eastAsia="Calibri"/>
          <w:b/>
          <w:sz w:val="20"/>
        </w:rPr>
        <w:t xml:space="preserve"> </w:t>
      </w:r>
      <w:r w:rsidRPr="000E7C77">
        <w:rPr>
          <w:rFonts w:eastAsia="Calibri"/>
          <w:b/>
          <w:noProof/>
          <w:sz w:val="20"/>
        </w:rPr>
        <w:t>1</w:t>
      </w:r>
      <w:r w:rsidRPr="000E7C77">
        <w:rPr>
          <w:rFonts w:eastAsia="Calibri"/>
          <w:b/>
          <w:sz w:val="20"/>
        </w:rPr>
        <w:t>: TNF-α expression was affected in multiple polyfunctional CD8</w:t>
      </w:r>
      <w:r w:rsidRPr="000E7C77">
        <w:rPr>
          <w:rFonts w:eastAsia="Calibri"/>
          <w:b/>
          <w:sz w:val="20"/>
          <w:vertAlign w:val="superscript"/>
        </w:rPr>
        <w:t>+</w:t>
      </w:r>
      <w:r w:rsidRPr="000E7C77">
        <w:rPr>
          <w:rFonts w:eastAsia="Calibri"/>
          <w:b/>
          <w:sz w:val="20"/>
        </w:rPr>
        <w:t xml:space="preserve"> T cell populations.</w:t>
      </w:r>
    </w:p>
    <w:p w14:paraId="29BC71BA" w14:textId="4510B609" w:rsidR="00133437" w:rsidRDefault="00133437" w:rsidP="00133437">
      <w:pPr>
        <w:spacing w:after="0" w:line="240" w:lineRule="auto"/>
        <w:jc w:val="both"/>
        <w:rPr>
          <w:rFonts w:eastAsia="Calibri"/>
          <w:color w:val="000000"/>
          <w:sz w:val="20"/>
          <w:szCs w:val="20"/>
        </w:rPr>
      </w:pPr>
      <w:r w:rsidRPr="006D3D45">
        <w:rPr>
          <w:rFonts w:eastAsia="Calibri"/>
          <w:color w:val="000000"/>
          <w:sz w:val="20"/>
          <w:szCs w:val="20"/>
        </w:rPr>
        <w:t>CD</w:t>
      </w:r>
      <w:r>
        <w:rPr>
          <w:rFonts w:eastAsia="Calibri"/>
          <w:color w:val="000000"/>
          <w:sz w:val="20"/>
          <w:szCs w:val="20"/>
        </w:rPr>
        <w:t>8</w:t>
      </w:r>
      <w:r w:rsidRPr="006D3D45">
        <w:rPr>
          <w:rFonts w:eastAsia="Calibri"/>
          <w:color w:val="000000"/>
          <w:sz w:val="20"/>
          <w:szCs w:val="20"/>
          <w:vertAlign w:val="superscript"/>
        </w:rPr>
        <w:t>+</w:t>
      </w:r>
      <w:r w:rsidRPr="006D3D45">
        <w:rPr>
          <w:rFonts w:eastAsia="Calibri"/>
          <w:color w:val="000000"/>
          <w:sz w:val="20"/>
          <w:szCs w:val="20"/>
        </w:rPr>
        <w:t xml:space="preserve"> T cells were stimulated for 1</w:t>
      </w:r>
      <w:r>
        <w:rPr>
          <w:rFonts w:eastAsia="Calibri"/>
          <w:color w:val="000000"/>
          <w:sz w:val="20"/>
          <w:szCs w:val="20"/>
        </w:rPr>
        <w:t>8</w:t>
      </w:r>
      <w:r w:rsidRPr="006D3D45">
        <w:rPr>
          <w:rFonts w:eastAsia="Calibri"/>
          <w:color w:val="000000"/>
          <w:sz w:val="20"/>
          <w:szCs w:val="20"/>
        </w:rPr>
        <w:t xml:space="preserve"> hours using anti-CD3/anti-CD28 coated beads.</w:t>
      </w:r>
      <w:r w:rsidRPr="00E2180F">
        <w:rPr>
          <w:rFonts w:eastAsia="Calibri"/>
          <w:color w:val="000000"/>
          <w:sz w:val="20"/>
          <w:szCs w:val="20"/>
        </w:rPr>
        <w:t xml:space="preserve"> </w:t>
      </w:r>
      <w:r w:rsidR="00CE226D">
        <w:rPr>
          <w:rFonts w:eastAsia="Calibri"/>
          <w:color w:val="000000"/>
          <w:sz w:val="20"/>
          <w:szCs w:val="20"/>
        </w:rPr>
        <w:t>Results are presented as the frequency of CD8</w:t>
      </w:r>
      <w:r w:rsidR="00CE226D" w:rsidRPr="00903027">
        <w:rPr>
          <w:rFonts w:eastAsia="Calibri"/>
          <w:color w:val="000000"/>
          <w:sz w:val="20"/>
          <w:szCs w:val="20"/>
          <w:vertAlign w:val="superscript"/>
        </w:rPr>
        <w:t>+</w:t>
      </w:r>
      <w:r w:rsidR="00CE226D">
        <w:rPr>
          <w:rFonts w:eastAsia="Calibri"/>
          <w:color w:val="000000"/>
          <w:sz w:val="20"/>
          <w:szCs w:val="20"/>
        </w:rPr>
        <w:t xml:space="preserve"> T cells expressing the select markers, with background staining subtracted.</w:t>
      </w:r>
      <w:r w:rsidR="00CE226D" w:rsidRPr="006D3D45" w:rsidDel="00CE226D">
        <w:rPr>
          <w:rFonts w:eastAsia="Calibri"/>
          <w:color w:val="000000"/>
          <w:sz w:val="20"/>
          <w:szCs w:val="20"/>
        </w:rPr>
        <w:t xml:space="preserve"> </w:t>
      </w:r>
      <w:r w:rsidRPr="006D3D45">
        <w:rPr>
          <w:rFonts w:eastAsia="Calibri"/>
          <w:color w:val="000000"/>
          <w:sz w:val="20"/>
          <w:szCs w:val="20"/>
        </w:rPr>
        <w:t>Data points represent individual donors (</w:t>
      </w:r>
      <w:r>
        <w:rPr>
          <w:rFonts w:eastAsia="Calibri"/>
          <w:color w:val="000000"/>
          <w:sz w:val="20"/>
          <w:szCs w:val="20"/>
        </w:rPr>
        <w:t>n=88</w:t>
      </w:r>
      <w:r w:rsidRPr="006D3D45">
        <w:rPr>
          <w:rFonts w:eastAsia="Calibri"/>
          <w:color w:val="000000"/>
          <w:sz w:val="20"/>
          <w:szCs w:val="20"/>
        </w:rPr>
        <w:t>). Statistical significance was determined using simple linear regression</w:t>
      </w:r>
      <w:r>
        <w:rPr>
          <w:rFonts w:eastAsia="Calibri"/>
          <w:color w:val="000000"/>
          <w:sz w:val="20"/>
          <w:szCs w:val="20"/>
        </w:rPr>
        <w:t>,</w:t>
      </w:r>
      <w:r>
        <w:t xml:space="preserve"> </w:t>
      </w:r>
      <w:r w:rsidRPr="00E2180F">
        <w:rPr>
          <w:rFonts w:eastAsia="Calibri"/>
          <w:color w:val="000000"/>
          <w:sz w:val="20"/>
          <w:szCs w:val="20"/>
        </w:rPr>
        <w:t>with significant P values displayed.</w:t>
      </w:r>
      <w:r w:rsidR="006E2696" w:rsidRPr="006E2696">
        <w:rPr>
          <w:rFonts w:eastAsia="Calibri"/>
          <w:b/>
          <w:bCs/>
          <w:color w:val="000000"/>
          <w:sz w:val="20"/>
          <w:szCs w:val="20"/>
        </w:rPr>
        <w:t xml:space="preserve"> </w:t>
      </w:r>
      <w:r w:rsidR="006E2696" w:rsidRPr="00CB77FA">
        <w:rPr>
          <w:rFonts w:eastAsia="Calibri"/>
          <w:b/>
          <w:bCs/>
          <w:color w:val="000000"/>
          <w:sz w:val="20"/>
          <w:szCs w:val="20"/>
        </w:rPr>
        <w:t>A-</w:t>
      </w:r>
      <w:r w:rsidR="006E2696">
        <w:rPr>
          <w:rFonts w:eastAsia="Calibri"/>
          <w:b/>
          <w:bCs/>
          <w:color w:val="000000"/>
          <w:sz w:val="20"/>
          <w:szCs w:val="20"/>
        </w:rPr>
        <w:t>D</w:t>
      </w:r>
      <w:r w:rsidR="006E2696" w:rsidRPr="00CB77FA">
        <w:rPr>
          <w:rFonts w:eastAsia="Calibri"/>
          <w:b/>
          <w:bCs/>
          <w:color w:val="000000"/>
          <w:sz w:val="20"/>
          <w:szCs w:val="20"/>
        </w:rPr>
        <w:t>)</w:t>
      </w:r>
      <w:r w:rsidR="006E2696">
        <w:rPr>
          <w:rFonts w:eastAsia="Calibri"/>
          <w:color w:val="000000"/>
          <w:sz w:val="20"/>
          <w:szCs w:val="20"/>
        </w:rPr>
        <w:t xml:space="preserve"> Donors without diabetes are represented by green triangles. Donors with diabetes are represented by blue circles.</w:t>
      </w:r>
    </w:p>
    <w:p w14:paraId="3D63B82C" w14:textId="77777777" w:rsidR="00133437" w:rsidRDefault="00133437" w:rsidP="00133437">
      <w:pPr>
        <w:spacing w:after="0" w:line="240" w:lineRule="auto"/>
      </w:pPr>
      <w:r>
        <w:br w:type="page"/>
      </w:r>
    </w:p>
    <w:p w14:paraId="359D5464" w14:textId="77777777" w:rsidR="00133437" w:rsidRPr="006D3D45" w:rsidRDefault="00133437" w:rsidP="00133437">
      <w:pPr>
        <w:keepNext/>
        <w:spacing w:after="0" w:line="240" w:lineRule="auto"/>
        <w:jc w:val="center"/>
        <w:rPr>
          <w:rFonts w:eastAsia="Calibri"/>
          <w:color w:val="000000"/>
          <w:sz w:val="24"/>
        </w:rPr>
      </w:pPr>
      <w:r w:rsidRPr="006D3D45">
        <w:rPr>
          <w:rFonts w:eastAsia="Calibri"/>
          <w:noProof/>
          <w:color w:val="000000"/>
          <w:sz w:val="20"/>
          <w:szCs w:val="20"/>
          <w:lang w:val="en-US"/>
        </w:rPr>
        <w:drawing>
          <wp:inline distT="0" distB="0" distL="0" distR="0" wp14:anchorId="664F95E3" wp14:editId="5C276E05">
            <wp:extent cx="6359394" cy="6887852"/>
            <wp:effectExtent l="0" t="0" r="381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20" b="4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9394" cy="68878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FBB4316" w14:textId="77777777" w:rsidR="00133437" w:rsidRPr="006D3D45" w:rsidRDefault="00133437" w:rsidP="00133437">
      <w:pPr>
        <w:spacing w:before="240" w:after="0" w:line="240" w:lineRule="auto"/>
        <w:rPr>
          <w:rFonts w:eastAsia="Calibri"/>
          <w:b/>
          <w:sz w:val="20"/>
        </w:rPr>
      </w:pPr>
      <w:r w:rsidRPr="00A81C2E">
        <w:rPr>
          <w:rFonts w:eastAsia="Calibri"/>
          <w:b/>
          <w:sz w:val="20"/>
        </w:rPr>
        <w:t xml:space="preserve">Supplementary Figure 2: Reduced TNF-α expression </w:t>
      </w:r>
      <w:r>
        <w:rPr>
          <w:rFonts w:eastAsia="Calibri"/>
          <w:b/>
          <w:sz w:val="20"/>
        </w:rPr>
        <w:t xml:space="preserve">associated with </w:t>
      </w:r>
      <w:r w:rsidRPr="00A81C2E">
        <w:rPr>
          <w:rFonts w:eastAsia="Calibri"/>
          <w:b/>
          <w:sz w:val="20"/>
        </w:rPr>
        <w:t>increasing HbA1c was also observed in CD4</w:t>
      </w:r>
      <w:r w:rsidRPr="00A81C2E">
        <w:rPr>
          <w:rFonts w:eastAsia="Calibri"/>
          <w:b/>
          <w:sz w:val="20"/>
          <w:vertAlign w:val="superscript"/>
        </w:rPr>
        <w:t>+</w:t>
      </w:r>
      <w:r w:rsidRPr="00A81C2E">
        <w:rPr>
          <w:rFonts w:eastAsia="Calibri"/>
          <w:b/>
          <w:sz w:val="20"/>
        </w:rPr>
        <w:t xml:space="preserve"> T cells.</w:t>
      </w:r>
    </w:p>
    <w:p w14:paraId="7E099D1F" w14:textId="664992EE" w:rsidR="00133437" w:rsidRDefault="00133437" w:rsidP="00133437">
      <w:pPr>
        <w:spacing w:after="0" w:line="240" w:lineRule="auto"/>
        <w:jc w:val="both"/>
        <w:rPr>
          <w:rFonts w:eastAsia="Calibri"/>
          <w:color w:val="000000"/>
          <w:sz w:val="20"/>
          <w:szCs w:val="20"/>
        </w:rPr>
      </w:pPr>
      <w:r w:rsidRPr="006D3D45">
        <w:rPr>
          <w:rFonts w:eastAsia="Calibri"/>
          <w:color w:val="000000"/>
          <w:sz w:val="20"/>
          <w:szCs w:val="20"/>
        </w:rPr>
        <w:t>CD</w:t>
      </w:r>
      <w:r>
        <w:rPr>
          <w:rFonts w:eastAsia="Calibri"/>
          <w:color w:val="000000"/>
          <w:sz w:val="20"/>
          <w:szCs w:val="20"/>
        </w:rPr>
        <w:t>4</w:t>
      </w:r>
      <w:r w:rsidRPr="006D3D45">
        <w:rPr>
          <w:rFonts w:eastAsia="Calibri"/>
          <w:color w:val="000000"/>
          <w:sz w:val="20"/>
          <w:szCs w:val="20"/>
          <w:vertAlign w:val="superscript"/>
        </w:rPr>
        <w:t>+</w:t>
      </w:r>
      <w:r w:rsidRPr="006D3D45">
        <w:rPr>
          <w:rFonts w:eastAsia="Calibri"/>
          <w:color w:val="000000"/>
          <w:sz w:val="20"/>
          <w:szCs w:val="20"/>
        </w:rPr>
        <w:t xml:space="preserve"> T cells were stimulated for 1</w:t>
      </w:r>
      <w:r>
        <w:rPr>
          <w:rFonts w:eastAsia="Calibri"/>
          <w:color w:val="000000"/>
          <w:sz w:val="20"/>
          <w:szCs w:val="20"/>
        </w:rPr>
        <w:t>8</w:t>
      </w:r>
      <w:r w:rsidRPr="006D3D45">
        <w:rPr>
          <w:rFonts w:eastAsia="Calibri"/>
          <w:color w:val="000000"/>
          <w:sz w:val="20"/>
          <w:szCs w:val="20"/>
        </w:rPr>
        <w:t xml:space="preserve"> hours using anti-CD3/anti-CD28 coated beads</w:t>
      </w:r>
      <w:r w:rsidR="00CE226D">
        <w:rPr>
          <w:rFonts w:eastAsia="Calibri"/>
          <w:color w:val="000000"/>
          <w:sz w:val="20"/>
          <w:szCs w:val="20"/>
        </w:rPr>
        <w:t>. Results are presented as the frequency of CD8</w:t>
      </w:r>
      <w:r w:rsidR="00CE226D" w:rsidRPr="00903027">
        <w:rPr>
          <w:rFonts w:eastAsia="Calibri"/>
          <w:color w:val="000000"/>
          <w:sz w:val="20"/>
          <w:szCs w:val="20"/>
          <w:vertAlign w:val="superscript"/>
        </w:rPr>
        <w:t>+</w:t>
      </w:r>
      <w:r w:rsidR="00CE226D">
        <w:rPr>
          <w:rFonts w:eastAsia="Calibri"/>
          <w:color w:val="000000"/>
          <w:sz w:val="20"/>
          <w:szCs w:val="20"/>
        </w:rPr>
        <w:t xml:space="preserve"> T cells expressing TNF-</w:t>
      </w:r>
      <w:r w:rsidR="00CE226D">
        <w:rPr>
          <w:rFonts w:eastAsia="Calibri"/>
          <w:color w:val="000000"/>
          <w:sz w:val="20"/>
          <w:szCs w:val="20"/>
        </w:rPr>
        <w:sym w:font="Symbol" w:char="F061"/>
      </w:r>
      <w:r w:rsidR="00CE226D">
        <w:rPr>
          <w:rFonts w:eastAsia="Calibri"/>
          <w:color w:val="000000"/>
          <w:sz w:val="20"/>
          <w:szCs w:val="20"/>
        </w:rPr>
        <w:t>, with background staining subtracted.</w:t>
      </w:r>
      <w:r w:rsidRPr="006D3D45">
        <w:rPr>
          <w:rFonts w:eastAsia="Calibri"/>
          <w:b/>
          <w:bCs/>
          <w:color w:val="000000"/>
          <w:sz w:val="20"/>
          <w:szCs w:val="20"/>
        </w:rPr>
        <w:t xml:space="preserve"> A)</w:t>
      </w:r>
      <w:r w:rsidRPr="006D3D45">
        <w:rPr>
          <w:rFonts w:eastAsia="Calibri"/>
          <w:color w:val="000000"/>
          <w:sz w:val="20"/>
          <w:szCs w:val="20"/>
        </w:rPr>
        <w:t xml:space="preserve"> Data points represent individual donors (n=88). Statistical significance was determined using multiple variable regression analysis, where input variables were age, sex, BMI, HbA1c and ethnicity, with significant </w:t>
      </w:r>
      <w:r w:rsidRPr="006D3D45">
        <w:rPr>
          <w:rFonts w:eastAsia="Calibri"/>
          <w:i/>
          <w:iCs/>
          <w:color w:val="000000"/>
          <w:sz w:val="20"/>
          <w:szCs w:val="20"/>
        </w:rPr>
        <w:t>P</w:t>
      </w:r>
      <w:r w:rsidRPr="006D3D45">
        <w:rPr>
          <w:rFonts w:eastAsia="Calibri"/>
          <w:color w:val="000000"/>
          <w:sz w:val="20"/>
          <w:szCs w:val="20"/>
        </w:rPr>
        <w:t xml:space="preserve"> values displayed. </w:t>
      </w:r>
      <w:r w:rsidRPr="006D3D45">
        <w:rPr>
          <w:rFonts w:eastAsia="Calibri"/>
          <w:b/>
          <w:bCs/>
          <w:color w:val="000000"/>
          <w:sz w:val="20"/>
          <w:szCs w:val="20"/>
        </w:rPr>
        <w:t>B)</w:t>
      </w:r>
      <w:r w:rsidRPr="006D3D45">
        <w:rPr>
          <w:rFonts w:eastAsia="Calibri"/>
          <w:color w:val="000000"/>
          <w:sz w:val="20"/>
          <w:szCs w:val="20"/>
        </w:rPr>
        <w:t xml:space="preserve"> </w:t>
      </w:r>
      <w:r>
        <w:rPr>
          <w:rFonts w:eastAsia="Calibri"/>
          <w:color w:val="000000"/>
          <w:sz w:val="20"/>
          <w:szCs w:val="20"/>
        </w:rPr>
        <w:t>Relationship between HbA1c and TNF-α produced by CD4</w:t>
      </w:r>
      <w:r w:rsidRPr="007E38B3">
        <w:rPr>
          <w:rFonts w:eastAsia="Calibri"/>
          <w:color w:val="000000"/>
          <w:sz w:val="20"/>
          <w:szCs w:val="20"/>
          <w:vertAlign w:val="superscript"/>
        </w:rPr>
        <w:t>+</w:t>
      </w:r>
      <w:r>
        <w:rPr>
          <w:rFonts w:eastAsia="Calibri"/>
          <w:color w:val="000000"/>
          <w:sz w:val="20"/>
          <w:szCs w:val="20"/>
        </w:rPr>
        <w:t xml:space="preserve"> T cells in Caucasian donors. Each data point represents an individual donor (n=73)</w:t>
      </w:r>
      <w:r w:rsidRPr="006D3D45">
        <w:rPr>
          <w:rFonts w:eastAsia="Calibri"/>
          <w:color w:val="000000"/>
          <w:sz w:val="20"/>
          <w:szCs w:val="20"/>
        </w:rPr>
        <w:t xml:space="preserve">. </w:t>
      </w:r>
      <w:r w:rsidRPr="007E38B3">
        <w:rPr>
          <w:rFonts w:eastAsia="Calibri"/>
          <w:color w:val="000000"/>
          <w:sz w:val="20"/>
          <w:szCs w:val="20"/>
        </w:rPr>
        <w:t>Statistical significance was determined using simple linear regression</w:t>
      </w:r>
      <w:r w:rsidRPr="006D3D45">
        <w:rPr>
          <w:rFonts w:eastAsia="Calibri"/>
          <w:color w:val="000000"/>
          <w:sz w:val="20"/>
          <w:szCs w:val="20"/>
        </w:rPr>
        <w:t>.</w:t>
      </w:r>
      <w:r w:rsidR="006E2696" w:rsidRPr="006E2696">
        <w:rPr>
          <w:rFonts w:eastAsia="Calibri"/>
          <w:b/>
          <w:bCs/>
          <w:color w:val="000000"/>
          <w:sz w:val="20"/>
          <w:szCs w:val="20"/>
        </w:rPr>
        <w:t xml:space="preserve"> </w:t>
      </w:r>
      <w:r w:rsidR="006E2696">
        <w:rPr>
          <w:rFonts w:eastAsia="Calibri"/>
          <w:color w:val="000000"/>
          <w:sz w:val="20"/>
          <w:szCs w:val="20"/>
        </w:rPr>
        <w:t>Donors without diabetes are represented by green triangles. Donors with diabetes are represented by blue circles.</w:t>
      </w:r>
    </w:p>
    <w:p w14:paraId="1F38194F" w14:textId="121E5B5F" w:rsidR="00133437" w:rsidRPr="00133437" w:rsidRDefault="00133437" w:rsidP="00133437">
      <w:pPr>
        <w:spacing w:after="0" w:line="240" w:lineRule="auto"/>
      </w:pPr>
      <w:bookmarkStart w:id="1" w:name="_Toc103523659"/>
      <w:r>
        <w:rPr>
          <w:rFonts w:eastAsia="Times New Roman"/>
          <w:b/>
          <w:color w:val="000000"/>
          <w:sz w:val="32"/>
          <w:szCs w:val="26"/>
        </w:rPr>
        <w:br w:type="page"/>
      </w:r>
    </w:p>
    <w:bookmarkEnd w:id="1"/>
    <w:sectPr w:rsidR="00133437" w:rsidRPr="00133437" w:rsidSect="00B201AE">
      <w:footerReference w:type="even" r:id="rId10"/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FC4ECC2" w14:textId="77777777" w:rsidR="005B18C9" w:rsidRDefault="005B18C9" w:rsidP="00CC2289">
      <w:pPr>
        <w:spacing w:after="0" w:line="240" w:lineRule="auto"/>
      </w:pPr>
      <w:r>
        <w:separator/>
      </w:r>
    </w:p>
  </w:endnote>
  <w:endnote w:type="continuationSeparator" w:id="0">
    <w:p w14:paraId="393AE85A" w14:textId="77777777" w:rsidR="005B18C9" w:rsidRDefault="005B18C9" w:rsidP="00CC22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Style w:val="PageNumber"/>
      </w:rPr>
      <w:id w:val="-147434608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0BD394AA" w14:textId="0B3C2586" w:rsidR="00CC2289" w:rsidRDefault="00CC2289" w:rsidP="003C17F7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7E43D872" w14:textId="77777777" w:rsidR="00CC2289" w:rsidRDefault="00CC228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Style w:val="PageNumber"/>
      </w:rPr>
      <w:id w:val="-272165967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06734E0E" w14:textId="5F632B45" w:rsidR="00CC2289" w:rsidRDefault="00CC2289" w:rsidP="003C17F7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2729B78C" w14:textId="77777777" w:rsidR="00CC2289" w:rsidRDefault="00CC228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B018187" w14:textId="77777777" w:rsidR="005B18C9" w:rsidRDefault="005B18C9" w:rsidP="00CC2289">
      <w:pPr>
        <w:spacing w:after="0" w:line="240" w:lineRule="auto"/>
      </w:pPr>
      <w:r>
        <w:separator/>
      </w:r>
    </w:p>
  </w:footnote>
  <w:footnote w:type="continuationSeparator" w:id="0">
    <w:p w14:paraId="6D3D4C4A" w14:textId="77777777" w:rsidR="005B18C9" w:rsidRDefault="005B18C9" w:rsidP="00CC228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F154C2"/>
    <w:multiLevelType w:val="hybridMultilevel"/>
    <w:tmpl w:val="75D86E70"/>
    <w:lvl w:ilvl="0" w:tplc="1D9AEBBE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B32ED3"/>
    <w:multiLevelType w:val="hybridMultilevel"/>
    <w:tmpl w:val="6D9A26E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4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EN.Layout" w:val="&lt;ENLayout&gt;&lt;Style&gt;Numbered&lt;/Style&gt;&lt;LeftDelim&gt;{&lt;/LeftDelim&gt;&lt;RightDelim&gt;}&lt;/RightDelim&gt;&lt;FontName&gt;Times New Roman&lt;/FontName&gt;&lt;FontSize&gt;11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0&lt;/HyperlinksEnabled&gt;&lt;HyperlinksVisible&gt;0&lt;/HyperlinksVisible&gt;&lt;EnableBibliographyCategories&gt;0&lt;/EnableBibliographyCategories&gt;&lt;/ENLayout&gt;"/>
    <w:docVar w:name="EN.Libraries" w:val="&lt;Libraries&gt;&lt;item db-id=&quot;22s0extzhdwaazeavf5vx92hvs5x202dwtwe&quot;&gt;My EndNote Library&lt;record-ids&gt;&lt;item&gt;1&lt;/item&gt;&lt;item&gt;2&lt;/item&gt;&lt;item&gt;3&lt;/item&gt;&lt;item&gt;4&lt;/item&gt;&lt;item&gt;5&lt;/item&gt;&lt;item&gt;6&lt;/item&gt;&lt;item&gt;7&lt;/item&gt;&lt;item&gt;8&lt;/item&gt;&lt;item&gt;13&lt;/item&gt;&lt;item&gt;14&lt;/item&gt;&lt;item&gt;17&lt;/item&gt;&lt;item&gt;18&lt;/item&gt;&lt;item&gt;19&lt;/item&gt;&lt;item&gt;20&lt;/item&gt;&lt;item&gt;21&lt;/item&gt;&lt;item&gt;22&lt;/item&gt;&lt;item&gt;23&lt;/item&gt;&lt;item&gt;24&lt;/item&gt;&lt;item&gt;25&lt;/item&gt;&lt;item&gt;26&lt;/item&gt;&lt;item&gt;27&lt;/item&gt;&lt;item&gt;28&lt;/item&gt;&lt;item&gt;29&lt;/item&gt;&lt;item&gt;30&lt;/item&gt;&lt;item&gt;31&lt;/item&gt;&lt;item&gt;32&lt;/item&gt;&lt;item&gt;33&lt;/item&gt;&lt;item&gt;34&lt;/item&gt;&lt;item&gt;35&lt;/item&gt;&lt;item&gt;36&lt;/item&gt;&lt;item&gt;37&lt;/item&gt;&lt;item&gt;38&lt;/item&gt;&lt;item&gt;39&lt;/item&gt;&lt;item&gt;41&lt;/item&gt;&lt;item&gt;42&lt;/item&gt;&lt;item&gt;43&lt;/item&gt;&lt;item&gt;44&lt;/item&gt;&lt;item&gt;45&lt;/item&gt;&lt;item&gt;49&lt;/item&gt;&lt;item&gt;50&lt;/item&gt;&lt;item&gt;52&lt;/item&gt;&lt;item&gt;53&lt;/item&gt;&lt;item&gt;54&lt;/item&gt;&lt;item&gt;56&lt;/item&gt;&lt;item&gt;64&lt;/item&gt;&lt;item&gt;74&lt;/item&gt;&lt;item&gt;75&lt;/item&gt;&lt;item&gt;76&lt;/item&gt;&lt;item&gt;91&lt;/item&gt;&lt;item&gt;92&lt;/item&gt;&lt;item&gt;93&lt;/item&gt;&lt;/record-ids&gt;&lt;/item&gt;&lt;/Libraries&gt;"/>
  </w:docVars>
  <w:rsids>
    <w:rsidRoot w:val="00511601"/>
    <w:rsid w:val="00000BAC"/>
    <w:rsid w:val="00007822"/>
    <w:rsid w:val="000149C9"/>
    <w:rsid w:val="00025D03"/>
    <w:rsid w:val="000572A0"/>
    <w:rsid w:val="00071BDC"/>
    <w:rsid w:val="00072A30"/>
    <w:rsid w:val="0008433E"/>
    <w:rsid w:val="00087492"/>
    <w:rsid w:val="00096ABD"/>
    <w:rsid w:val="000C5B9F"/>
    <w:rsid w:val="000F0D3E"/>
    <w:rsid w:val="001012AA"/>
    <w:rsid w:val="001147A9"/>
    <w:rsid w:val="00132CA1"/>
    <w:rsid w:val="00133437"/>
    <w:rsid w:val="00150BBE"/>
    <w:rsid w:val="001A31C8"/>
    <w:rsid w:val="001A326C"/>
    <w:rsid w:val="001B1A00"/>
    <w:rsid w:val="001B53D4"/>
    <w:rsid w:val="001B63BE"/>
    <w:rsid w:val="001D56B0"/>
    <w:rsid w:val="001D76C3"/>
    <w:rsid w:val="001F0045"/>
    <w:rsid w:val="00220502"/>
    <w:rsid w:val="00251B42"/>
    <w:rsid w:val="002637FD"/>
    <w:rsid w:val="00267207"/>
    <w:rsid w:val="00281B72"/>
    <w:rsid w:val="00290B62"/>
    <w:rsid w:val="00297359"/>
    <w:rsid w:val="002A28D7"/>
    <w:rsid w:val="002A7A56"/>
    <w:rsid w:val="002D6239"/>
    <w:rsid w:val="002E0F29"/>
    <w:rsid w:val="002E34DE"/>
    <w:rsid w:val="002E42F6"/>
    <w:rsid w:val="00304F5A"/>
    <w:rsid w:val="0033748D"/>
    <w:rsid w:val="003619BC"/>
    <w:rsid w:val="00383AA6"/>
    <w:rsid w:val="003A28ED"/>
    <w:rsid w:val="003A2954"/>
    <w:rsid w:val="003D0F6B"/>
    <w:rsid w:val="003E2617"/>
    <w:rsid w:val="004C16AE"/>
    <w:rsid w:val="004C2763"/>
    <w:rsid w:val="004D09C2"/>
    <w:rsid w:val="004E2005"/>
    <w:rsid w:val="004E7EAB"/>
    <w:rsid w:val="004F5E50"/>
    <w:rsid w:val="005007B1"/>
    <w:rsid w:val="00511601"/>
    <w:rsid w:val="00546D20"/>
    <w:rsid w:val="00586E3A"/>
    <w:rsid w:val="00586EAB"/>
    <w:rsid w:val="005B18C9"/>
    <w:rsid w:val="005C256B"/>
    <w:rsid w:val="005E2019"/>
    <w:rsid w:val="005E7886"/>
    <w:rsid w:val="005E7CF8"/>
    <w:rsid w:val="005F5AF0"/>
    <w:rsid w:val="00612295"/>
    <w:rsid w:val="00631ACA"/>
    <w:rsid w:val="00654B4D"/>
    <w:rsid w:val="0069139C"/>
    <w:rsid w:val="006921B6"/>
    <w:rsid w:val="00695BA0"/>
    <w:rsid w:val="006A01C5"/>
    <w:rsid w:val="006C6983"/>
    <w:rsid w:val="006C7459"/>
    <w:rsid w:val="006E2696"/>
    <w:rsid w:val="00703826"/>
    <w:rsid w:val="00703BE3"/>
    <w:rsid w:val="007110F1"/>
    <w:rsid w:val="00737A89"/>
    <w:rsid w:val="00753AE8"/>
    <w:rsid w:val="0075677A"/>
    <w:rsid w:val="007622C8"/>
    <w:rsid w:val="00775A86"/>
    <w:rsid w:val="0079557B"/>
    <w:rsid w:val="007C2CDB"/>
    <w:rsid w:val="007C6ACF"/>
    <w:rsid w:val="008009AD"/>
    <w:rsid w:val="00805545"/>
    <w:rsid w:val="00807CC8"/>
    <w:rsid w:val="008209E7"/>
    <w:rsid w:val="008263E4"/>
    <w:rsid w:val="00833A0B"/>
    <w:rsid w:val="00840617"/>
    <w:rsid w:val="00840EEB"/>
    <w:rsid w:val="00847BB5"/>
    <w:rsid w:val="00862967"/>
    <w:rsid w:val="00866F60"/>
    <w:rsid w:val="00874F05"/>
    <w:rsid w:val="00891D9D"/>
    <w:rsid w:val="00895F5B"/>
    <w:rsid w:val="008B4A9F"/>
    <w:rsid w:val="008C0B55"/>
    <w:rsid w:val="008E7934"/>
    <w:rsid w:val="00902011"/>
    <w:rsid w:val="00903027"/>
    <w:rsid w:val="00920E9A"/>
    <w:rsid w:val="009305D1"/>
    <w:rsid w:val="00943ABF"/>
    <w:rsid w:val="0099315F"/>
    <w:rsid w:val="009C4B9D"/>
    <w:rsid w:val="009C61F1"/>
    <w:rsid w:val="009F1099"/>
    <w:rsid w:val="00A113F0"/>
    <w:rsid w:val="00A54F57"/>
    <w:rsid w:val="00A57A66"/>
    <w:rsid w:val="00A60C5C"/>
    <w:rsid w:val="00A83BE7"/>
    <w:rsid w:val="00A92FD1"/>
    <w:rsid w:val="00A93CB2"/>
    <w:rsid w:val="00AC506D"/>
    <w:rsid w:val="00AD5A99"/>
    <w:rsid w:val="00AE1A8C"/>
    <w:rsid w:val="00B01037"/>
    <w:rsid w:val="00B058D7"/>
    <w:rsid w:val="00B12275"/>
    <w:rsid w:val="00B15442"/>
    <w:rsid w:val="00B201AE"/>
    <w:rsid w:val="00B23760"/>
    <w:rsid w:val="00B31CC3"/>
    <w:rsid w:val="00B5443E"/>
    <w:rsid w:val="00B6050E"/>
    <w:rsid w:val="00B96521"/>
    <w:rsid w:val="00BA1472"/>
    <w:rsid w:val="00BC1506"/>
    <w:rsid w:val="00BC20D5"/>
    <w:rsid w:val="00C23F7A"/>
    <w:rsid w:val="00C242CF"/>
    <w:rsid w:val="00C45935"/>
    <w:rsid w:val="00CA7145"/>
    <w:rsid w:val="00CC2289"/>
    <w:rsid w:val="00CD51C0"/>
    <w:rsid w:val="00CE1920"/>
    <w:rsid w:val="00CE226D"/>
    <w:rsid w:val="00CE57F1"/>
    <w:rsid w:val="00CF12C3"/>
    <w:rsid w:val="00D02084"/>
    <w:rsid w:val="00D14DE7"/>
    <w:rsid w:val="00D321A7"/>
    <w:rsid w:val="00D32639"/>
    <w:rsid w:val="00D60799"/>
    <w:rsid w:val="00D70DCA"/>
    <w:rsid w:val="00D713CF"/>
    <w:rsid w:val="00D76DCF"/>
    <w:rsid w:val="00DA515A"/>
    <w:rsid w:val="00DB1A84"/>
    <w:rsid w:val="00DC0CA9"/>
    <w:rsid w:val="00DC1500"/>
    <w:rsid w:val="00E14912"/>
    <w:rsid w:val="00E50D47"/>
    <w:rsid w:val="00E51199"/>
    <w:rsid w:val="00EA0054"/>
    <w:rsid w:val="00EA4ACF"/>
    <w:rsid w:val="00EA5C1A"/>
    <w:rsid w:val="00EE1358"/>
    <w:rsid w:val="00EE2575"/>
    <w:rsid w:val="00EE465B"/>
    <w:rsid w:val="00EE7B72"/>
    <w:rsid w:val="00F0367E"/>
    <w:rsid w:val="00F04BE2"/>
    <w:rsid w:val="00F06316"/>
    <w:rsid w:val="00F16B2E"/>
    <w:rsid w:val="00F45D71"/>
    <w:rsid w:val="00F9572C"/>
    <w:rsid w:val="00FA69E2"/>
    <w:rsid w:val="00FB3506"/>
    <w:rsid w:val="00FE1FC9"/>
    <w:rsid w:val="00FE2374"/>
    <w:rsid w:val="00FF1A54"/>
    <w:rsid w:val="00FF1A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94C80D"/>
  <w15:chartTrackingRefBased/>
  <w15:docId w15:val="{906BD92B-11C3-4FDA-8B84-D4F7ED1201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6AB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511601"/>
    <w:rPr>
      <w:sz w:val="16"/>
      <w:szCs w:val="16"/>
    </w:rPr>
  </w:style>
  <w:style w:type="paragraph" w:styleId="ListParagraph">
    <w:name w:val="List Paragraph"/>
    <w:basedOn w:val="Normal"/>
    <w:uiPriority w:val="34"/>
    <w:qFormat/>
    <w:rsid w:val="00511601"/>
    <w:pPr>
      <w:ind w:left="720"/>
      <w:contextualSpacing/>
    </w:pPr>
  </w:style>
  <w:style w:type="paragraph" w:styleId="Caption">
    <w:name w:val="caption"/>
    <w:basedOn w:val="Normal"/>
    <w:next w:val="Normal"/>
    <w:uiPriority w:val="35"/>
    <w:unhideWhenUsed/>
    <w:qFormat/>
    <w:rsid w:val="00096ABD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table" w:customStyle="1" w:styleId="PlainTable31">
    <w:name w:val="Plain Table 31"/>
    <w:basedOn w:val="TableNormal"/>
    <w:next w:val="PlainTable3"/>
    <w:uiPriority w:val="43"/>
    <w:rsid w:val="001B63BE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3">
    <w:name w:val="Plain Table 3"/>
    <w:basedOn w:val="TableNormal"/>
    <w:uiPriority w:val="43"/>
    <w:rsid w:val="001B63BE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paragraph" w:styleId="CommentText">
    <w:name w:val="annotation text"/>
    <w:basedOn w:val="Normal"/>
    <w:link w:val="CommentTextChar"/>
    <w:uiPriority w:val="99"/>
    <w:unhideWhenUsed/>
    <w:rsid w:val="0090201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0201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0201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02011"/>
    <w:rPr>
      <w:b/>
      <w:bCs/>
      <w:sz w:val="20"/>
      <w:szCs w:val="20"/>
    </w:rPr>
  </w:style>
  <w:style w:type="table" w:customStyle="1" w:styleId="PlainTable42">
    <w:name w:val="Plain Table 42"/>
    <w:basedOn w:val="TableNormal"/>
    <w:next w:val="PlainTable4"/>
    <w:uiPriority w:val="44"/>
    <w:rsid w:val="003A28ED"/>
    <w:pPr>
      <w:spacing w:after="0" w:line="240" w:lineRule="auto"/>
    </w:pPr>
    <w:rPr>
      <w:rFonts w:ascii="Calibri" w:hAnsi="Calibri"/>
    </w:r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styleId="PlainTable4">
    <w:name w:val="Plain Table 4"/>
    <w:basedOn w:val="TableNormal"/>
    <w:uiPriority w:val="44"/>
    <w:rsid w:val="003A28ED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customStyle="1" w:styleId="EndNoteBibliographyTitle">
    <w:name w:val="EndNote Bibliography Title"/>
    <w:basedOn w:val="Normal"/>
    <w:link w:val="EndNoteBibliographyTitleChar"/>
    <w:rsid w:val="009C61F1"/>
    <w:pPr>
      <w:spacing w:after="0"/>
      <w:jc w:val="center"/>
    </w:pPr>
    <w:rPr>
      <w:lang w:val="en-US"/>
    </w:rPr>
  </w:style>
  <w:style w:type="character" w:customStyle="1" w:styleId="EndNoteBibliographyTitleChar">
    <w:name w:val="EndNote Bibliography Title Char"/>
    <w:basedOn w:val="DefaultParagraphFont"/>
    <w:link w:val="EndNoteBibliographyTitle"/>
    <w:rsid w:val="009C61F1"/>
    <w:rPr>
      <w:lang w:val="en-US"/>
    </w:rPr>
  </w:style>
  <w:style w:type="paragraph" w:customStyle="1" w:styleId="EndNoteBibliography">
    <w:name w:val="EndNote Bibliography"/>
    <w:basedOn w:val="Normal"/>
    <w:link w:val="EndNoteBibliographyChar"/>
    <w:rsid w:val="009C61F1"/>
    <w:pPr>
      <w:spacing w:line="240" w:lineRule="auto"/>
    </w:pPr>
    <w:rPr>
      <w:lang w:val="en-US"/>
    </w:rPr>
  </w:style>
  <w:style w:type="character" w:customStyle="1" w:styleId="EndNoteBibliographyChar">
    <w:name w:val="EndNote Bibliography Char"/>
    <w:basedOn w:val="DefaultParagraphFont"/>
    <w:link w:val="EndNoteBibliography"/>
    <w:rsid w:val="009C61F1"/>
    <w:rPr>
      <w:lang w:val="en-US"/>
    </w:rPr>
  </w:style>
  <w:style w:type="character" w:styleId="LineNumber">
    <w:name w:val="line number"/>
    <w:basedOn w:val="DefaultParagraphFont"/>
    <w:uiPriority w:val="99"/>
    <w:semiHidden/>
    <w:unhideWhenUsed/>
    <w:rsid w:val="00CC2289"/>
  </w:style>
  <w:style w:type="paragraph" w:styleId="Footer">
    <w:name w:val="footer"/>
    <w:basedOn w:val="Normal"/>
    <w:link w:val="FooterChar"/>
    <w:uiPriority w:val="99"/>
    <w:unhideWhenUsed/>
    <w:rsid w:val="00CC228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C2289"/>
  </w:style>
  <w:style w:type="character" w:styleId="PageNumber">
    <w:name w:val="page number"/>
    <w:basedOn w:val="DefaultParagraphFont"/>
    <w:uiPriority w:val="99"/>
    <w:semiHidden/>
    <w:unhideWhenUsed/>
    <w:rsid w:val="00CC2289"/>
  </w:style>
  <w:style w:type="paragraph" w:styleId="Revision">
    <w:name w:val="Revision"/>
    <w:hidden/>
    <w:uiPriority w:val="99"/>
    <w:semiHidden/>
    <w:rsid w:val="005007B1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A83BE7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A83BE7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90302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824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7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60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290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107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71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18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9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8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1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80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88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0259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4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8426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57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36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459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2287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8742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989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920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1206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294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52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147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2371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1456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72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38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8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27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147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309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3791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4D582B5F-7D2D-4421-A01D-D6BF7FE88A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218</Words>
  <Characters>1247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Katina Hulme</dc:creator>
  <cp:keywords/>
  <dc:description/>
  <cp:lastModifiedBy>Balasubramaniyan Thangavel</cp:lastModifiedBy>
  <cp:revision>4</cp:revision>
  <dcterms:created xsi:type="dcterms:W3CDTF">2023-10-11T05:47:00Z</dcterms:created>
  <dcterms:modified xsi:type="dcterms:W3CDTF">2023-11-10T08:36:00Z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0f488380-630a-4f55-a077-a19445e3f360_Enabled">
    <vt:lpwstr>true</vt:lpwstr>
  </property>
  <property fmtid="{D5CDD505-2E9C-101B-9397-08002B2CF9AE}" pid="3" name="MSIP_Label_0f488380-630a-4f55-a077-a19445e3f360_SetDate">
    <vt:lpwstr>2022-10-06T09:04:17Z</vt:lpwstr>
  </property>
  <property fmtid="{D5CDD505-2E9C-101B-9397-08002B2CF9AE}" pid="4" name="MSIP_Label_0f488380-630a-4f55-a077-a19445e3f360_Method">
    <vt:lpwstr>Standard</vt:lpwstr>
  </property>
  <property fmtid="{D5CDD505-2E9C-101B-9397-08002B2CF9AE}" pid="5" name="MSIP_Label_0f488380-630a-4f55-a077-a19445e3f360_Name">
    <vt:lpwstr>OFFICIAL - INTERNAL</vt:lpwstr>
  </property>
  <property fmtid="{D5CDD505-2E9C-101B-9397-08002B2CF9AE}" pid="6" name="MSIP_Label_0f488380-630a-4f55-a077-a19445e3f360_SiteId">
    <vt:lpwstr>b6e377cf-9db3-46cb-91a2-fad9605bb15c</vt:lpwstr>
  </property>
  <property fmtid="{D5CDD505-2E9C-101B-9397-08002B2CF9AE}" pid="7" name="MSIP_Label_0f488380-630a-4f55-a077-a19445e3f360_ActionId">
    <vt:lpwstr>f4810045-9055-4e91-972a-f031ba2956a1</vt:lpwstr>
  </property>
  <property fmtid="{D5CDD505-2E9C-101B-9397-08002B2CF9AE}" pid="8" name="MSIP_Label_0f488380-630a-4f55-a077-a19445e3f360_ContentBits">
    <vt:lpwstr>0</vt:lpwstr>
  </property>
</Properties>
</file>