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rPr>
          <w:rFonts w:asciiTheme="majorBidi" w:hAnsiTheme="majorBidi" w:cstheme="majorBidi"/>
          <w:bCs w:val="0"/>
          <w:sz w:val="20"/>
          <w:szCs w:val="20"/>
        </w:rPr>
      </w:pPr>
    </w:p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jc w:val="center"/>
        <w:rPr>
          <w:rFonts w:asciiTheme="majorBidi" w:hAnsiTheme="majorBidi" w:cstheme="majorBidi"/>
          <w:bCs w:val="0"/>
          <w:sz w:val="20"/>
          <w:szCs w:val="20"/>
        </w:rPr>
      </w:pPr>
      <w:r w:rsidRPr="00A36B0C">
        <w:rPr>
          <w:rFonts w:asciiTheme="majorBidi" w:hAnsiTheme="majorBidi" w:cstheme="majorBidi" w:hint="eastAsia"/>
          <w:bCs w:val="0"/>
          <w:noProof/>
          <w:sz w:val="20"/>
          <w:szCs w:val="20"/>
          <w:lang w:val="en-IN" w:eastAsia="en-IN"/>
        </w:rPr>
        <w:drawing>
          <wp:inline distT="0" distB="0" distL="0" distR="0" wp14:anchorId="155B0732" wp14:editId="602FC601">
            <wp:extent cx="3277870" cy="7826571"/>
            <wp:effectExtent l="0" t="0" r="0" b="3175"/>
            <wp:docPr id="15935251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525137" name="图片 15935251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4251" cy="784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jc w:val="left"/>
        <w:rPr>
          <w:sz w:val="20"/>
          <w:szCs w:val="20"/>
        </w:rPr>
      </w:pPr>
      <w:r w:rsidRPr="00A36B0C">
        <w:rPr>
          <w:b/>
          <w:sz w:val="20"/>
          <w:szCs w:val="20"/>
        </w:rPr>
        <w:t xml:space="preserve">Supplementary Fig. 1 Plasmid map of lentiviral vector-transduced retinal organoids. A </w:t>
      </w:r>
      <w:r w:rsidRPr="00A36B0C">
        <w:rPr>
          <w:bCs w:val="0"/>
          <w:sz w:val="20"/>
          <w:szCs w:val="20"/>
        </w:rPr>
        <w:t>An empty lentiviral vector packed with non-targeting human shRNA.</w:t>
      </w:r>
      <w:r w:rsidRPr="00A36B0C">
        <w:rPr>
          <w:b/>
          <w:sz w:val="20"/>
          <w:szCs w:val="20"/>
        </w:rPr>
        <w:t xml:space="preserve"> B-C </w:t>
      </w:r>
      <w:r w:rsidRPr="00A36B0C">
        <w:rPr>
          <w:bCs w:val="0"/>
          <w:sz w:val="20"/>
          <w:szCs w:val="20"/>
        </w:rPr>
        <w:t>Lentiviral vectors for targeted knockdown of PHLDA1.</w:t>
      </w:r>
      <w:r w:rsidRPr="00A36B0C">
        <w:rPr>
          <w:bCs w:val="0"/>
          <w:sz w:val="20"/>
          <w:szCs w:val="20"/>
        </w:rPr>
        <w:br w:type="page"/>
      </w:r>
    </w:p>
    <w:p w:rsidR="00C9069B" w:rsidRPr="00312B4B" w:rsidRDefault="00C9069B" w:rsidP="00C9069B">
      <w:pPr>
        <w:pStyle w:val="-"/>
        <w:keepNext w:val="0"/>
        <w:keepLines w:val="0"/>
        <w:widowControl w:val="0"/>
        <w:ind w:firstLineChars="0" w:firstLine="0"/>
        <w:jc w:val="left"/>
        <w:rPr>
          <w:bCs w:val="0"/>
          <w:sz w:val="20"/>
          <w:szCs w:val="20"/>
        </w:rPr>
      </w:pPr>
      <w:r w:rsidRPr="00A36B0C">
        <w:rPr>
          <w:b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3CC0116" wp14:editId="645271F8">
            <wp:extent cx="5759450" cy="3222625"/>
            <wp:effectExtent l="0" t="0" r="0" b="0"/>
            <wp:docPr id="15580567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056767" name="图片 15580567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rPr>
          <w:sz w:val="20"/>
          <w:szCs w:val="20"/>
        </w:rPr>
      </w:pPr>
      <w:bookmarkStart w:id="0" w:name="_Hlk162708312"/>
      <w:r w:rsidRPr="00A36B0C">
        <w:rPr>
          <w:b/>
          <w:sz w:val="20"/>
          <w:szCs w:val="20"/>
        </w:rPr>
        <w:t xml:space="preserve">Supplementary Fig. 2 </w:t>
      </w:r>
      <w:r w:rsidRPr="00A36B0C">
        <w:rPr>
          <w:rFonts w:hint="eastAsia"/>
          <w:b/>
          <w:sz w:val="20"/>
          <w:szCs w:val="20"/>
        </w:rPr>
        <w:t xml:space="preserve">The effect of </w:t>
      </w:r>
      <w:r w:rsidRPr="00A36B0C">
        <w:rPr>
          <w:b/>
          <w:sz w:val="20"/>
          <w:szCs w:val="20"/>
        </w:rPr>
        <w:t>lentiviral vector</w:t>
      </w:r>
      <w:r w:rsidRPr="00A36B0C">
        <w:rPr>
          <w:rFonts w:hint="eastAsia"/>
          <w:b/>
          <w:sz w:val="20"/>
          <w:szCs w:val="20"/>
        </w:rPr>
        <w:t>s</w:t>
      </w:r>
      <w:r w:rsidRPr="00A36B0C">
        <w:rPr>
          <w:b/>
          <w:sz w:val="20"/>
          <w:szCs w:val="20"/>
        </w:rPr>
        <w:t xml:space="preserve"> infection</w:t>
      </w:r>
      <w:r w:rsidRPr="00A36B0C">
        <w:rPr>
          <w:rFonts w:hint="eastAsia"/>
          <w:b/>
          <w:sz w:val="20"/>
          <w:szCs w:val="20"/>
        </w:rPr>
        <w:t xml:space="preserve"> on </w:t>
      </w:r>
      <w:r w:rsidRPr="00A36B0C">
        <w:rPr>
          <w:b/>
          <w:sz w:val="20"/>
          <w:szCs w:val="20"/>
        </w:rPr>
        <w:t>other retinal cell types</w:t>
      </w:r>
      <w:r w:rsidRPr="00A36B0C">
        <w:rPr>
          <w:rFonts w:hint="eastAsia"/>
          <w:b/>
          <w:sz w:val="20"/>
          <w:szCs w:val="20"/>
        </w:rPr>
        <w:t xml:space="preserve">. </w:t>
      </w:r>
      <w:r w:rsidRPr="00A36B0C">
        <w:rPr>
          <w:b/>
          <w:sz w:val="20"/>
          <w:szCs w:val="20"/>
        </w:rPr>
        <w:t>A-B</w:t>
      </w:r>
      <w:r w:rsidRPr="00A36B0C">
        <w:rPr>
          <w:rFonts w:hint="eastAsia"/>
          <w:bCs w:val="0"/>
          <w:sz w:val="20"/>
          <w:szCs w:val="20"/>
        </w:rPr>
        <w:t xml:space="preserve"> </w:t>
      </w:r>
      <w:r w:rsidRPr="00A36B0C">
        <w:rPr>
          <w:bCs w:val="0"/>
          <w:sz w:val="20"/>
          <w:szCs w:val="20"/>
        </w:rPr>
        <w:t xml:space="preserve">Lentivirus infection did not cause significant changes in the number of </w:t>
      </w:r>
      <w:r w:rsidRPr="00A36B0C">
        <w:rPr>
          <w:rFonts w:hint="eastAsia"/>
          <w:bCs w:val="0"/>
          <w:sz w:val="20"/>
          <w:szCs w:val="20"/>
        </w:rPr>
        <w:t>(</w:t>
      </w:r>
      <w:r w:rsidRPr="00A36B0C">
        <w:rPr>
          <w:bCs w:val="0"/>
          <w:sz w:val="20"/>
          <w:szCs w:val="20"/>
        </w:rPr>
        <w:t>ISLET1</w:t>
      </w:r>
      <w:r w:rsidRPr="00A36B0C">
        <w:rPr>
          <w:bCs w:val="0"/>
          <w:sz w:val="20"/>
          <w:szCs w:val="20"/>
          <w:vertAlign w:val="superscript"/>
        </w:rPr>
        <w:t>+</w:t>
      </w:r>
      <w:r w:rsidRPr="00A36B0C">
        <w:rPr>
          <w:rFonts w:hint="eastAsia"/>
          <w:bCs w:val="0"/>
          <w:sz w:val="20"/>
          <w:szCs w:val="20"/>
        </w:rPr>
        <w:t xml:space="preserve">) </w:t>
      </w:r>
      <w:r w:rsidRPr="00A36B0C">
        <w:rPr>
          <w:bCs w:val="0"/>
          <w:sz w:val="20"/>
          <w:szCs w:val="20"/>
        </w:rPr>
        <w:t>retinal ganglion cells in retinal organoids</w:t>
      </w:r>
      <w:r w:rsidRPr="00A36B0C">
        <w:rPr>
          <w:rFonts w:hint="eastAsia"/>
          <w:bCs w:val="0"/>
          <w:sz w:val="20"/>
          <w:szCs w:val="20"/>
        </w:rPr>
        <w:t>.</w:t>
      </w:r>
      <w:r w:rsidRPr="00A36B0C">
        <w:rPr>
          <w:bCs w:val="0"/>
          <w:sz w:val="20"/>
          <w:szCs w:val="20"/>
        </w:rPr>
        <w:t xml:space="preserve"> Scale bars, 20 μm. </w:t>
      </w:r>
      <w:r w:rsidRPr="00A36B0C">
        <w:rPr>
          <w:b/>
          <w:sz w:val="20"/>
          <w:szCs w:val="20"/>
        </w:rPr>
        <w:t>C-D</w:t>
      </w:r>
      <w:r w:rsidRPr="00A36B0C">
        <w:rPr>
          <w:bCs w:val="0"/>
          <w:sz w:val="20"/>
          <w:szCs w:val="20"/>
        </w:rPr>
        <w:t xml:space="preserve"> Lentivirus infection did not cause significant changes in </w:t>
      </w:r>
      <w:r w:rsidRPr="00A36B0C">
        <w:rPr>
          <w:rFonts w:hint="eastAsia"/>
          <w:bCs w:val="0"/>
          <w:sz w:val="20"/>
          <w:szCs w:val="20"/>
        </w:rPr>
        <w:t>(ONECUT2</w:t>
      </w:r>
      <w:r w:rsidRPr="00A36B0C">
        <w:rPr>
          <w:rFonts w:hint="eastAsia"/>
          <w:bCs w:val="0"/>
          <w:sz w:val="18"/>
          <w:szCs w:val="18"/>
          <w:vertAlign w:val="superscript"/>
        </w:rPr>
        <w:t>+</w:t>
      </w:r>
      <w:r w:rsidRPr="00A36B0C">
        <w:rPr>
          <w:rFonts w:hint="eastAsia"/>
          <w:bCs w:val="0"/>
          <w:sz w:val="20"/>
          <w:szCs w:val="20"/>
        </w:rPr>
        <w:t xml:space="preserve">) </w:t>
      </w:r>
      <w:r w:rsidRPr="00A36B0C">
        <w:rPr>
          <w:bCs w:val="0"/>
          <w:sz w:val="20"/>
          <w:szCs w:val="20"/>
        </w:rPr>
        <w:t>horizontal cells</w:t>
      </w:r>
      <w:r w:rsidRPr="00A36B0C">
        <w:rPr>
          <w:rFonts w:hint="eastAsia"/>
          <w:bCs w:val="0"/>
          <w:sz w:val="20"/>
          <w:szCs w:val="20"/>
        </w:rPr>
        <w:t>.</w:t>
      </w:r>
      <w:r w:rsidRPr="00A36B0C">
        <w:rPr>
          <w:bCs w:val="0"/>
          <w:sz w:val="20"/>
          <w:szCs w:val="20"/>
        </w:rPr>
        <w:t xml:space="preserve"> Scale bars, 20 μm.</w:t>
      </w:r>
      <w:r w:rsidRPr="00A36B0C">
        <w:rPr>
          <w:b/>
          <w:sz w:val="20"/>
          <w:szCs w:val="20"/>
        </w:rPr>
        <w:t xml:space="preserve"> E-F</w:t>
      </w:r>
      <w:r w:rsidRPr="00A36B0C">
        <w:rPr>
          <w:bCs w:val="0"/>
          <w:sz w:val="20"/>
          <w:szCs w:val="20"/>
        </w:rPr>
        <w:t xml:space="preserve"> Lentivirus infection did not cause significant changes in </w:t>
      </w:r>
      <w:r w:rsidRPr="00A36B0C">
        <w:rPr>
          <w:rFonts w:hint="eastAsia"/>
          <w:bCs w:val="0"/>
          <w:sz w:val="20"/>
          <w:szCs w:val="20"/>
        </w:rPr>
        <w:t>(TFAP2A</w:t>
      </w:r>
      <w:r w:rsidRPr="00A36B0C">
        <w:rPr>
          <w:rFonts w:hint="eastAsia"/>
          <w:bCs w:val="0"/>
          <w:sz w:val="18"/>
          <w:szCs w:val="18"/>
          <w:vertAlign w:val="superscript"/>
        </w:rPr>
        <w:t>+</w:t>
      </w:r>
      <w:r w:rsidRPr="00A36B0C">
        <w:rPr>
          <w:rFonts w:hint="eastAsia"/>
          <w:bCs w:val="0"/>
          <w:sz w:val="20"/>
          <w:szCs w:val="20"/>
        </w:rPr>
        <w:t xml:space="preserve">) </w:t>
      </w:r>
      <w:r w:rsidRPr="00A36B0C">
        <w:rPr>
          <w:bCs w:val="0"/>
          <w:sz w:val="20"/>
          <w:szCs w:val="20"/>
        </w:rPr>
        <w:t>amacrine cells</w:t>
      </w:r>
      <w:r w:rsidRPr="00A36B0C">
        <w:rPr>
          <w:rFonts w:hint="eastAsia"/>
          <w:bCs w:val="0"/>
          <w:sz w:val="20"/>
          <w:szCs w:val="20"/>
        </w:rPr>
        <w:t xml:space="preserve">. </w:t>
      </w:r>
      <w:r w:rsidRPr="00A36B0C">
        <w:rPr>
          <w:bCs w:val="0"/>
          <w:sz w:val="20"/>
          <w:szCs w:val="20"/>
        </w:rPr>
        <w:t xml:space="preserve"> Scale bars, 20 μm.</w:t>
      </w:r>
      <w:r w:rsidRPr="00A36B0C">
        <w:rPr>
          <w:rFonts w:hint="eastAsia"/>
          <w:bCs w:val="0"/>
          <w:sz w:val="20"/>
          <w:szCs w:val="20"/>
        </w:rPr>
        <w:t xml:space="preserve"> </w:t>
      </w:r>
      <w:r w:rsidRPr="00A36B0C">
        <w:rPr>
          <w:b/>
          <w:sz w:val="20"/>
          <w:szCs w:val="20"/>
        </w:rPr>
        <w:t xml:space="preserve">G-H </w:t>
      </w:r>
      <w:r w:rsidRPr="00A36B0C">
        <w:rPr>
          <w:rFonts w:hint="eastAsia"/>
          <w:bCs w:val="0"/>
          <w:sz w:val="20"/>
          <w:szCs w:val="20"/>
        </w:rPr>
        <w:t>The numbers of (ASCL1</w:t>
      </w:r>
      <w:r w:rsidRPr="00A36B0C">
        <w:rPr>
          <w:rFonts w:hint="eastAsia"/>
          <w:bCs w:val="0"/>
          <w:sz w:val="20"/>
          <w:szCs w:val="20"/>
          <w:vertAlign w:val="superscript"/>
        </w:rPr>
        <w:t>+</w:t>
      </w:r>
      <w:r w:rsidRPr="00A36B0C">
        <w:rPr>
          <w:rFonts w:hint="eastAsia"/>
          <w:b/>
          <w:sz w:val="20"/>
          <w:szCs w:val="20"/>
        </w:rPr>
        <w:t xml:space="preserve">) </w:t>
      </w:r>
      <w:r w:rsidRPr="00A36B0C">
        <w:rPr>
          <w:bCs w:val="0"/>
          <w:sz w:val="20"/>
          <w:szCs w:val="20"/>
        </w:rPr>
        <w:t>neurogenic retinal progenitor cells</w:t>
      </w:r>
      <w:r w:rsidRPr="00A36B0C">
        <w:rPr>
          <w:rFonts w:hint="eastAsia"/>
          <w:bCs w:val="0"/>
          <w:sz w:val="20"/>
          <w:szCs w:val="20"/>
        </w:rPr>
        <w:t xml:space="preserve"> were </w:t>
      </w:r>
      <w:r w:rsidRPr="00A36B0C">
        <w:rPr>
          <w:bCs w:val="0"/>
          <w:sz w:val="20"/>
          <w:szCs w:val="20"/>
        </w:rPr>
        <w:t>significantly increased</w:t>
      </w:r>
      <w:r w:rsidRPr="00A36B0C">
        <w:rPr>
          <w:rFonts w:hint="eastAsia"/>
          <w:bCs w:val="0"/>
          <w:sz w:val="20"/>
          <w:szCs w:val="20"/>
        </w:rPr>
        <w:t xml:space="preserve"> after infection of </w:t>
      </w:r>
      <w:r w:rsidRPr="00A36B0C">
        <w:rPr>
          <w:bCs w:val="0"/>
          <w:sz w:val="20"/>
          <w:szCs w:val="20"/>
        </w:rPr>
        <w:t>lentiviral vectors. Scale bars, 20 μm.</w:t>
      </w:r>
      <w:r w:rsidRPr="00A36B0C">
        <w:rPr>
          <w:bCs w:val="0"/>
          <w:sz w:val="20"/>
          <w:szCs w:val="20"/>
        </w:rPr>
        <w:br w:type="page"/>
      </w:r>
    </w:p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rPr>
          <w:b/>
          <w:sz w:val="20"/>
          <w:szCs w:val="20"/>
        </w:rPr>
      </w:pPr>
    </w:p>
    <w:bookmarkEnd w:id="0"/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jc w:val="left"/>
        <w:rPr>
          <w:rFonts w:asciiTheme="majorBidi" w:hAnsiTheme="majorBidi" w:cstheme="majorBidi"/>
          <w:sz w:val="20"/>
          <w:szCs w:val="22"/>
        </w:rPr>
      </w:pPr>
      <w:r w:rsidRPr="00A36B0C">
        <w:rPr>
          <w:rFonts w:asciiTheme="majorBidi" w:hAnsiTheme="majorBidi" w:cstheme="majorBidi"/>
          <w:noProof/>
          <w:sz w:val="20"/>
          <w:szCs w:val="22"/>
          <w:lang w:val="en-IN" w:eastAsia="en-IN"/>
        </w:rPr>
        <w:drawing>
          <wp:inline distT="0" distB="0" distL="0" distR="0" wp14:anchorId="49EB3426" wp14:editId="5F3C75B6">
            <wp:extent cx="6096000" cy="7302500"/>
            <wp:effectExtent l="0" t="0" r="0" b="0"/>
            <wp:docPr id="1711400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40042" name="图片 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128" cy="730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2"/>
        </w:rPr>
      </w:pPr>
      <w:r w:rsidRPr="00A36B0C">
        <w:rPr>
          <w:rFonts w:asciiTheme="majorBidi" w:hAnsiTheme="majorBidi" w:cstheme="majorBidi"/>
          <w:noProof/>
          <w:sz w:val="20"/>
          <w:szCs w:val="22"/>
          <w:lang w:val="en-IN" w:eastAsia="en-IN"/>
        </w:rPr>
        <w:lastRenderedPageBreak/>
        <w:drawing>
          <wp:inline distT="0" distB="0" distL="0" distR="0" wp14:anchorId="2D7CB424" wp14:editId="24178792">
            <wp:extent cx="6041390" cy="7067550"/>
            <wp:effectExtent l="0" t="0" r="0" b="0"/>
            <wp:docPr id="72801398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013982" name="图片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252" cy="707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2"/>
        </w:rPr>
      </w:pP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2"/>
        </w:rPr>
      </w:pPr>
      <w:r w:rsidRPr="00A36B0C">
        <w:rPr>
          <w:rFonts w:asciiTheme="majorBidi" w:hAnsiTheme="majorBidi" w:cstheme="majorBidi"/>
          <w:noProof/>
          <w:sz w:val="20"/>
          <w:szCs w:val="22"/>
          <w:lang w:val="en-IN" w:eastAsia="en-IN"/>
        </w:rPr>
        <w:lastRenderedPageBreak/>
        <w:drawing>
          <wp:inline distT="0" distB="0" distL="0" distR="0" wp14:anchorId="35B8B23F" wp14:editId="099AFC4C">
            <wp:extent cx="5953125" cy="6788150"/>
            <wp:effectExtent l="0" t="0" r="9525" b="0"/>
            <wp:docPr id="7348470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847014" name="图片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821" cy="6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3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t>GO analysis of differential gene expression in different cells of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  <w:shd w:val="clear" w:color="auto" w:fill="FFFFFF"/>
        </w:rPr>
        <w:t xml:space="preserve"> W14 </w:t>
      </w:r>
      <w:r w:rsidRPr="00A36B0C">
        <w:rPr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t>retinal organoids after transfection with lentiviral vectors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A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-B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110 genes downregulated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and </w:t>
      </w:r>
      <w:r w:rsidRPr="00A36B0C">
        <w:rPr>
          <w:rFonts w:asciiTheme="majorBidi" w:hAnsiTheme="majorBidi" w:cstheme="majorBidi"/>
          <w:sz w:val="20"/>
          <w:szCs w:val="20"/>
        </w:rPr>
        <w:t xml:space="preserve">651 genes upregulated in amacrine cells after infection with lentiviral vectors. 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C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-D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64 genes downregulated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and</w:t>
      </w:r>
      <w:r w:rsidRPr="00A36B0C">
        <w:rPr>
          <w:rFonts w:asciiTheme="majorBidi" w:hAnsiTheme="majorBidi" w:cstheme="majorBidi"/>
          <w:sz w:val="20"/>
          <w:szCs w:val="20"/>
        </w:rPr>
        <w:t xml:space="preserve"> 741 genes upregulated in bipolar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E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-F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64 genes down-regulated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and </w:t>
      </w:r>
      <w:r w:rsidRPr="00A36B0C">
        <w:rPr>
          <w:rFonts w:asciiTheme="majorBidi" w:hAnsiTheme="majorBidi" w:cstheme="majorBidi"/>
          <w:sz w:val="20"/>
          <w:szCs w:val="20"/>
        </w:rPr>
        <w:t xml:space="preserve">689 genes up-regulated in horizontal/amacrine precursor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G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-H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48 genes down-regulated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and </w:t>
      </w:r>
      <w:r w:rsidRPr="00A36B0C">
        <w:rPr>
          <w:rFonts w:asciiTheme="majorBidi" w:hAnsiTheme="majorBidi" w:cstheme="majorBidi"/>
          <w:sz w:val="20"/>
          <w:szCs w:val="20"/>
        </w:rPr>
        <w:t xml:space="preserve">486 genes up-regulated in horizontal progenitor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I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-J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91 genes down-regulated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and </w:t>
      </w:r>
      <w:r w:rsidRPr="00A36B0C">
        <w:rPr>
          <w:rFonts w:asciiTheme="majorBidi" w:hAnsiTheme="majorBidi" w:cstheme="majorBidi"/>
          <w:sz w:val="20"/>
          <w:szCs w:val="20"/>
        </w:rPr>
        <w:t xml:space="preserve">602 genes up-regulated in </w:t>
      </w:r>
      <w:r w:rsidRPr="00A36B0C">
        <w:rPr>
          <w:rFonts w:asciiTheme="majorBidi" w:hAnsiTheme="majorBidi" w:cstheme="majorBidi"/>
          <w:sz w:val="20"/>
          <w:szCs w:val="20"/>
        </w:rPr>
        <w:lastRenderedPageBreak/>
        <w:t xml:space="preserve">photoreceptor/bipolar cell precursor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K</w:t>
      </w:r>
      <w:r w:rsidRPr="00A36B0C">
        <w:rPr>
          <w:rFonts w:asciiTheme="majorBidi" w:hAnsiTheme="majorBidi" w:cstheme="majorBidi" w:hint="eastAsia"/>
          <w:sz w:val="20"/>
          <w:szCs w:val="20"/>
        </w:rPr>
        <w:t>-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L </w:t>
      </w:r>
      <w:r w:rsidRPr="00A36B0C">
        <w:rPr>
          <w:rFonts w:asciiTheme="majorBidi" w:hAnsiTheme="majorBidi" w:cstheme="majorBidi"/>
          <w:sz w:val="20"/>
          <w:szCs w:val="20"/>
        </w:rPr>
        <w:t>GO analysis of 116 genes down-regulated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and </w:t>
      </w:r>
      <w:r w:rsidRPr="00A36B0C">
        <w:rPr>
          <w:rFonts w:asciiTheme="majorBidi" w:hAnsiTheme="majorBidi" w:cstheme="majorBidi"/>
          <w:sz w:val="20"/>
          <w:szCs w:val="20"/>
        </w:rPr>
        <w:t xml:space="preserve">560 genes up-regulated in retinal ganglion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M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-N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146 genes down-regulated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and </w:t>
      </w:r>
      <w:r w:rsidRPr="00A36B0C">
        <w:rPr>
          <w:rFonts w:asciiTheme="majorBidi" w:hAnsiTheme="majorBidi" w:cstheme="majorBidi"/>
          <w:sz w:val="20"/>
          <w:szCs w:val="20"/>
        </w:rPr>
        <w:t xml:space="preserve">557 genes up-regulated in retinal rod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O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-P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235 genes down-regulated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and </w:t>
      </w:r>
      <w:r w:rsidRPr="00A36B0C">
        <w:rPr>
          <w:rFonts w:asciiTheme="majorBidi" w:hAnsiTheme="majorBidi" w:cstheme="majorBidi"/>
          <w:sz w:val="20"/>
          <w:szCs w:val="20"/>
        </w:rPr>
        <w:t xml:space="preserve">606 genes up-regulated in retinal progenitor cells after infection with lentiviral vectors.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Q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-R</w:t>
      </w:r>
      <w:r w:rsidRPr="00A36B0C">
        <w:rPr>
          <w:rFonts w:asciiTheme="majorBidi" w:hAnsiTheme="majorBidi" w:cstheme="majorBidi"/>
          <w:sz w:val="20"/>
          <w:szCs w:val="20"/>
        </w:rPr>
        <w:t xml:space="preserve"> GO analysis of 157 genes down-regulated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and </w:t>
      </w:r>
      <w:r w:rsidRPr="00A36B0C">
        <w:rPr>
          <w:rFonts w:asciiTheme="majorBidi" w:hAnsiTheme="majorBidi" w:cstheme="majorBidi"/>
          <w:sz w:val="20"/>
          <w:szCs w:val="20"/>
        </w:rPr>
        <w:t xml:space="preserve">557 genes up-regulated in cone cells after infection with lentiviral vectors. </w:t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C9069B" w:rsidRPr="00A36B0C" w:rsidRDefault="00C9069B" w:rsidP="00C9069B">
      <w:pPr>
        <w:pStyle w:val="-"/>
        <w:keepNext w:val="0"/>
        <w:keepLines w:val="0"/>
        <w:widowControl w:val="0"/>
        <w:ind w:firstLineChars="0" w:firstLine="0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bCs w:val="0"/>
          <w:noProof/>
          <w:sz w:val="20"/>
          <w:szCs w:val="20"/>
          <w:lang w:val="en-IN" w:eastAsia="en-IN"/>
        </w:rPr>
        <w:drawing>
          <wp:inline distT="0" distB="0" distL="0" distR="0" wp14:anchorId="19CDA82F" wp14:editId="01B9CBE0">
            <wp:extent cx="5758815" cy="2554605"/>
            <wp:effectExtent l="0" t="0" r="0" b="0"/>
            <wp:docPr id="48633450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34507" name="图片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367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4</w:t>
      </w:r>
      <w:r w:rsidRPr="00A36B0C">
        <w:rPr>
          <w:rFonts w:asciiTheme="majorBidi" w:hAnsiTheme="majorBidi" w:cstheme="majorBidi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Infection of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W14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retinal organoids with lentiviral vector leads to upregulation of </w:t>
      </w:r>
      <w:r w:rsidRPr="00A36B0C">
        <w:rPr>
          <w:rFonts w:asciiTheme="majorBidi" w:hAnsiTheme="majorBidi" w:cstheme="majorBidi"/>
          <w:b/>
          <w:bCs/>
          <w:i/>
          <w:iCs/>
          <w:sz w:val="20"/>
          <w:szCs w:val="20"/>
        </w:rPr>
        <w:t>PHLDA1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A</w:t>
      </w:r>
      <w:r w:rsidRPr="00A36B0C">
        <w:rPr>
          <w:rFonts w:asciiTheme="majorBidi" w:hAnsiTheme="majorBidi" w:cstheme="majorBidi"/>
          <w:sz w:val="20"/>
          <w:szCs w:val="20"/>
        </w:rPr>
        <w:t xml:space="preserve"> Volcano plot of differential gene distribution of photoreceptor /bipolar precursor cells after infection with lentivirus.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B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i/>
          <w:iCs/>
          <w:sz w:val="20"/>
          <w:szCs w:val="20"/>
        </w:rPr>
        <w:t>PHLDA1</w:t>
      </w:r>
      <w:r w:rsidRPr="00A36B0C">
        <w:rPr>
          <w:rFonts w:asciiTheme="majorBidi" w:hAnsiTheme="majorBidi" w:cstheme="majorBidi"/>
          <w:sz w:val="20"/>
          <w:szCs w:val="20"/>
        </w:rPr>
        <w:t xml:space="preserve"> expression after lentivirus infection in different cells of retinal organoids. </w:t>
      </w:r>
    </w:p>
    <w:p w:rsidR="00C9069B" w:rsidRPr="00A36B0C" w:rsidRDefault="00C9069B" w:rsidP="00C9069B">
      <w:pPr>
        <w:tabs>
          <w:tab w:val="clear" w:pos="377"/>
        </w:tabs>
        <w:adjustRightInd/>
        <w:snapToGrid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sz w:val="20"/>
          <w:szCs w:val="20"/>
        </w:rPr>
        <w:br w:type="page"/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4FCEF7B6" wp14:editId="5201E8D2">
            <wp:extent cx="5758828" cy="1964690"/>
            <wp:effectExtent l="0" t="0" r="0" b="0"/>
            <wp:docPr id="169434139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341391" name="图片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28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5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Lentivirus infection of retinal organoids results in slight upregulation of apoptotic cells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A-B </w:t>
      </w:r>
      <w:r w:rsidRPr="00A36B0C">
        <w:rPr>
          <w:rFonts w:asciiTheme="majorBidi" w:hAnsiTheme="majorBidi" w:cstheme="majorBidi"/>
          <w:sz w:val="20"/>
          <w:szCs w:val="20"/>
        </w:rPr>
        <w:t xml:space="preserve">Apoptosis </w:t>
      </w:r>
      <w:r w:rsidRPr="00A36B0C">
        <w:rPr>
          <w:rFonts w:asciiTheme="majorBidi" w:hAnsiTheme="majorBidi" w:cstheme="majorBidi" w:hint="eastAsia"/>
          <w:sz w:val="20"/>
          <w:szCs w:val="20"/>
        </w:rPr>
        <w:t>cells were increased in</w:t>
      </w:r>
      <w:r w:rsidRPr="00A36B0C">
        <w:rPr>
          <w:rFonts w:asciiTheme="majorBidi" w:hAnsiTheme="majorBidi" w:cstheme="majorBidi"/>
          <w:sz w:val="20"/>
          <w:szCs w:val="20"/>
        </w:rPr>
        <w:t xml:space="preserve"> W8 retinal organoids after infection with lentivirus. Scale bar</w:t>
      </w:r>
      <w:r w:rsidRPr="00A36B0C">
        <w:rPr>
          <w:rFonts w:asciiTheme="majorBidi" w:hAnsiTheme="majorBidi" w:cstheme="majorBidi"/>
          <w:bCs/>
          <w:sz w:val="20"/>
          <w:szCs w:val="20"/>
        </w:rPr>
        <w:t>s,</w:t>
      </w:r>
      <w:r w:rsidRPr="00A36B0C">
        <w:rPr>
          <w:rFonts w:asciiTheme="majorBidi" w:hAnsiTheme="majorBidi" w:cstheme="majorBidi"/>
          <w:sz w:val="20"/>
          <w:szCs w:val="20"/>
        </w:rPr>
        <w:t xml:space="preserve"> 20 μm.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C-D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 w:hint="eastAsia"/>
          <w:sz w:val="20"/>
          <w:szCs w:val="20"/>
        </w:rPr>
        <w:t>Lentivirus vectors</w:t>
      </w:r>
      <w:r w:rsidRPr="00A36B0C">
        <w:rPr>
          <w:rFonts w:asciiTheme="majorBidi" w:hAnsiTheme="majorBidi" w:cstheme="majorBidi"/>
          <w:sz w:val="20"/>
          <w:szCs w:val="20"/>
        </w:rPr>
        <w:t xml:space="preserve"> increased the number of apoptotic cells in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W14 </w:t>
      </w:r>
      <w:r w:rsidRPr="00A36B0C">
        <w:rPr>
          <w:rFonts w:asciiTheme="majorBidi" w:hAnsiTheme="majorBidi" w:cstheme="majorBidi"/>
          <w:sz w:val="20"/>
          <w:szCs w:val="20"/>
        </w:rPr>
        <w:t>retinal organoids.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sz w:val="20"/>
          <w:szCs w:val="20"/>
        </w:rPr>
        <w:t>Scale bar</w:t>
      </w:r>
      <w:r w:rsidRPr="00A36B0C">
        <w:rPr>
          <w:rFonts w:asciiTheme="majorBidi" w:hAnsiTheme="majorBidi" w:cstheme="majorBidi"/>
          <w:bCs/>
          <w:sz w:val="20"/>
          <w:szCs w:val="20"/>
        </w:rPr>
        <w:t>s,</w:t>
      </w:r>
      <w:r w:rsidRPr="00A36B0C">
        <w:rPr>
          <w:rFonts w:asciiTheme="majorBidi" w:hAnsiTheme="majorBidi" w:cstheme="majorBidi"/>
          <w:sz w:val="20"/>
          <w:szCs w:val="20"/>
        </w:rPr>
        <w:t xml:space="preserve"> 20 μm.</w:t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C9069B" w:rsidRPr="00A36B0C" w:rsidRDefault="00C9069B" w:rsidP="00C9069B">
      <w:pPr>
        <w:spacing w:line="36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 wp14:anchorId="2E4D99C1" wp14:editId="7210564E">
            <wp:extent cx="5716694" cy="1672653"/>
            <wp:effectExtent l="0" t="0" r="0" b="3810"/>
            <wp:docPr id="12365786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78647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535" cy="168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6</w:t>
      </w:r>
      <w:r w:rsidRPr="00A36B0C">
        <w:rPr>
          <w:rFonts w:asciiTheme="majorBidi" w:hAnsiTheme="majorBidi" w:cstheme="majorBidi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Infection of retinal organoids with lentiviral vectors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leads to the increase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of RXRG</w:t>
      </w:r>
      <w:r w:rsidRPr="00A36B0C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+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cells. A-B </w:t>
      </w:r>
      <w:r w:rsidRPr="00A36B0C">
        <w:rPr>
          <w:rFonts w:asciiTheme="majorBidi" w:hAnsiTheme="majorBidi" w:cstheme="majorBidi"/>
          <w:sz w:val="20"/>
          <w:szCs w:val="20"/>
        </w:rPr>
        <w:t>The numbers of RXRG</w:t>
      </w:r>
      <w:r w:rsidRPr="00A36B0C">
        <w:rPr>
          <w:rFonts w:asciiTheme="majorBidi" w:hAnsiTheme="majorBidi" w:cstheme="majorBidi"/>
          <w:sz w:val="20"/>
          <w:szCs w:val="20"/>
          <w:vertAlign w:val="superscript"/>
        </w:rPr>
        <w:t>+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 w:hint="eastAsia"/>
          <w:sz w:val="20"/>
          <w:szCs w:val="20"/>
        </w:rPr>
        <w:t>cone</w:t>
      </w:r>
      <w:r w:rsidRPr="00A36B0C">
        <w:rPr>
          <w:rFonts w:asciiTheme="majorBidi" w:hAnsiTheme="majorBidi" w:cstheme="majorBidi"/>
          <w:sz w:val="20"/>
          <w:szCs w:val="20"/>
        </w:rPr>
        <w:t xml:space="preserve"> cells were significantly increased after infection of lentivir</w:t>
      </w:r>
      <w:r w:rsidRPr="00A36B0C">
        <w:rPr>
          <w:rFonts w:asciiTheme="majorBidi" w:hAnsiTheme="majorBidi" w:cstheme="majorBidi" w:hint="eastAsia"/>
          <w:sz w:val="20"/>
          <w:szCs w:val="20"/>
        </w:rPr>
        <w:t>us</w:t>
      </w:r>
      <w:r w:rsidRPr="00A36B0C">
        <w:rPr>
          <w:rFonts w:asciiTheme="majorBidi" w:hAnsiTheme="majorBidi" w:cstheme="majorBidi"/>
          <w:sz w:val="20"/>
          <w:szCs w:val="20"/>
        </w:rPr>
        <w:t>. Scale bars, 20 μm.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C-D</w:t>
      </w:r>
      <w:r w:rsidRPr="00A36B0C">
        <w:rPr>
          <w:rFonts w:asciiTheme="majorBidi" w:hAnsiTheme="majorBidi" w:cstheme="majorBidi"/>
          <w:sz w:val="20"/>
          <w:szCs w:val="20"/>
        </w:rPr>
        <w:t xml:space="preserve"> The numbers of NR2E3</w:t>
      </w:r>
      <w:r w:rsidRPr="00A36B0C">
        <w:rPr>
          <w:rFonts w:asciiTheme="majorBidi" w:hAnsiTheme="majorBidi" w:cstheme="majorBidi"/>
          <w:sz w:val="20"/>
          <w:szCs w:val="20"/>
          <w:vertAlign w:val="superscript"/>
        </w:rPr>
        <w:t>+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rod </w:t>
      </w:r>
      <w:r w:rsidRPr="00A36B0C">
        <w:rPr>
          <w:rFonts w:asciiTheme="majorBidi" w:hAnsiTheme="majorBidi" w:cstheme="majorBidi"/>
          <w:sz w:val="20"/>
          <w:szCs w:val="20"/>
        </w:rPr>
        <w:t>cells were significantly increased after infection of lentivirus. Scale bar</w:t>
      </w:r>
      <w:r w:rsidRPr="00A36B0C">
        <w:rPr>
          <w:rFonts w:asciiTheme="majorBidi" w:hAnsiTheme="majorBidi" w:cstheme="majorBidi"/>
          <w:bCs/>
          <w:sz w:val="20"/>
          <w:szCs w:val="20"/>
        </w:rPr>
        <w:t>s,</w:t>
      </w:r>
      <w:r w:rsidRPr="00A36B0C">
        <w:rPr>
          <w:rFonts w:asciiTheme="majorBidi" w:hAnsiTheme="majorBidi" w:cstheme="majorBidi"/>
          <w:sz w:val="20"/>
          <w:szCs w:val="20"/>
        </w:rPr>
        <w:t xml:space="preserve"> 20 μm.</w:t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 wp14:anchorId="77CBDC54" wp14:editId="62D0753B">
            <wp:extent cx="5759448" cy="1807167"/>
            <wp:effectExtent l="0" t="0" r="0" b="3175"/>
            <wp:docPr id="12500213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21345" name="图片 1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48" cy="180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>Supplementary Fig. 7 Effects of PHLDA1 on photoreceptor differentiation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A-B</w:t>
      </w:r>
      <w:r w:rsidRPr="00A36B0C">
        <w:rPr>
          <w:rFonts w:asciiTheme="majorBidi" w:hAnsiTheme="majorBidi" w:cstheme="majorBidi"/>
          <w:sz w:val="20"/>
          <w:szCs w:val="20"/>
        </w:rPr>
        <w:t xml:space="preserve"> Immunofluorescence showed that knockdown of PHLDA1 in retinal organoids reduced the proportion of lentiviral-induced CRX</w:t>
      </w:r>
      <w:r w:rsidRPr="00A36B0C">
        <w:rPr>
          <w:rFonts w:asciiTheme="majorBidi" w:hAnsiTheme="majorBidi" w:cstheme="majorBidi"/>
          <w:sz w:val="20"/>
          <w:szCs w:val="20"/>
          <w:vertAlign w:val="superscript"/>
        </w:rPr>
        <w:t>+</w:t>
      </w:r>
      <w:r w:rsidRPr="00A36B0C">
        <w:rPr>
          <w:rFonts w:asciiTheme="majorBidi" w:hAnsiTheme="majorBidi" w:cstheme="majorBidi"/>
          <w:sz w:val="20"/>
          <w:szCs w:val="20"/>
        </w:rPr>
        <w:t xml:space="preserve"> and OTX2</w:t>
      </w:r>
      <w:r w:rsidRPr="00A36B0C">
        <w:rPr>
          <w:rFonts w:asciiTheme="majorBidi" w:hAnsiTheme="majorBidi" w:cstheme="majorBidi"/>
          <w:sz w:val="20"/>
          <w:szCs w:val="20"/>
          <w:vertAlign w:val="superscript"/>
        </w:rPr>
        <w:t>+</w:t>
      </w:r>
      <w:r w:rsidRPr="00A36B0C">
        <w:rPr>
          <w:rFonts w:asciiTheme="majorBidi" w:hAnsiTheme="majorBidi" w:cstheme="majorBidi"/>
          <w:sz w:val="20"/>
          <w:szCs w:val="20"/>
        </w:rPr>
        <w:t xml:space="preserve"> photoreceptor cells. Scale bar</w:t>
      </w:r>
      <w:r w:rsidRPr="00A36B0C">
        <w:rPr>
          <w:rFonts w:asciiTheme="majorBidi" w:hAnsiTheme="majorBidi" w:cstheme="majorBidi"/>
          <w:bCs/>
          <w:sz w:val="20"/>
          <w:szCs w:val="20"/>
        </w:rPr>
        <w:t>s,</w:t>
      </w:r>
      <w:r w:rsidRPr="00A36B0C">
        <w:rPr>
          <w:rFonts w:asciiTheme="majorBidi" w:hAnsiTheme="majorBidi" w:cstheme="majorBidi"/>
          <w:sz w:val="20"/>
          <w:szCs w:val="20"/>
        </w:rPr>
        <w:t xml:space="preserve"> 20 μm.</w:t>
      </w:r>
      <w:r w:rsidRPr="00A36B0C">
        <w:rPr>
          <w:rFonts w:asciiTheme="majorBidi" w:hAnsiTheme="majorBidi" w:cstheme="majorBidi"/>
          <w:sz w:val="20"/>
          <w:szCs w:val="20"/>
        </w:rPr>
        <w:br w:type="page"/>
      </w:r>
      <w:r w:rsidRPr="00A36B0C">
        <w:rPr>
          <w:rFonts w:asciiTheme="majorBidi" w:hAnsiTheme="majorBidi" w:cstheme="majorBidi"/>
          <w:noProof/>
          <w:sz w:val="18"/>
          <w:szCs w:val="18"/>
          <w:lang w:val="en-IN" w:eastAsia="en-IN"/>
        </w:rPr>
        <w:lastRenderedPageBreak/>
        <w:drawing>
          <wp:inline distT="0" distB="0" distL="0" distR="0" wp14:anchorId="722E35DE" wp14:editId="71D572E4">
            <wp:extent cx="5759450" cy="1731010"/>
            <wp:effectExtent l="0" t="0" r="0" b="7620"/>
            <wp:docPr id="60058598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85987" name="图片 1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8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PHLDA1 is distributed in the nucleus of Mesenchymal progenitor cells (MPCs). A-C </w:t>
      </w:r>
      <w:r w:rsidRPr="00A36B0C">
        <w:rPr>
          <w:rFonts w:asciiTheme="majorBidi" w:hAnsiTheme="majorBidi" w:cstheme="majorBidi"/>
          <w:sz w:val="20"/>
          <w:szCs w:val="20"/>
        </w:rPr>
        <w:t>Subcellular localization of PHLDA1 in hESC differentiated MPCs (P6). Scale bar</w:t>
      </w:r>
      <w:r w:rsidRPr="00A36B0C">
        <w:rPr>
          <w:rFonts w:asciiTheme="majorBidi" w:hAnsiTheme="majorBidi" w:cstheme="majorBidi"/>
          <w:bCs/>
          <w:sz w:val="20"/>
          <w:szCs w:val="20"/>
        </w:rPr>
        <w:t>s,</w:t>
      </w:r>
      <w:r w:rsidRPr="00A36B0C">
        <w:rPr>
          <w:rFonts w:asciiTheme="majorBidi" w:hAnsiTheme="majorBidi" w:cstheme="majorBidi"/>
          <w:sz w:val="20"/>
          <w:szCs w:val="20"/>
        </w:rPr>
        <w:t xml:space="preserve"> 20 μm.</w:t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C9069B" w:rsidRPr="00A36B0C" w:rsidRDefault="00C9069B" w:rsidP="00C9069B">
      <w:pPr>
        <w:spacing w:line="36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 wp14:anchorId="24A58EBD" wp14:editId="7E61B083">
            <wp:extent cx="3666751" cy="2398781"/>
            <wp:effectExtent l="0" t="0" r="0" b="1905"/>
            <wp:docPr id="17822703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70379" name="图片 17822703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751" cy="239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9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Differential changes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of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PRDM1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in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transcription levels after infection with different viruses. A</w:t>
      </w:r>
      <w:r w:rsidRPr="00A36B0C">
        <w:t xml:space="preserve"> Transcriptome sequencing showed that compared with the mock group, transfection with SARS-Cov-2, RSV, ZIKA, and VSV-G viruses resulted in significantly up-regulated expression of PHLDA1 and PRDM1 mRNA.</w:t>
      </w:r>
      <w:r w:rsidRPr="00A36B0C">
        <w:rPr>
          <w:rFonts w:asciiTheme="majorBidi" w:hAnsiTheme="majorBidi" w:cstheme="majorBidi"/>
          <w:sz w:val="18"/>
          <w:szCs w:val="18"/>
        </w:rPr>
        <w:br w:type="page"/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 w:rsidRPr="00A36B0C">
        <w:rPr>
          <w:rFonts w:asciiTheme="majorBidi" w:hAnsiTheme="majorBidi" w:cstheme="majorBidi"/>
          <w:noProof/>
          <w:sz w:val="18"/>
          <w:szCs w:val="18"/>
          <w:lang w:val="en-IN" w:eastAsia="en-IN"/>
        </w:rPr>
        <w:lastRenderedPageBreak/>
        <w:drawing>
          <wp:inline distT="0" distB="0" distL="0" distR="0" wp14:anchorId="04BD9937" wp14:editId="78AB7DC3">
            <wp:extent cx="5759420" cy="4162161"/>
            <wp:effectExtent l="0" t="0" r="0" b="0"/>
            <wp:docPr id="205335246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352460" name="图片 1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20" cy="416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 xml:space="preserve">10 PHLDA1 regulate the expression of RAX.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A-B </w:t>
      </w:r>
      <w:r w:rsidRPr="00A36B0C">
        <w:rPr>
          <w:rFonts w:asciiTheme="majorBidi" w:hAnsiTheme="majorBidi" w:cstheme="majorBidi"/>
          <w:sz w:val="20"/>
          <w:szCs w:val="20"/>
        </w:rPr>
        <w:t xml:space="preserve">Immunofluorescence co-localization staining results show that PHLDA1 is predominantly co-localized with RAX in retinal organoids at different developmental stages. Scale bars, 20 μm.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C-D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 w:hint="eastAsia"/>
          <w:sz w:val="20"/>
          <w:szCs w:val="20"/>
        </w:rPr>
        <w:t>Lentivirus</w:t>
      </w:r>
      <w:r w:rsidRPr="00A36B0C">
        <w:rPr>
          <w:rFonts w:asciiTheme="majorBidi" w:hAnsiTheme="majorBidi" w:cstheme="majorBidi"/>
          <w:sz w:val="20"/>
          <w:szCs w:val="20"/>
        </w:rPr>
        <w:t xml:space="preserve">-induced </w:t>
      </w:r>
      <w:r w:rsidRPr="00A36B0C">
        <w:rPr>
          <w:rFonts w:asciiTheme="majorBidi" w:hAnsiTheme="majorBidi" w:cstheme="majorBidi" w:hint="eastAsia"/>
          <w:sz w:val="20"/>
          <w:szCs w:val="20"/>
        </w:rPr>
        <w:t>RAX</w:t>
      </w:r>
      <w:r w:rsidRPr="00A36B0C">
        <w:rPr>
          <w:rFonts w:asciiTheme="majorBidi" w:hAnsiTheme="majorBidi" w:cstheme="majorBidi"/>
          <w:sz w:val="20"/>
          <w:szCs w:val="20"/>
          <w:vertAlign w:val="superscript"/>
        </w:rPr>
        <w:t>+</w:t>
      </w:r>
      <w:r w:rsidRPr="00A36B0C">
        <w:rPr>
          <w:rFonts w:asciiTheme="majorBidi" w:hAnsiTheme="majorBidi" w:cstheme="majorBidi"/>
          <w:sz w:val="20"/>
          <w:szCs w:val="20"/>
        </w:rPr>
        <w:t xml:space="preserve"> cell number in organoids was reversed by shRNA-mediated PHLDA1 knockdown (KD) compared to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 the</w:t>
      </w:r>
      <w:r w:rsidRPr="00A36B0C">
        <w:rPr>
          <w:rFonts w:asciiTheme="majorBidi" w:hAnsiTheme="majorBidi" w:cstheme="majorBidi"/>
          <w:sz w:val="20"/>
          <w:szCs w:val="20"/>
        </w:rPr>
        <w:t xml:space="preserve"> </w:t>
      </w:r>
      <w:r w:rsidRPr="00A36B0C">
        <w:rPr>
          <w:rFonts w:asciiTheme="majorBidi" w:hAnsiTheme="majorBidi" w:cstheme="majorBidi" w:hint="eastAsia"/>
          <w:sz w:val="20"/>
          <w:szCs w:val="20"/>
        </w:rPr>
        <w:t xml:space="preserve">mock </w:t>
      </w:r>
      <w:r w:rsidRPr="00A36B0C">
        <w:rPr>
          <w:rFonts w:asciiTheme="majorBidi" w:hAnsiTheme="majorBidi" w:cstheme="majorBidi"/>
          <w:sz w:val="20"/>
          <w:szCs w:val="20"/>
        </w:rPr>
        <w:t>control. Scale bars, 20 μm.</w:t>
      </w: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C9069B" w:rsidRPr="00A36B0C" w:rsidRDefault="00C9069B" w:rsidP="00C9069B">
      <w:pPr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noProof/>
          <w:sz w:val="20"/>
          <w:szCs w:val="20"/>
          <w:lang w:val="en-IN" w:eastAsia="en-IN"/>
        </w:rPr>
        <w:drawing>
          <wp:inline distT="0" distB="0" distL="0" distR="0" wp14:anchorId="6604972D" wp14:editId="59288492">
            <wp:extent cx="5758750" cy="2343644"/>
            <wp:effectExtent l="0" t="0" r="0" b="0"/>
            <wp:docPr id="14299439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943968" name="图片 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750" cy="234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69B" w:rsidRPr="00A36B0C" w:rsidRDefault="00C9069B" w:rsidP="00C9069B">
      <w:pPr>
        <w:tabs>
          <w:tab w:val="clear" w:pos="377"/>
        </w:tabs>
        <w:adjustRightInd/>
        <w:snapToGrid/>
        <w:spacing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Supplementary Fig. </w:t>
      </w:r>
      <w:r w:rsidRPr="00A36B0C">
        <w:rPr>
          <w:rFonts w:asciiTheme="majorBidi" w:hAnsiTheme="majorBidi" w:cstheme="majorBidi" w:hint="eastAsia"/>
          <w:b/>
          <w:bCs/>
          <w:sz w:val="20"/>
          <w:szCs w:val="20"/>
        </w:rPr>
        <w:t>11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Transcript levels and Sanger sequencing of </w:t>
      </w:r>
      <w:r w:rsidRPr="00A36B0C">
        <w:rPr>
          <w:rFonts w:asciiTheme="majorBidi" w:hAnsiTheme="majorBidi" w:cstheme="majorBidi"/>
          <w:b/>
          <w:bCs/>
          <w:i/>
          <w:iCs/>
          <w:sz w:val="20"/>
          <w:szCs w:val="20"/>
        </w:rPr>
        <w:t>PHLDA1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in </w:t>
      </w:r>
      <w:r w:rsidRPr="00A36B0C">
        <w:rPr>
          <w:rFonts w:asciiTheme="majorBidi" w:hAnsiTheme="majorBidi" w:cstheme="majorBidi"/>
          <w:b/>
          <w:bCs/>
          <w:i/>
          <w:iCs/>
          <w:sz w:val="20"/>
          <w:szCs w:val="20"/>
        </w:rPr>
        <w:t>PHLDA1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 xml:space="preserve"> knockout Y79 cell line. A </w:t>
      </w:r>
      <w:r w:rsidRPr="00A36B0C">
        <w:rPr>
          <w:rFonts w:asciiTheme="majorBidi" w:hAnsiTheme="majorBidi" w:cstheme="majorBidi"/>
          <w:i/>
          <w:iCs/>
          <w:sz w:val="20"/>
          <w:szCs w:val="20"/>
        </w:rPr>
        <w:t>PHLDA1</w:t>
      </w:r>
      <w:r w:rsidRPr="00A36B0C">
        <w:rPr>
          <w:rFonts w:asciiTheme="majorBidi" w:hAnsiTheme="majorBidi" w:cstheme="majorBidi"/>
          <w:sz w:val="20"/>
          <w:szCs w:val="20"/>
        </w:rPr>
        <w:t xml:space="preserve"> mRNA expression in </w:t>
      </w:r>
      <w:r w:rsidRPr="00A36B0C">
        <w:rPr>
          <w:rFonts w:asciiTheme="majorBidi" w:hAnsiTheme="majorBidi" w:cstheme="majorBidi"/>
          <w:i/>
          <w:iCs/>
          <w:sz w:val="20"/>
          <w:szCs w:val="20"/>
        </w:rPr>
        <w:t>PHLDA1</w:t>
      </w:r>
      <w:r w:rsidRPr="00A36B0C">
        <w:rPr>
          <w:rFonts w:asciiTheme="majorBidi" w:hAnsiTheme="majorBidi" w:cstheme="majorBidi"/>
          <w:sz w:val="20"/>
          <w:szCs w:val="20"/>
        </w:rPr>
        <w:t xml:space="preserve">-KO Y79 cell line. </w:t>
      </w:r>
      <w:r w:rsidRPr="00A36B0C">
        <w:rPr>
          <w:rFonts w:asciiTheme="majorBidi" w:hAnsiTheme="majorBidi" w:cstheme="majorBidi"/>
          <w:b/>
          <w:bCs/>
          <w:sz w:val="20"/>
          <w:szCs w:val="20"/>
        </w:rPr>
        <w:t>B</w:t>
      </w:r>
      <w:r w:rsidRPr="00A36B0C">
        <w:rPr>
          <w:rFonts w:asciiTheme="majorBidi" w:hAnsiTheme="majorBidi" w:cstheme="majorBidi"/>
          <w:sz w:val="20"/>
          <w:szCs w:val="20"/>
        </w:rPr>
        <w:t xml:space="preserve"> Sanger sequencing of Y79 cells confirms knockout of</w:t>
      </w:r>
      <w:r w:rsidRPr="00A36B0C">
        <w:rPr>
          <w:rFonts w:asciiTheme="majorBidi" w:hAnsiTheme="majorBidi" w:cstheme="majorBidi"/>
          <w:i/>
          <w:iCs/>
          <w:sz w:val="20"/>
          <w:szCs w:val="20"/>
        </w:rPr>
        <w:t xml:space="preserve"> PHLDA1</w:t>
      </w:r>
      <w:r w:rsidRPr="00A36B0C">
        <w:rPr>
          <w:rFonts w:asciiTheme="majorBidi" w:hAnsiTheme="majorBidi" w:cstheme="majorBidi"/>
          <w:sz w:val="20"/>
          <w:szCs w:val="20"/>
        </w:rPr>
        <w:t>.</w:t>
      </w:r>
      <w:r w:rsidRPr="00A36B0C">
        <w:rPr>
          <w:rFonts w:asciiTheme="majorBidi" w:hAnsiTheme="majorBidi" w:cstheme="majorBidi"/>
          <w:sz w:val="20"/>
          <w:szCs w:val="20"/>
        </w:rPr>
        <w:br w:type="page"/>
      </w:r>
    </w:p>
    <w:p w:rsidR="00C9069B" w:rsidRPr="00A36B0C" w:rsidRDefault="00C9069B" w:rsidP="00C9069B">
      <w:pPr>
        <w:pStyle w:val="-1"/>
        <w:widowControl w:val="0"/>
        <w:ind w:firstLine="480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sz w:val="20"/>
          <w:szCs w:val="20"/>
        </w:rPr>
        <w:lastRenderedPageBreak/>
        <w:t>Appendix Table-1 shRNA target sequence</w:t>
      </w:r>
    </w:p>
    <w:tbl>
      <w:tblPr>
        <w:tblW w:w="765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386"/>
      </w:tblGrid>
      <w:tr w:rsidR="00C9069B" w:rsidRPr="00A36B0C" w:rsidTr="00366501">
        <w:trPr>
          <w:trHeight w:val="437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kern w:val="28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shRNA Name</w:t>
            </w:r>
          </w:p>
        </w:tc>
        <w:tc>
          <w:tcPr>
            <w:tcW w:w="538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Target Sequence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Scramble (lentivirus)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CCTAAGGTTAAGTCGCCCTCG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ShPHLDA1#</w:t>
            </w:r>
            <w:r w:rsidRPr="00A36B0C">
              <w:rPr>
                <w:rStyle w:val="Strong"/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sz w:val="20"/>
                <w:szCs w:val="20"/>
              </w:rPr>
              <w:t>CGAGCACATTTCTATTGTCTT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ShPHLDA1#</w:t>
            </w:r>
            <w:r w:rsidRPr="00A36B0C">
              <w:rPr>
                <w:rStyle w:val="Strong"/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12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sz w:val="20"/>
                <w:szCs w:val="20"/>
              </w:rPr>
              <w:t xml:space="preserve"> CAGATCAAGTAGTTTGGACAT</w:t>
            </w:r>
          </w:p>
        </w:tc>
      </w:tr>
    </w:tbl>
    <w:p w:rsidR="00C9069B" w:rsidRPr="00A36B0C" w:rsidRDefault="00C9069B" w:rsidP="00C9069B">
      <w:pPr>
        <w:widowControl w:val="0"/>
        <w:spacing w:line="360" w:lineRule="auto"/>
        <w:jc w:val="both"/>
        <w:rPr>
          <w:rFonts w:asciiTheme="majorBidi" w:hAnsiTheme="majorBidi" w:cstheme="majorBidi"/>
          <w:b/>
          <w:bCs/>
          <w:kern w:val="2"/>
          <w:sz w:val="20"/>
          <w:szCs w:val="20"/>
        </w:rPr>
      </w:pPr>
    </w:p>
    <w:p w:rsidR="00C9069B" w:rsidRPr="00A36B0C" w:rsidRDefault="00C9069B" w:rsidP="00C9069B">
      <w:pPr>
        <w:pStyle w:val="-1"/>
        <w:widowControl w:val="0"/>
        <w:ind w:firstLine="480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sz w:val="20"/>
          <w:szCs w:val="20"/>
        </w:rPr>
        <w:t>Appendix Table-2 Immunofluorescence staining antibody information</w:t>
      </w:r>
    </w:p>
    <w:tbl>
      <w:tblPr>
        <w:tblW w:w="924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29"/>
        <w:gridCol w:w="2213"/>
        <w:gridCol w:w="2213"/>
        <w:gridCol w:w="2294"/>
      </w:tblGrid>
      <w:tr w:rsidR="00C9069B" w:rsidRPr="00A36B0C" w:rsidTr="00366501">
        <w:trPr>
          <w:trHeight w:val="434"/>
          <w:jc w:val="center"/>
        </w:trPr>
        <w:tc>
          <w:tcPr>
            <w:tcW w:w="2529" w:type="dxa"/>
            <w:tcBorders>
              <w:top w:val="single" w:sz="12" w:space="0" w:color="auto"/>
              <w:bottom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Antibody</w:t>
            </w:r>
          </w:p>
        </w:tc>
        <w:tc>
          <w:tcPr>
            <w:tcW w:w="2213" w:type="dxa"/>
            <w:tcBorders>
              <w:top w:val="single" w:sz="12" w:space="0" w:color="auto"/>
              <w:bottom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hint="eastAsia"/>
                <w:sz w:val="20"/>
                <w:szCs w:val="20"/>
              </w:rPr>
              <w:t>D</w:t>
            </w:r>
            <w:r w:rsidRPr="00A36B0C">
              <w:rPr>
                <w:rStyle w:val="Strong"/>
                <w:sz w:val="20"/>
                <w:szCs w:val="20"/>
              </w:rPr>
              <w:t>ilution concentration</w:t>
            </w:r>
          </w:p>
        </w:tc>
        <w:tc>
          <w:tcPr>
            <w:tcW w:w="2213" w:type="dxa"/>
            <w:tcBorders>
              <w:top w:val="single" w:sz="12" w:space="0" w:color="auto"/>
              <w:bottom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sz w:val="20"/>
                <w:szCs w:val="20"/>
              </w:rPr>
              <w:t>Company</w:t>
            </w:r>
          </w:p>
        </w:tc>
        <w:tc>
          <w:tcPr>
            <w:tcW w:w="2294" w:type="dxa"/>
            <w:tcBorders>
              <w:top w:val="single" w:sz="12" w:space="0" w:color="auto"/>
              <w:bottom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sz w:val="20"/>
                <w:szCs w:val="20"/>
              </w:rPr>
              <w:t>Catalog number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  <w:tcBorders>
              <w:top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PRDM1</w:t>
            </w:r>
          </w:p>
        </w:tc>
        <w:tc>
          <w:tcPr>
            <w:tcW w:w="2213" w:type="dxa"/>
            <w:tcBorders>
              <w:top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1:100</w:t>
            </w:r>
          </w:p>
        </w:tc>
        <w:tc>
          <w:tcPr>
            <w:tcW w:w="2213" w:type="dxa"/>
            <w:tcBorders>
              <w:top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Santa cruz</w:t>
            </w:r>
          </w:p>
        </w:tc>
        <w:tc>
          <w:tcPr>
            <w:tcW w:w="2294" w:type="dxa"/>
            <w:tcBorders>
              <w:top w:val="single" w:sz="8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sc-47732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PHLDA1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1:100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Santa cruz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sc-23866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β-actin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1:1000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CST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13E5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CRX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1:200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R&amp;D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AF7085-SP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OTX2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1:50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Santa cruz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sc-514195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MKI67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1:200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Abcam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ab15580-100ug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Donkey anti-mouse 488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1:500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Abcam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ab50109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Donkey anti-rat 594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1:500</w:t>
            </w:r>
          </w:p>
        </w:tc>
        <w:tc>
          <w:tcPr>
            <w:tcW w:w="2213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Abcam</w:t>
            </w:r>
          </w:p>
        </w:tc>
        <w:tc>
          <w:tcPr>
            <w:tcW w:w="2294" w:type="dxa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ab150156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  <w:tcBorders>
              <w:bottom w:val="nil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Donkey anti-mouse 594</w:t>
            </w:r>
          </w:p>
        </w:tc>
        <w:tc>
          <w:tcPr>
            <w:tcW w:w="2213" w:type="dxa"/>
            <w:tcBorders>
              <w:bottom w:val="nil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1:500</w:t>
            </w:r>
          </w:p>
        </w:tc>
        <w:tc>
          <w:tcPr>
            <w:tcW w:w="2213" w:type="dxa"/>
            <w:tcBorders>
              <w:bottom w:val="nil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Abcam</w:t>
            </w:r>
          </w:p>
        </w:tc>
        <w:tc>
          <w:tcPr>
            <w:tcW w:w="2294" w:type="dxa"/>
            <w:tcBorders>
              <w:bottom w:val="nil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ab150112</w:t>
            </w:r>
          </w:p>
        </w:tc>
      </w:tr>
      <w:tr w:rsidR="00C9069B" w:rsidRPr="00A36B0C" w:rsidTr="00366501">
        <w:trPr>
          <w:trHeight w:val="434"/>
          <w:jc w:val="center"/>
        </w:trPr>
        <w:tc>
          <w:tcPr>
            <w:tcW w:w="2529" w:type="dxa"/>
            <w:tcBorders>
              <w:top w:val="nil"/>
              <w:bottom w:val="single" w:sz="12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Donkey anti-rabbit 647</w:t>
            </w:r>
          </w:p>
        </w:tc>
        <w:tc>
          <w:tcPr>
            <w:tcW w:w="2213" w:type="dxa"/>
            <w:tcBorders>
              <w:top w:val="nil"/>
              <w:bottom w:val="single" w:sz="12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1:500</w:t>
            </w:r>
          </w:p>
        </w:tc>
        <w:tc>
          <w:tcPr>
            <w:tcW w:w="2213" w:type="dxa"/>
            <w:tcBorders>
              <w:top w:val="nil"/>
              <w:bottom w:val="single" w:sz="12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Abcam</w:t>
            </w:r>
          </w:p>
        </w:tc>
        <w:tc>
          <w:tcPr>
            <w:tcW w:w="2294" w:type="dxa"/>
            <w:tcBorders>
              <w:top w:val="nil"/>
              <w:bottom w:val="single" w:sz="12" w:space="0" w:color="auto"/>
            </w:tcBorders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sz w:val="20"/>
                <w:szCs w:val="20"/>
              </w:rPr>
              <w:t>Cat# ab150063</w:t>
            </w:r>
          </w:p>
        </w:tc>
      </w:tr>
    </w:tbl>
    <w:p w:rsidR="00C9069B" w:rsidRPr="00A36B0C" w:rsidRDefault="00C9069B" w:rsidP="00C9069B">
      <w:pPr>
        <w:widowControl w:val="0"/>
        <w:tabs>
          <w:tab w:val="clear" w:pos="377"/>
        </w:tabs>
        <w:spacing w:line="360" w:lineRule="auto"/>
        <w:jc w:val="both"/>
        <w:rPr>
          <w:rFonts w:asciiTheme="majorBidi" w:hAnsiTheme="majorBidi" w:cstheme="majorBidi"/>
          <w:b/>
          <w:bCs/>
          <w:kern w:val="2"/>
          <w:sz w:val="20"/>
          <w:szCs w:val="20"/>
        </w:rPr>
      </w:pPr>
    </w:p>
    <w:p w:rsidR="00C9069B" w:rsidRPr="00A36B0C" w:rsidRDefault="00C9069B" w:rsidP="00C9069B">
      <w:pPr>
        <w:pStyle w:val="-1"/>
        <w:widowControl w:val="0"/>
        <w:ind w:firstLine="480"/>
        <w:rPr>
          <w:rFonts w:asciiTheme="majorBidi" w:hAnsiTheme="majorBidi" w:cstheme="majorBidi"/>
          <w:sz w:val="20"/>
          <w:szCs w:val="20"/>
        </w:rPr>
      </w:pPr>
      <w:r w:rsidRPr="00A36B0C">
        <w:rPr>
          <w:rFonts w:asciiTheme="majorBidi" w:hAnsiTheme="majorBidi" w:cstheme="majorBidi"/>
          <w:sz w:val="20"/>
          <w:szCs w:val="20"/>
        </w:rPr>
        <w:t>Appendix Table-3 RT-</w:t>
      </w:r>
      <w:r w:rsidRPr="00A36B0C">
        <w:rPr>
          <w:rFonts w:asciiTheme="majorBidi" w:hAnsiTheme="majorBidi" w:cstheme="majorBidi" w:hint="eastAsia"/>
          <w:sz w:val="20"/>
          <w:szCs w:val="20"/>
        </w:rPr>
        <w:t>q</w:t>
      </w:r>
      <w:r w:rsidRPr="00A36B0C">
        <w:rPr>
          <w:rFonts w:asciiTheme="majorBidi" w:hAnsiTheme="majorBidi" w:cstheme="majorBidi"/>
          <w:sz w:val="20"/>
          <w:szCs w:val="20"/>
        </w:rPr>
        <w:t>PCR primer sequence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3827"/>
      </w:tblGrid>
      <w:tr w:rsidR="00C9069B" w:rsidRPr="00A36B0C" w:rsidTr="00366501">
        <w:trPr>
          <w:trHeight w:val="437"/>
          <w:jc w:val="center"/>
        </w:trPr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Fonts w:asciiTheme="majorBidi" w:hAnsiTheme="majorBidi" w:cstheme="majorBidi"/>
                <w:kern w:val="2"/>
                <w:sz w:val="20"/>
                <w:szCs w:val="20"/>
              </w:rPr>
            </w:pPr>
            <w:r w:rsidRPr="00A36B0C">
              <w:rPr>
                <w:rFonts w:asciiTheme="majorBidi" w:hAnsiTheme="majorBidi" w:cstheme="majorBidi"/>
                <w:sz w:val="20"/>
                <w:szCs w:val="20"/>
              </w:rPr>
              <w:t>Primer Name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Fonts w:asciiTheme="majorBidi" w:hAnsiTheme="majorBidi" w:cstheme="majorBidi"/>
                <w:kern w:val="2"/>
                <w:sz w:val="20"/>
                <w:szCs w:val="20"/>
              </w:rPr>
            </w:pPr>
            <w:r w:rsidRPr="00A36B0C">
              <w:rPr>
                <w:rFonts w:asciiTheme="majorBidi" w:hAnsiTheme="majorBidi" w:cstheme="majorBidi"/>
                <w:sz w:val="20"/>
                <w:szCs w:val="20"/>
              </w:rPr>
              <w:t>Sequence (5'-3')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PHLDA1-qRT-F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CTTCACTGTGGTGATGGCAGAG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PHLDA1-qRT-R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CCTGACGATTCTTGTACTGCACC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PRDM1-qRT-F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CAGTTCCTAAGAACGCCAACAGG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3827" w:type="dxa"/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PRDM1-qRT-R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tabs>
                <w:tab w:val="clear" w:pos="377"/>
                <w:tab w:val="left" w:pos="165"/>
              </w:tabs>
              <w:spacing w:line="360" w:lineRule="auto"/>
              <w:ind w:firstLineChars="100" w:firstLine="201"/>
              <w:jc w:val="left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GTGCTGGATTCACATAGCGCATC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3827" w:type="dxa"/>
            <w:tcBorders>
              <w:bottom w:val="nil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ACTB-qRT-F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CACCATTGGCAATGAGCGGTTC</w:t>
            </w:r>
          </w:p>
        </w:tc>
      </w:tr>
      <w:tr w:rsidR="00C9069B" w:rsidRPr="00A36B0C" w:rsidTr="00366501">
        <w:trPr>
          <w:trHeight w:val="437"/>
          <w:jc w:val="center"/>
        </w:trPr>
        <w:tc>
          <w:tcPr>
            <w:tcW w:w="382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ACTB-qRT-R</w:t>
            </w:r>
          </w:p>
        </w:tc>
        <w:tc>
          <w:tcPr>
            <w:tcW w:w="382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C9069B" w:rsidRPr="00A36B0C" w:rsidRDefault="00C9069B" w:rsidP="00366501">
            <w:pPr>
              <w:pStyle w:val="-1"/>
              <w:widowControl w:val="0"/>
              <w:spacing w:line="360" w:lineRule="auto"/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A36B0C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AGGTCTTTGCGGATGTCCACGT</w:t>
            </w:r>
          </w:p>
        </w:tc>
      </w:tr>
    </w:tbl>
    <w:p w:rsidR="00C9069B" w:rsidRPr="00A36B0C" w:rsidRDefault="00C9069B" w:rsidP="00C9069B">
      <w:pPr>
        <w:widowControl w:val="0"/>
        <w:tabs>
          <w:tab w:val="clear" w:pos="377"/>
        </w:tabs>
        <w:autoSpaceDE w:val="0"/>
        <w:autoSpaceDN w:val="0"/>
        <w:snapToGrid/>
        <w:spacing w:line="240" w:lineRule="auto"/>
        <w:rPr>
          <w:rFonts w:eastAsiaTheme="minorEastAsia"/>
          <w:sz w:val="24"/>
        </w:rPr>
      </w:pPr>
    </w:p>
    <w:p w:rsidR="006D5139" w:rsidRDefault="006D5139">
      <w:bookmarkStart w:id="1" w:name="_GoBack"/>
      <w:bookmarkEnd w:id="1"/>
    </w:p>
    <w:sectPr w:rsidR="006D5139">
      <w:footerReference w:type="default" r:id="rId17"/>
      <w:pgSz w:w="11906" w:h="16838"/>
      <w:pgMar w:top="1985" w:right="1418" w:bottom="1418" w:left="1418" w:header="1418" w:footer="567" w:gutter="0"/>
      <w:lnNumType w:countBy="1" w:restart="continuous"/>
      <w:pgNumType w:start="1"/>
      <w:cols w:space="425"/>
      <w:docGrid w:linePitch="326" w:charSpace="-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7211485"/>
      <w:docPartObj>
        <w:docPartGallery w:val="AutoText"/>
      </w:docPartObj>
    </w:sdtPr>
    <w:sdtEndPr/>
    <w:sdtContent>
      <w:p w:rsidR="00ED5A65" w:rsidRDefault="00C9069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9069B">
          <w:rPr>
            <w:noProof/>
            <w:lang w:val="zh-CN"/>
          </w:rPr>
          <w:t>10</w:t>
        </w:r>
        <w:r>
          <w:fldChar w:fldCharType="end"/>
        </w:r>
      </w:p>
    </w:sdtContent>
  </w:sdt>
  <w:p w:rsidR="00ED5A65" w:rsidRDefault="00C9069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69B"/>
    <w:rsid w:val="006D5139"/>
    <w:rsid w:val="00C9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E3CE27-FAFA-43B3-96CF-3E0EE7A7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9B"/>
    <w:pPr>
      <w:tabs>
        <w:tab w:val="left" w:pos="377"/>
      </w:tabs>
      <w:adjustRightInd w:val="0"/>
      <w:snapToGrid w:val="0"/>
      <w:spacing w:after="0" w:line="300" w:lineRule="auto"/>
    </w:pPr>
    <w:rPr>
      <w:rFonts w:ascii="Times New Roman" w:eastAsia="SimSun" w:hAnsi="Times New Roman" w:cs="Times New Roman"/>
      <w:sz w:val="21"/>
      <w:szCs w:val="24"/>
      <w:lang w:val="en-US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9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C9069B"/>
    <w:pPr>
      <w:tabs>
        <w:tab w:val="clear" w:pos="377"/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9069B"/>
    <w:rPr>
      <w:rFonts w:ascii="Times New Roman" w:eastAsia="SimSun" w:hAnsi="Times New Roman" w:cs="Times New Roman"/>
      <w:sz w:val="18"/>
      <w:szCs w:val="18"/>
      <w:lang w:val="en-US" w:eastAsia="zh-CN"/>
    </w:rPr>
  </w:style>
  <w:style w:type="character" w:styleId="Strong">
    <w:name w:val="Strong"/>
    <w:uiPriority w:val="22"/>
    <w:qFormat/>
    <w:rsid w:val="00C9069B"/>
    <w:rPr>
      <w:b/>
      <w:bCs/>
    </w:rPr>
  </w:style>
  <w:style w:type="paragraph" w:customStyle="1" w:styleId="-">
    <w:name w:val="正文-小四宋"/>
    <w:basedOn w:val="Heading7"/>
    <w:link w:val="-0"/>
    <w:qFormat/>
    <w:rsid w:val="00C9069B"/>
    <w:pPr>
      <w:spacing w:before="0" w:line="360" w:lineRule="auto"/>
      <w:ind w:firstLineChars="200" w:firstLine="200"/>
      <w:jc w:val="both"/>
      <w:outlineLvl w:val="9"/>
    </w:pPr>
    <w:rPr>
      <w:rFonts w:ascii="Times New Roman" w:eastAsia="SimSun" w:hAnsi="Times New Roman" w:cs="Times New Roman"/>
      <w:bCs/>
      <w:i w:val="0"/>
      <w:iCs w:val="0"/>
      <w:sz w:val="24"/>
    </w:rPr>
  </w:style>
  <w:style w:type="paragraph" w:customStyle="1" w:styleId="-1">
    <w:name w:val="附录-表格"/>
    <w:basedOn w:val="Normal"/>
    <w:qFormat/>
    <w:rsid w:val="00C9069B"/>
    <w:pPr>
      <w:spacing w:line="312" w:lineRule="auto"/>
      <w:jc w:val="center"/>
    </w:pPr>
  </w:style>
  <w:style w:type="character" w:customStyle="1" w:styleId="-0">
    <w:name w:val="正文-小四宋 字符"/>
    <w:basedOn w:val="Heading7Char"/>
    <w:link w:val="-"/>
    <w:qFormat/>
    <w:rsid w:val="00C9069B"/>
    <w:rPr>
      <w:rFonts w:ascii="Times New Roman" w:eastAsia="SimSun" w:hAnsi="Times New Roman" w:cs="Times New Roman"/>
      <w:bCs/>
      <w:i w:val="0"/>
      <w:iCs w:val="0"/>
      <w:color w:val="1F4D78" w:themeColor="accent1" w:themeShade="7F"/>
      <w:sz w:val="24"/>
      <w:szCs w:val="24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9B"/>
    <w:rPr>
      <w:rFonts w:asciiTheme="majorHAnsi" w:eastAsiaTheme="majorEastAsia" w:hAnsiTheme="majorHAnsi" w:cstheme="majorBidi"/>
      <w:i/>
      <w:iCs/>
      <w:color w:val="1F4D78" w:themeColor="accent1" w:themeShade="7F"/>
      <w:sz w:val="21"/>
      <w:szCs w:val="24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C90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2024-05-17T05:42:00Z</dcterms:created>
  <dcterms:modified xsi:type="dcterms:W3CDTF">2024-05-17T05:44:00Z</dcterms:modified>
</cp:coreProperties>
</file>