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CE6" w:rsidRPr="005A3DA3" w:rsidRDefault="00BF4CE6" w:rsidP="00BF4CE6">
      <w:pPr>
        <w:pStyle w:val="EndNoteBibliography"/>
        <w:snapToGrid w:val="0"/>
        <w:spacing w:line="480" w:lineRule="auto"/>
        <w:rPr>
          <w:rFonts w:ascii="Times New Roman" w:eastAsia="SimSun" w:hAnsi="Times New Roman" w:cs="Times New Roman"/>
          <w:b/>
          <w:bCs/>
          <w:sz w:val="24"/>
          <w:szCs w:val="24"/>
        </w:rPr>
      </w:pPr>
      <w:r w:rsidRPr="005A3DA3">
        <w:rPr>
          <w:rFonts w:ascii="Times New Roman" w:eastAsia="SimSun" w:hAnsi="Times New Roman" w:cs="Times New Roman"/>
          <w:b/>
          <w:bCs/>
          <w:sz w:val="24"/>
          <w:szCs w:val="24"/>
        </w:rPr>
        <w:t>Supplmental figure legend</w:t>
      </w:r>
    </w:p>
    <w:p w:rsidR="00BF4CE6" w:rsidRPr="005A3DA3" w:rsidRDefault="00BF4CE6" w:rsidP="00BF4CE6">
      <w:pPr>
        <w:pStyle w:val="EndNoteBibliography"/>
        <w:snapToGrid w:val="0"/>
        <w:spacing w:line="480" w:lineRule="auto"/>
        <w:ind w:firstLineChars="200" w:firstLine="482"/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p w:rsidR="00BF4CE6" w:rsidRPr="005A3DA3" w:rsidRDefault="00BF4CE6" w:rsidP="00BF4CE6">
      <w:pPr>
        <w:snapToGrid w:val="0"/>
        <w:spacing w:line="480" w:lineRule="auto"/>
        <w:rPr>
          <w:rFonts w:ascii="Times New Roman" w:eastAsia="SimSun" w:hAnsi="Times New Roman" w:cs="Times New Roman"/>
          <w:b/>
          <w:bCs/>
          <w:sz w:val="24"/>
          <w:szCs w:val="24"/>
        </w:rPr>
      </w:pPr>
      <w:r w:rsidRPr="005A3DA3">
        <w:rPr>
          <w:rFonts w:ascii="Times New Roman" w:hAnsi="Times New Roman" w:cs="Times New Roman"/>
          <w:b/>
          <w:bCs/>
          <w:sz w:val="24"/>
          <w:szCs w:val="24"/>
        </w:rPr>
        <w:t xml:space="preserve">Fig. S1 </w:t>
      </w:r>
      <w:r w:rsidRPr="005A3DA3">
        <w:rPr>
          <w:rFonts w:ascii="Times New Roman" w:hAnsi="Times New Roman" w:cs="Times New Roman"/>
          <w:b/>
          <w:bCs/>
          <w:i/>
          <w:sz w:val="24"/>
          <w:szCs w:val="24"/>
        </w:rPr>
        <w:t>CircARAP2</w:t>
      </w:r>
      <w:r w:rsidRPr="005A3D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A3DA3">
        <w:rPr>
          <w:rFonts w:ascii="Times New Roman" w:eastAsia="SimSun" w:hAnsi="Times New Roman" w:cs="Times New Roman"/>
          <w:b/>
          <w:bCs/>
          <w:sz w:val="24"/>
          <w:szCs w:val="24"/>
        </w:rPr>
        <w:t>in NK cells</w:t>
      </w:r>
    </w:p>
    <w:p w:rsidR="00BF4CE6" w:rsidRPr="005A3DA3" w:rsidRDefault="00BF4CE6" w:rsidP="00BF4CE6">
      <w:pPr>
        <w:snapToGrid w:val="0"/>
        <w:spacing w:line="480" w:lineRule="auto"/>
        <w:ind w:firstLineChars="200" w:firstLine="482"/>
        <w:rPr>
          <w:rFonts w:ascii="Times New Roman" w:hAnsi="Times New Roman" w:cs="Times New Roman"/>
          <w:sz w:val="24"/>
          <w:szCs w:val="24"/>
        </w:rPr>
      </w:pPr>
      <w:r w:rsidRPr="005A3DA3">
        <w:rPr>
          <w:rFonts w:ascii="Times New Roman" w:hAnsi="Times New Roman" w:cs="Times New Roman"/>
          <w:b/>
          <w:bCs/>
          <w:sz w:val="24"/>
          <w:szCs w:val="24"/>
        </w:rPr>
        <w:t xml:space="preserve">(A) </w:t>
      </w:r>
      <w:r w:rsidRPr="005A3DA3">
        <w:rPr>
          <w:rFonts w:ascii="Times New Roman" w:hAnsi="Times New Roman" w:cs="Times New Roman"/>
          <w:sz w:val="24"/>
          <w:szCs w:val="24"/>
        </w:rPr>
        <w:t xml:space="preserve">Flow cytometry analysis of NKG2D expression on NK92 cells following a 24-hour treatment with varying concentrations (0, 100, 200, 400, 800, 1000, 2000, 3000, and 4000 pg/ml) of rsMICA. </w:t>
      </w:r>
      <w:r w:rsidRPr="005A3DA3">
        <w:rPr>
          <w:rFonts w:ascii="Times New Roman" w:hAnsi="Times New Roman" w:cs="Times New Roman"/>
          <w:b/>
          <w:bCs/>
          <w:sz w:val="24"/>
          <w:szCs w:val="24"/>
        </w:rPr>
        <w:t xml:space="preserve">(B) </w:t>
      </w:r>
      <w:r w:rsidRPr="005A3DA3">
        <w:rPr>
          <w:rFonts w:ascii="Times New Roman" w:hAnsi="Times New Roman" w:cs="Times New Roman"/>
          <w:sz w:val="24"/>
          <w:szCs w:val="24"/>
        </w:rPr>
        <w:t xml:space="preserve">Immunoblot of endocytic marker proteins in NK92 cells treated with rsMICA. </w:t>
      </w:r>
      <w:r w:rsidRPr="005A3DA3">
        <w:rPr>
          <w:rFonts w:ascii="Times New Roman" w:hAnsi="Times New Roman" w:cs="Times New Roman"/>
          <w:b/>
          <w:bCs/>
          <w:sz w:val="24"/>
          <w:szCs w:val="24"/>
        </w:rPr>
        <w:t xml:space="preserve">(C) </w:t>
      </w:r>
      <w:bookmarkStart w:id="0" w:name="_Hlk157006590"/>
      <w:r w:rsidRPr="005A3DA3">
        <w:rPr>
          <w:rFonts w:ascii="Times New Roman" w:hAnsi="Times New Roman" w:cs="Times New Roman"/>
          <w:sz w:val="24"/>
          <w:szCs w:val="24"/>
        </w:rPr>
        <w:t>NKG2D in rsMICA-treated NK92 cells. NK92 cells were preincubated for 30 min in medium containing 100 μM dynasore or dimethyl sulfoxide (DMSO) at 37°C. The cells then underwent rsMICA treatment and analysis of western blot</w:t>
      </w:r>
      <w:bookmarkEnd w:id="0"/>
      <w:r w:rsidRPr="005A3DA3">
        <w:rPr>
          <w:rFonts w:ascii="Times New Roman" w:hAnsi="Times New Roman" w:cs="Times New Roman"/>
          <w:sz w:val="24"/>
          <w:szCs w:val="24"/>
        </w:rPr>
        <w:t xml:space="preserve">. </w:t>
      </w:r>
      <w:r w:rsidRPr="005A3DA3">
        <w:rPr>
          <w:rFonts w:ascii="Times New Roman" w:hAnsi="Times New Roman" w:cs="Times New Roman"/>
          <w:b/>
          <w:bCs/>
          <w:sz w:val="24"/>
          <w:szCs w:val="24"/>
        </w:rPr>
        <w:t xml:space="preserve">(D) </w:t>
      </w:r>
      <w:r w:rsidRPr="005A3DA3">
        <w:rPr>
          <w:rFonts w:ascii="Times New Roman" w:hAnsi="Times New Roman" w:cs="Times New Roman"/>
          <w:sz w:val="24"/>
          <w:szCs w:val="24"/>
        </w:rPr>
        <w:t xml:space="preserve">Primary activated NK cells undergo the same treatment and analysis as in Fig. S1C.  </w:t>
      </w:r>
      <w:r w:rsidRPr="005A3DA3">
        <w:rPr>
          <w:rFonts w:ascii="Times New Roman" w:hAnsi="Times New Roman" w:cs="Times New Roman"/>
          <w:b/>
          <w:bCs/>
          <w:sz w:val="24"/>
          <w:szCs w:val="24"/>
        </w:rPr>
        <w:t xml:space="preserve">(E) </w:t>
      </w:r>
      <w:r w:rsidRPr="005A3DA3">
        <w:rPr>
          <w:rFonts w:ascii="Times New Roman" w:hAnsi="Times New Roman" w:cs="Times New Roman"/>
          <w:sz w:val="24"/>
          <w:szCs w:val="24"/>
        </w:rPr>
        <w:t>NK92 cells were preincubated overnight in medium containing 20 mM NH</w:t>
      </w:r>
      <w:r w:rsidRPr="005A3DA3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5A3DA3">
        <w:rPr>
          <w:rFonts w:ascii="Times New Roman" w:hAnsi="Times New Roman" w:cs="Times New Roman"/>
          <w:sz w:val="24"/>
          <w:szCs w:val="24"/>
        </w:rPr>
        <w:t xml:space="preserve">CL or for 4 hours in medium containing 10 μM MG132. Afterwards, the cells were subjected to rsMICA treatment followed by western blot analysis. </w:t>
      </w:r>
      <w:r w:rsidRPr="005A3DA3">
        <w:rPr>
          <w:rFonts w:ascii="Times New Roman" w:hAnsi="Times New Roman" w:cs="Times New Roman"/>
          <w:b/>
          <w:bCs/>
          <w:sz w:val="24"/>
          <w:szCs w:val="24"/>
        </w:rPr>
        <w:t>(F)</w:t>
      </w:r>
      <w:r w:rsidRPr="005A3DA3">
        <w:rPr>
          <w:rFonts w:ascii="Times New Roman" w:hAnsi="Times New Roman" w:cs="Times New Roman"/>
          <w:sz w:val="24"/>
          <w:szCs w:val="24"/>
        </w:rPr>
        <w:t xml:space="preserve"> Primary activated NK cells undergo the same treatment and analysis as in Fig. S1E</w:t>
      </w:r>
      <w:bookmarkStart w:id="1" w:name="_Hlk142654914"/>
      <w:r w:rsidRPr="005A3DA3">
        <w:rPr>
          <w:rFonts w:ascii="Times New Roman" w:hAnsi="Times New Roman" w:cs="Times New Roman"/>
          <w:sz w:val="24"/>
          <w:szCs w:val="24"/>
        </w:rPr>
        <w:t>. For A, B, E, data are presented of three independent experiments, one-way ANOVA.</w:t>
      </w:r>
      <w:r w:rsidRPr="005A3D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A3DA3">
        <w:rPr>
          <w:rFonts w:ascii="Times New Roman" w:hAnsi="Times New Roman" w:cs="Times New Roman"/>
          <w:sz w:val="24"/>
          <w:szCs w:val="24"/>
        </w:rPr>
        <w:t>For C, D, F, data are presented of three independent experiments, two-way ANOVA.</w:t>
      </w:r>
      <w:r w:rsidRPr="005A3D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A3DA3">
        <w:rPr>
          <w:rFonts w:ascii="Times New Roman" w:hAnsi="Times New Roman" w:cs="Times New Roman"/>
          <w:sz w:val="24"/>
          <w:szCs w:val="24"/>
        </w:rPr>
        <w:t xml:space="preserve">(ns: no significance, *P &lt; 0.05, </w:t>
      </w:r>
      <w:r w:rsidRPr="005A3DA3">
        <w:rPr>
          <w:rFonts w:ascii="Times New Roman" w:eastAsia="SimSun" w:hAnsi="Times New Roman" w:cs="Times New Roman"/>
          <w:sz w:val="24"/>
          <w:szCs w:val="24"/>
        </w:rPr>
        <w:t xml:space="preserve">**P &lt; 0.01, </w:t>
      </w:r>
      <w:r w:rsidRPr="005A3DA3">
        <w:rPr>
          <w:rFonts w:ascii="Times New Roman" w:hAnsi="Times New Roman" w:cs="Times New Roman"/>
          <w:sz w:val="24"/>
          <w:szCs w:val="24"/>
        </w:rPr>
        <w:t>***P &lt; 0.001, ****P &lt; 0.0001).</w:t>
      </w:r>
      <w:r w:rsidRPr="005A3DA3">
        <w:rPr>
          <w:rFonts w:ascii="Times New Roman" w:eastAsia="SimSun" w:hAnsi="Times New Roman" w:cs="Times New Roman"/>
          <w:sz w:val="24"/>
          <w:szCs w:val="24"/>
        </w:rPr>
        <w:t xml:space="preserve"> </w:t>
      </w:r>
    </w:p>
    <w:bookmarkEnd w:id="1"/>
    <w:p w:rsidR="00BF4CE6" w:rsidRPr="005A3DA3" w:rsidRDefault="00BF4CE6" w:rsidP="00BF4CE6">
      <w:pPr>
        <w:snapToGrid w:val="0"/>
        <w:spacing w:line="480" w:lineRule="auto"/>
        <w:ind w:firstLineChars="200" w:firstLine="480"/>
        <w:rPr>
          <w:rFonts w:ascii="Times New Roman" w:eastAsia="SimSun" w:hAnsi="Times New Roman" w:cs="Times New Roman"/>
          <w:bCs/>
          <w:sz w:val="24"/>
          <w:szCs w:val="24"/>
        </w:rPr>
      </w:pPr>
    </w:p>
    <w:p w:rsidR="00BF4CE6" w:rsidRPr="005A3DA3" w:rsidRDefault="00BF4CE6" w:rsidP="00BF4CE6">
      <w:pPr>
        <w:snapToGrid w:val="0"/>
        <w:spacing w:line="480" w:lineRule="auto"/>
        <w:rPr>
          <w:rFonts w:ascii="Times New Roman" w:eastAsia="SimSun" w:hAnsi="Times New Roman" w:cs="Times New Roman"/>
          <w:b/>
          <w:bCs/>
          <w:sz w:val="24"/>
          <w:szCs w:val="24"/>
        </w:rPr>
      </w:pPr>
      <w:r w:rsidRPr="005A3DA3">
        <w:rPr>
          <w:rFonts w:ascii="Times New Roman" w:hAnsi="Times New Roman" w:cs="Times New Roman"/>
          <w:b/>
          <w:bCs/>
          <w:sz w:val="24"/>
          <w:szCs w:val="24"/>
        </w:rPr>
        <w:t xml:space="preserve">Fig. S2 Circular characteristics of </w:t>
      </w:r>
      <w:r w:rsidRPr="005A3DA3">
        <w:rPr>
          <w:rFonts w:ascii="Times New Roman" w:hAnsi="Times New Roman" w:cs="Times New Roman"/>
          <w:b/>
          <w:bCs/>
          <w:i/>
          <w:sz w:val="24"/>
          <w:szCs w:val="24"/>
        </w:rPr>
        <w:t>circARAP2</w:t>
      </w:r>
    </w:p>
    <w:p w:rsidR="00BF4CE6" w:rsidRPr="005A3DA3" w:rsidRDefault="00BF4CE6" w:rsidP="00BF4CE6">
      <w:pPr>
        <w:snapToGrid w:val="0"/>
        <w:spacing w:line="480" w:lineRule="auto"/>
        <w:ind w:firstLineChars="200" w:firstLine="482"/>
        <w:rPr>
          <w:rFonts w:ascii="Times New Roman" w:hAnsi="Times New Roman" w:cs="Times New Roman"/>
          <w:sz w:val="24"/>
          <w:szCs w:val="24"/>
        </w:rPr>
      </w:pPr>
      <w:r w:rsidRPr="005A3DA3">
        <w:rPr>
          <w:rFonts w:ascii="Times New Roman" w:hAnsi="Times New Roman" w:cs="Times New Roman"/>
          <w:b/>
          <w:bCs/>
          <w:sz w:val="24"/>
          <w:szCs w:val="24"/>
        </w:rPr>
        <w:t xml:space="preserve">(A) </w:t>
      </w:r>
      <w:r w:rsidRPr="005A3DA3">
        <w:rPr>
          <w:rFonts w:ascii="Times New Roman" w:hAnsi="Times New Roman" w:cs="Times New Roman"/>
          <w:sz w:val="24"/>
          <w:szCs w:val="24"/>
        </w:rPr>
        <w:t xml:space="preserve">For PCR amplification of </w:t>
      </w:r>
      <w:r w:rsidRPr="005A3DA3">
        <w:rPr>
          <w:rFonts w:ascii="Times New Roman" w:hAnsi="Times New Roman" w:cs="Times New Roman"/>
          <w:i/>
          <w:iCs/>
          <w:sz w:val="24"/>
          <w:szCs w:val="24"/>
        </w:rPr>
        <w:t>circARAP2</w:t>
      </w:r>
      <w:r w:rsidRPr="005A3DA3">
        <w:rPr>
          <w:rFonts w:ascii="Times New Roman" w:hAnsi="Times New Roman" w:cs="Times New Roman"/>
          <w:sz w:val="24"/>
          <w:szCs w:val="24"/>
        </w:rPr>
        <w:t xml:space="preserve"> and linear </w:t>
      </w:r>
      <w:r w:rsidRPr="005A3DA3">
        <w:rPr>
          <w:rFonts w:ascii="Times New Roman" w:hAnsi="Times New Roman" w:cs="Times New Roman"/>
          <w:i/>
          <w:iCs/>
          <w:sz w:val="24"/>
          <w:szCs w:val="24"/>
        </w:rPr>
        <w:t>ARAP2</w:t>
      </w:r>
      <w:r w:rsidRPr="005A3DA3">
        <w:rPr>
          <w:rFonts w:ascii="Times New Roman" w:hAnsi="Times New Roman" w:cs="Times New Roman"/>
          <w:sz w:val="24"/>
          <w:szCs w:val="24"/>
        </w:rPr>
        <w:t>, divergent and convergent primers were employed.</w:t>
      </w:r>
      <w:r w:rsidRPr="005A3DA3">
        <w:rPr>
          <w:rFonts w:ascii="Times New Roman" w:hAnsi="Times New Roman" w:cs="Times New Roman"/>
          <w:b/>
          <w:bCs/>
          <w:sz w:val="24"/>
          <w:szCs w:val="24"/>
        </w:rPr>
        <w:t xml:space="preserve"> (B)</w:t>
      </w:r>
      <w:r w:rsidRPr="005A3DA3">
        <w:rPr>
          <w:rFonts w:ascii="Times New Roman" w:hAnsi="Times New Roman" w:cs="Times New Roman"/>
          <w:sz w:val="24"/>
          <w:szCs w:val="24"/>
        </w:rPr>
        <w:t xml:space="preserve"> RNA extracted from NK92 cells was reverse transcribed with oligo(dT) primers or random primers. </w:t>
      </w:r>
      <w:r w:rsidRPr="005A3DA3">
        <w:rPr>
          <w:rFonts w:ascii="Times New Roman" w:hAnsi="Times New Roman" w:cs="Times New Roman"/>
          <w:i/>
          <w:sz w:val="24"/>
          <w:szCs w:val="24"/>
        </w:rPr>
        <w:t>CircARAP2</w:t>
      </w:r>
      <w:r w:rsidRPr="005A3DA3">
        <w:rPr>
          <w:rFonts w:ascii="Times New Roman" w:hAnsi="Times New Roman" w:cs="Times New Roman"/>
          <w:sz w:val="24"/>
          <w:szCs w:val="24"/>
        </w:rPr>
        <w:t xml:space="preserve"> or linear </w:t>
      </w:r>
      <w:r w:rsidRPr="005A3DA3">
        <w:rPr>
          <w:rFonts w:ascii="Times New Roman" w:hAnsi="Times New Roman" w:cs="Times New Roman"/>
          <w:i/>
          <w:sz w:val="24"/>
          <w:szCs w:val="24"/>
        </w:rPr>
        <w:t>ARAP2</w:t>
      </w:r>
      <w:r w:rsidRPr="005A3DA3">
        <w:rPr>
          <w:rFonts w:ascii="Times New Roman" w:hAnsi="Times New Roman" w:cs="Times New Roman"/>
          <w:sz w:val="24"/>
          <w:szCs w:val="24"/>
        </w:rPr>
        <w:t xml:space="preserve"> mRNA was detected by qPCR. </w:t>
      </w:r>
      <w:r w:rsidRPr="005A3DA3">
        <w:rPr>
          <w:rFonts w:ascii="Times New Roman" w:hAnsi="Times New Roman" w:cs="Times New Roman"/>
          <w:b/>
          <w:bCs/>
          <w:sz w:val="24"/>
          <w:szCs w:val="24"/>
        </w:rPr>
        <w:t xml:space="preserve">(C) </w:t>
      </w:r>
      <w:r w:rsidRPr="005A3DA3">
        <w:rPr>
          <w:rFonts w:ascii="Times New Roman" w:hAnsi="Times New Roman" w:cs="Times New Roman"/>
          <w:sz w:val="24"/>
          <w:szCs w:val="24"/>
        </w:rPr>
        <w:t>Relative levels of</w:t>
      </w:r>
      <w:r w:rsidRPr="005A3DA3">
        <w:rPr>
          <w:rFonts w:ascii="Times New Roman" w:hAnsi="Times New Roman" w:cs="Times New Roman"/>
          <w:i/>
          <w:sz w:val="24"/>
          <w:szCs w:val="24"/>
        </w:rPr>
        <w:t xml:space="preserve"> circARAP2</w:t>
      </w:r>
      <w:r w:rsidRPr="005A3DA3">
        <w:rPr>
          <w:rFonts w:ascii="Times New Roman" w:hAnsi="Times New Roman" w:cs="Times New Roman"/>
          <w:sz w:val="24"/>
          <w:szCs w:val="24"/>
        </w:rPr>
        <w:t xml:space="preserve"> and linear </w:t>
      </w:r>
      <w:r w:rsidRPr="005A3DA3">
        <w:rPr>
          <w:rFonts w:ascii="Times New Roman" w:hAnsi="Times New Roman" w:cs="Times New Roman"/>
          <w:i/>
          <w:sz w:val="24"/>
          <w:szCs w:val="24"/>
        </w:rPr>
        <w:t>ARAP2</w:t>
      </w:r>
      <w:r w:rsidRPr="005A3DA3">
        <w:rPr>
          <w:rFonts w:ascii="Times New Roman" w:hAnsi="Times New Roman" w:cs="Times New Roman"/>
          <w:sz w:val="24"/>
          <w:szCs w:val="24"/>
        </w:rPr>
        <w:t xml:space="preserve"> after treatment with RNase R. </w:t>
      </w:r>
      <w:r w:rsidRPr="005A3DA3">
        <w:rPr>
          <w:rFonts w:ascii="Times New Roman" w:hAnsi="Times New Roman" w:cs="Times New Roman"/>
          <w:b/>
          <w:bCs/>
          <w:sz w:val="24"/>
          <w:szCs w:val="24"/>
        </w:rPr>
        <w:t>(D)</w:t>
      </w:r>
      <w:r w:rsidRPr="005A3DA3">
        <w:rPr>
          <w:rFonts w:ascii="Times New Roman" w:hAnsi="Times New Roman" w:cs="Times New Roman"/>
          <w:sz w:val="24"/>
          <w:szCs w:val="24"/>
        </w:rPr>
        <w:t xml:space="preserve"> Half-lives of</w:t>
      </w:r>
      <w:r w:rsidRPr="005A3DA3">
        <w:rPr>
          <w:rFonts w:ascii="Times New Roman" w:hAnsi="Times New Roman" w:cs="Times New Roman"/>
          <w:i/>
          <w:sz w:val="24"/>
          <w:szCs w:val="24"/>
        </w:rPr>
        <w:t xml:space="preserve"> circARAP2</w:t>
      </w:r>
      <w:r w:rsidRPr="005A3DA3">
        <w:rPr>
          <w:rFonts w:ascii="Times New Roman" w:hAnsi="Times New Roman" w:cs="Times New Roman"/>
          <w:sz w:val="24"/>
          <w:szCs w:val="24"/>
        </w:rPr>
        <w:t xml:space="preserve"> and linear </w:t>
      </w:r>
      <w:r w:rsidRPr="005A3DA3">
        <w:rPr>
          <w:rFonts w:ascii="Times New Roman" w:hAnsi="Times New Roman" w:cs="Times New Roman"/>
          <w:i/>
          <w:sz w:val="24"/>
          <w:szCs w:val="24"/>
        </w:rPr>
        <w:t>ARAP2</w:t>
      </w:r>
      <w:r w:rsidRPr="005A3DA3">
        <w:rPr>
          <w:rFonts w:ascii="Times New Roman" w:hAnsi="Times New Roman" w:cs="Times New Roman"/>
          <w:sz w:val="24"/>
          <w:szCs w:val="24"/>
        </w:rPr>
        <w:t xml:space="preserve"> mRNA after treatment with actinomycin D (2 μg/ml).</w:t>
      </w:r>
      <w:r w:rsidRPr="005A3DA3">
        <w:rPr>
          <w:rFonts w:ascii="Times New Roman" w:hAnsi="Times New Roman" w:cs="Times New Roman"/>
          <w:b/>
          <w:bCs/>
          <w:sz w:val="24"/>
          <w:szCs w:val="24"/>
        </w:rPr>
        <w:t xml:space="preserve"> (E)</w:t>
      </w:r>
      <w:r w:rsidRPr="005A3DA3">
        <w:rPr>
          <w:rFonts w:ascii="Times New Roman" w:hAnsi="Times New Roman" w:cs="Times New Roman"/>
          <w:sz w:val="24"/>
          <w:szCs w:val="24"/>
        </w:rPr>
        <w:t xml:space="preserve"> The cytoplasmic and nuclear levels </w:t>
      </w:r>
      <w:r w:rsidRPr="005A3DA3">
        <w:rPr>
          <w:rFonts w:ascii="Times New Roman" w:hAnsi="Times New Roman" w:cs="Times New Roman"/>
          <w:sz w:val="24"/>
          <w:szCs w:val="24"/>
        </w:rPr>
        <w:lastRenderedPageBreak/>
        <w:t>of circ</w:t>
      </w:r>
      <w:r w:rsidRPr="005A3DA3">
        <w:rPr>
          <w:rFonts w:ascii="Times New Roman" w:hAnsi="Times New Roman" w:cs="Times New Roman"/>
          <w:i/>
          <w:iCs/>
          <w:sz w:val="24"/>
          <w:szCs w:val="24"/>
        </w:rPr>
        <w:t>ARAP2</w:t>
      </w:r>
      <w:r w:rsidRPr="005A3DA3">
        <w:rPr>
          <w:rFonts w:ascii="Times New Roman" w:eastAsia="SimSun" w:hAnsi="Times New Roman" w:cs="Times New Roman"/>
          <w:sz w:val="24"/>
          <w:szCs w:val="24"/>
        </w:rPr>
        <w:t xml:space="preserve"> in both rsMICA-treated and untreated activated NK cells</w:t>
      </w:r>
      <w:r w:rsidRPr="005A3DA3">
        <w:rPr>
          <w:rFonts w:ascii="Times New Roman" w:hAnsi="Times New Roman" w:cs="Times New Roman"/>
          <w:sz w:val="24"/>
          <w:szCs w:val="24"/>
        </w:rPr>
        <w:t xml:space="preserve">. </w:t>
      </w:r>
      <w:r w:rsidRPr="005A3DA3">
        <w:rPr>
          <w:rFonts w:ascii="Times New Roman" w:hAnsi="Times New Roman" w:cs="Times New Roman"/>
          <w:b/>
          <w:bCs/>
          <w:sz w:val="24"/>
          <w:szCs w:val="24"/>
        </w:rPr>
        <w:t xml:space="preserve">(F) </w:t>
      </w:r>
      <w:r w:rsidRPr="005A3DA3">
        <w:rPr>
          <w:rFonts w:ascii="Times New Roman" w:hAnsi="Times New Roman" w:cs="Times New Roman"/>
          <w:sz w:val="24"/>
          <w:szCs w:val="24"/>
        </w:rPr>
        <w:t>The schematic diagram showed the predicted binding site of SRSF1 on pre-</w:t>
      </w:r>
      <w:r w:rsidRPr="005A3DA3">
        <w:rPr>
          <w:rFonts w:ascii="Times New Roman" w:hAnsi="Times New Roman" w:cs="Times New Roman"/>
          <w:i/>
          <w:sz w:val="24"/>
          <w:szCs w:val="24"/>
        </w:rPr>
        <w:t>ARAP2</w:t>
      </w:r>
      <w:r w:rsidRPr="005A3DA3">
        <w:rPr>
          <w:rFonts w:ascii="Times New Roman" w:hAnsi="Times New Roman" w:cs="Times New Roman"/>
          <w:sz w:val="24"/>
          <w:szCs w:val="24"/>
        </w:rPr>
        <w:t xml:space="preserve">. </w:t>
      </w:r>
      <w:r w:rsidRPr="005A3DA3">
        <w:rPr>
          <w:rFonts w:ascii="Times New Roman" w:hAnsi="Times New Roman" w:cs="Times New Roman"/>
          <w:b/>
          <w:bCs/>
          <w:sz w:val="24"/>
          <w:szCs w:val="24"/>
        </w:rPr>
        <w:t>(G)</w:t>
      </w:r>
      <w:r w:rsidRPr="005A3DA3">
        <w:rPr>
          <w:rFonts w:ascii="Times New Roman" w:hAnsi="Times New Roman" w:cs="Times New Roman"/>
          <w:sz w:val="24"/>
          <w:szCs w:val="24"/>
        </w:rPr>
        <w:t xml:space="preserve"> After transfecting with siRNA targeting SRSF1 and control, </w:t>
      </w:r>
      <w:r w:rsidRPr="005A3DA3">
        <w:rPr>
          <w:rFonts w:ascii="Times New Roman" w:hAnsi="Times New Roman" w:cs="Times New Roman"/>
          <w:i/>
          <w:iCs/>
          <w:sz w:val="24"/>
          <w:szCs w:val="24"/>
        </w:rPr>
        <w:t>circARAP2</w:t>
      </w:r>
      <w:r w:rsidRPr="005A3DA3">
        <w:rPr>
          <w:rFonts w:ascii="Times New Roman" w:hAnsi="Times New Roman" w:cs="Times New Roman"/>
          <w:sz w:val="24"/>
          <w:szCs w:val="24"/>
        </w:rPr>
        <w:t xml:space="preserve"> and linear </w:t>
      </w:r>
      <w:r w:rsidRPr="005A3DA3">
        <w:rPr>
          <w:rFonts w:ascii="Times New Roman" w:hAnsi="Times New Roman" w:cs="Times New Roman"/>
          <w:i/>
          <w:iCs/>
          <w:sz w:val="24"/>
          <w:szCs w:val="24"/>
        </w:rPr>
        <w:t>ARAP2</w:t>
      </w:r>
      <w:r w:rsidRPr="005A3DA3">
        <w:rPr>
          <w:rFonts w:ascii="Times New Roman" w:hAnsi="Times New Roman" w:cs="Times New Roman"/>
          <w:sz w:val="24"/>
          <w:szCs w:val="24"/>
        </w:rPr>
        <w:t xml:space="preserve"> expression level was assessed by RT-qPCR. </w:t>
      </w:r>
      <w:r w:rsidRPr="005A3DA3">
        <w:rPr>
          <w:rFonts w:ascii="Times New Roman" w:eastAsia="Times New Roman" w:hAnsi="Times New Roman" w:cs="Times New Roman"/>
          <w:sz w:val="24"/>
          <w:szCs w:val="24"/>
        </w:rPr>
        <w:t xml:space="preserve">si_SRSF1_1 and _2 represent two different sets of siRNA, </w:t>
      </w:r>
      <w:r w:rsidRPr="005A3DA3">
        <w:rPr>
          <w:rFonts w:ascii="Times New Roman" w:hAnsi="Times New Roman" w:cs="Times New Roman"/>
          <w:sz w:val="24"/>
          <w:szCs w:val="24"/>
        </w:rPr>
        <w:t>data are presented of three independent experiments, one-way ANOVA</w:t>
      </w:r>
      <w:r w:rsidRPr="005A3DA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5A3DA3">
        <w:rPr>
          <w:rFonts w:ascii="Times New Roman" w:hAnsi="Times New Roman" w:cs="Times New Roman"/>
          <w:sz w:val="24"/>
          <w:szCs w:val="24"/>
        </w:rPr>
        <w:t>For B, C, D, E, data are presented of three independent experiments, two-way ANOVA.</w:t>
      </w:r>
      <w:r w:rsidRPr="005A3D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A3DA3">
        <w:rPr>
          <w:rFonts w:ascii="Times New Roman" w:hAnsi="Times New Roman" w:cs="Times New Roman"/>
          <w:sz w:val="24"/>
          <w:szCs w:val="24"/>
        </w:rPr>
        <w:t xml:space="preserve">(ns: no significance, *P &lt; 0.05, </w:t>
      </w:r>
      <w:r w:rsidRPr="005A3DA3">
        <w:rPr>
          <w:rFonts w:ascii="Times New Roman" w:eastAsia="SimSun" w:hAnsi="Times New Roman" w:cs="Times New Roman"/>
          <w:sz w:val="24"/>
          <w:szCs w:val="24"/>
        </w:rPr>
        <w:t xml:space="preserve">**P &lt; 0.01, </w:t>
      </w:r>
      <w:r w:rsidRPr="005A3DA3">
        <w:rPr>
          <w:rFonts w:ascii="Times New Roman" w:hAnsi="Times New Roman" w:cs="Times New Roman"/>
          <w:sz w:val="24"/>
          <w:szCs w:val="24"/>
        </w:rPr>
        <w:t>***P &lt; 0.001, ****P &lt; 0.0001).</w:t>
      </w:r>
      <w:r w:rsidRPr="005A3DA3">
        <w:rPr>
          <w:rFonts w:ascii="Times New Roman" w:eastAsia="SimSun" w:hAnsi="Times New Roman" w:cs="Times New Roman"/>
          <w:sz w:val="24"/>
          <w:szCs w:val="24"/>
        </w:rPr>
        <w:t xml:space="preserve"> </w:t>
      </w:r>
    </w:p>
    <w:p w:rsidR="00BF4CE6" w:rsidRPr="005A3DA3" w:rsidRDefault="00BF4CE6" w:rsidP="00BF4CE6">
      <w:pPr>
        <w:snapToGrid w:val="0"/>
        <w:spacing w:line="48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</w:p>
    <w:p w:rsidR="00BF4CE6" w:rsidRPr="005A3DA3" w:rsidRDefault="00BF4CE6" w:rsidP="00BF4CE6">
      <w:pPr>
        <w:snapToGrid w:val="0"/>
        <w:spacing w:line="480" w:lineRule="auto"/>
        <w:rPr>
          <w:rFonts w:ascii="Times New Roman" w:eastAsia="SimSun" w:hAnsi="Times New Roman" w:cs="Times New Roman"/>
          <w:b/>
          <w:bCs/>
          <w:sz w:val="24"/>
          <w:szCs w:val="24"/>
        </w:rPr>
      </w:pPr>
      <w:r w:rsidRPr="005A3DA3">
        <w:rPr>
          <w:rFonts w:ascii="Times New Roman" w:hAnsi="Times New Roman" w:cs="Times New Roman"/>
          <w:b/>
          <w:bCs/>
          <w:sz w:val="24"/>
          <w:szCs w:val="24"/>
        </w:rPr>
        <w:t>Fig. S3 CircARAP2 a</w:t>
      </w:r>
      <w:r w:rsidRPr="005A3DA3">
        <w:rPr>
          <w:rFonts w:ascii="Times New Roman" w:hAnsi="Times New Roman" w:cs="Times New Roman"/>
          <w:b/>
          <w:bCs/>
          <w:sz w:val="24"/>
          <w:szCs w:val="24"/>
        </w:rPr>
        <w:softHyphen/>
        <w:t>ffects IFN-γ, Granzyme B and CD107a expression in NK cells</w:t>
      </w:r>
    </w:p>
    <w:p w:rsidR="00BF4CE6" w:rsidRPr="005A3DA3" w:rsidRDefault="00BF4CE6" w:rsidP="00BF4CE6">
      <w:pPr>
        <w:snapToGrid w:val="0"/>
        <w:spacing w:line="480" w:lineRule="auto"/>
        <w:ind w:firstLineChars="200" w:firstLine="482"/>
        <w:rPr>
          <w:rFonts w:ascii="Times New Roman" w:hAnsi="Times New Roman" w:cs="Times New Roman"/>
          <w:sz w:val="24"/>
          <w:szCs w:val="24"/>
        </w:rPr>
      </w:pPr>
      <w:r w:rsidRPr="005A3DA3"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Pr="005A3DA3">
        <w:rPr>
          <w:rFonts w:ascii="Times New Roman" w:hAnsi="Times New Roman" w:cs="Times New Roman"/>
          <w:sz w:val="24"/>
          <w:szCs w:val="24"/>
        </w:rPr>
        <w:t xml:space="preserve"> The RT-qPCR analysis was conducted to verify the relative expression levels of</w:t>
      </w:r>
      <w:r w:rsidRPr="005A3DA3">
        <w:rPr>
          <w:rFonts w:ascii="Times New Roman" w:hAnsi="Times New Roman" w:cs="Times New Roman"/>
          <w:i/>
          <w:sz w:val="24"/>
          <w:szCs w:val="24"/>
        </w:rPr>
        <w:t xml:space="preserve"> circARAP2</w:t>
      </w:r>
      <w:r w:rsidRPr="005A3DA3">
        <w:rPr>
          <w:rFonts w:ascii="Times New Roman" w:hAnsi="Times New Roman" w:cs="Times New Roman"/>
          <w:sz w:val="24"/>
          <w:szCs w:val="24"/>
        </w:rPr>
        <w:t xml:space="preserve"> and linear </w:t>
      </w:r>
      <w:r w:rsidRPr="005A3DA3">
        <w:rPr>
          <w:rFonts w:ascii="Times New Roman" w:hAnsi="Times New Roman" w:cs="Times New Roman"/>
          <w:i/>
          <w:sz w:val="24"/>
          <w:szCs w:val="24"/>
        </w:rPr>
        <w:t>ARAP2</w:t>
      </w:r>
      <w:r w:rsidRPr="005A3DA3">
        <w:rPr>
          <w:rFonts w:ascii="Times New Roman" w:hAnsi="Times New Roman" w:cs="Times New Roman"/>
          <w:sz w:val="24"/>
          <w:szCs w:val="24"/>
        </w:rPr>
        <w:t xml:space="preserve"> in NK92 and primary activated NK cells that were stably transfected with scramble shRNA (shCtrl) and shcric</w:t>
      </w:r>
      <w:r w:rsidRPr="005A3DA3">
        <w:rPr>
          <w:rFonts w:ascii="Times New Roman" w:hAnsi="Times New Roman" w:cs="Times New Roman"/>
          <w:i/>
          <w:sz w:val="24"/>
          <w:szCs w:val="24"/>
        </w:rPr>
        <w:t>ARAP2</w:t>
      </w:r>
      <w:r w:rsidRPr="005A3DA3">
        <w:rPr>
          <w:rFonts w:ascii="Times New Roman" w:hAnsi="Times New Roman" w:cs="Times New Roman"/>
          <w:sz w:val="24"/>
          <w:szCs w:val="24"/>
        </w:rPr>
        <w:t>.</w:t>
      </w:r>
      <w:r w:rsidRPr="005A3D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A3DA3">
        <w:rPr>
          <w:rFonts w:ascii="Times New Roman" w:hAnsi="Times New Roman" w:cs="Times New Roman"/>
          <w:b/>
          <w:bCs/>
          <w:sz w:val="24"/>
          <w:szCs w:val="24"/>
        </w:rPr>
        <w:t xml:space="preserve">(B) </w:t>
      </w:r>
      <w:r w:rsidRPr="005A3DA3">
        <w:rPr>
          <w:rFonts w:ascii="Times New Roman" w:hAnsi="Times New Roman" w:cs="Times New Roman"/>
          <w:sz w:val="24"/>
          <w:szCs w:val="24"/>
        </w:rPr>
        <w:t>Immunoblot of NKG2D in NK92 cells stably transfected with shCtrl and shcric</w:t>
      </w:r>
      <w:r w:rsidRPr="005A3DA3">
        <w:rPr>
          <w:rFonts w:ascii="Times New Roman" w:hAnsi="Times New Roman" w:cs="Times New Roman"/>
          <w:i/>
          <w:sz w:val="24"/>
          <w:szCs w:val="24"/>
        </w:rPr>
        <w:t>ARAP2</w:t>
      </w:r>
      <w:r w:rsidRPr="005A3DA3">
        <w:rPr>
          <w:rFonts w:ascii="Times New Roman" w:hAnsi="Times New Roman" w:cs="Times New Roman"/>
          <w:sz w:val="24"/>
          <w:szCs w:val="24"/>
        </w:rPr>
        <w:t>, with or without rsMICA treatment.</w:t>
      </w:r>
      <w:r w:rsidRPr="005A3DA3">
        <w:rPr>
          <w:rFonts w:ascii="Times New Roman" w:hAnsi="Times New Roman" w:cs="Times New Roman"/>
          <w:b/>
          <w:bCs/>
          <w:sz w:val="24"/>
          <w:szCs w:val="24"/>
        </w:rPr>
        <w:t xml:space="preserve"> (C) </w:t>
      </w:r>
      <w:r w:rsidRPr="005A3DA3">
        <w:rPr>
          <w:rFonts w:ascii="Times New Roman" w:hAnsi="Times New Roman" w:cs="Times New Roman"/>
          <w:sz w:val="24"/>
          <w:szCs w:val="24"/>
        </w:rPr>
        <w:t>IFN-γ, Granzyme B and CD107a expression was measured in primary activated NK cells transfected with shCtrl or shcric</w:t>
      </w:r>
      <w:r w:rsidRPr="005A3DA3">
        <w:rPr>
          <w:rFonts w:ascii="Times New Roman" w:hAnsi="Times New Roman" w:cs="Times New Roman"/>
          <w:i/>
          <w:sz w:val="24"/>
          <w:szCs w:val="24"/>
        </w:rPr>
        <w:t>ARAP2</w:t>
      </w:r>
      <w:r w:rsidRPr="005A3DA3">
        <w:rPr>
          <w:rFonts w:ascii="Times New Roman" w:hAnsi="Times New Roman" w:cs="Times New Roman"/>
          <w:sz w:val="24"/>
          <w:szCs w:val="24"/>
        </w:rPr>
        <w:t>, with or without rsMICA treatment.</w:t>
      </w:r>
      <w:r w:rsidRPr="005A3DA3">
        <w:rPr>
          <w:rFonts w:ascii="Times New Roman" w:hAnsi="Times New Roman" w:cs="Times New Roman"/>
          <w:b/>
          <w:bCs/>
          <w:sz w:val="24"/>
          <w:szCs w:val="24"/>
        </w:rPr>
        <w:t xml:space="preserve"> (D) </w:t>
      </w:r>
      <w:r w:rsidRPr="005A3DA3">
        <w:rPr>
          <w:rFonts w:ascii="Times New Roman" w:hAnsi="Times New Roman" w:cs="Times New Roman"/>
          <w:sz w:val="24"/>
          <w:szCs w:val="24"/>
        </w:rPr>
        <w:t xml:space="preserve">Left panel, The concentration of soluble MICA in the supernatant of K562 cells at different culture times was measured using ELISA; Right panel, Flow cytometry analysis for NKG2D expression on NK92 cells treated with supernatant of K562 cells collected at 24, 72, and 120 hours. </w:t>
      </w:r>
      <w:r w:rsidRPr="005A3DA3">
        <w:rPr>
          <w:rFonts w:ascii="Times New Roman" w:hAnsi="Times New Roman" w:cs="Times New Roman"/>
          <w:b/>
          <w:bCs/>
          <w:sz w:val="24"/>
          <w:szCs w:val="24"/>
        </w:rPr>
        <w:t xml:space="preserve">(E) </w:t>
      </w:r>
      <w:r w:rsidRPr="005A3DA3">
        <w:rPr>
          <w:rFonts w:ascii="Times New Roman" w:hAnsi="Times New Roman" w:cs="Times New Roman"/>
          <w:sz w:val="24"/>
          <w:szCs w:val="24"/>
        </w:rPr>
        <w:t xml:space="preserve">Immunoblot of NKG2D in NK92 cells transfected with siRNA targeting </w:t>
      </w:r>
      <w:r w:rsidRPr="005A3DA3">
        <w:rPr>
          <w:rFonts w:ascii="Times New Roman" w:hAnsi="Times New Roman" w:cs="Times New Roman"/>
          <w:i/>
          <w:sz w:val="24"/>
          <w:szCs w:val="24"/>
        </w:rPr>
        <w:t>RAB5A</w:t>
      </w:r>
      <w:r w:rsidRPr="005A3DA3">
        <w:rPr>
          <w:rFonts w:ascii="Times New Roman" w:hAnsi="Times New Roman" w:cs="Times New Roman"/>
          <w:sz w:val="24"/>
          <w:szCs w:val="24"/>
        </w:rPr>
        <w:t xml:space="preserve"> and control, with or without rsMICA treatment.</w:t>
      </w:r>
      <w:r w:rsidRPr="005A3DA3">
        <w:rPr>
          <w:rFonts w:ascii="Times New Roman" w:hAnsi="Times New Roman" w:cs="Times New Roman"/>
          <w:b/>
          <w:bCs/>
          <w:sz w:val="24"/>
          <w:szCs w:val="24"/>
        </w:rPr>
        <w:t xml:space="preserve"> (F) </w:t>
      </w:r>
      <w:r w:rsidRPr="005A3DA3">
        <w:rPr>
          <w:rFonts w:ascii="Times New Roman" w:hAnsi="Times New Roman" w:cs="Times New Roman"/>
          <w:sz w:val="24"/>
          <w:szCs w:val="24"/>
        </w:rPr>
        <w:t xml:space="preserve">IFN-γ, Granzyme B and CD107a expression was measured in NK92 cells transfected with siRNA targeting </w:t>
      </w:r>
      <w:r w:rsidRPr="005A3DA3">
        <w:rPr>
          <w:rFonts w:ascii="Times New Roman" w:hAnsi="Times New Roman" w:cs="Times New Roman"/>
          <w:i/>
          <w:sz w:val="24"/>
          <w:szCs w:val="24"/>
        </w:rPr>
        <w:t>RAB5A</w:t>
      </w:r>
      <w:r w:rsidRPr="005A3DA3">
        <w:rPr>
          <w:rFonts w:ascii="Times New Roman" w:hAnsi="Times New Roman" w:cs="Times New Roman"/>
          <w:sz w:val="24"/>
          <w:szCs w:val="24"/>
        </w:rPr>
        <w:t xml:space="preserve"> and control, with or without rsMICA treatment. For A and D, data are presented of three independent experiments, one-way ANOVA.</w:t>
      </w:r>
      <w:r w:rsidRPr="005A3D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A3DA3">
        <w:rPr>
          <w:rFonts w:ascii="Times New Roman" w:hAnsi="Times New Roman" w:cs="Times New Roman"/>
          <w:sz w:val="24"/>
          <w:szCs w:val="24"/>
        </w:rPr>
        <w:t xml:space="preserve">For B, C, E, data are presented of three independent experiments, two-way ANOVA. (ns: no significance, *P &lt; 0.05, **P &lt; 0.01, ***P &lt; </w:t>
      </w:r>
      <w:r w:rsidRPr="005A3DA3">
        <w:rPr>
          <w:rFonts w:ascii="Times New Roman" w:hAnsi="Times New Roman" w:cs="Times New Roman"/>
          <w:sz w:val="24"/>
          <w:szCs w:val="24"/>
        </w:rPr>
        <w:lastRenderedPageBreak/>
        <w:t>0.001, ****P &lt; 0.0001).</w:t>
      </w:r>
    </w:p>
    <w:p w:rsidR="00BF4CE6" w:rsidRPr="005A3DA3" w:rsidRDefault="00BF4CE6" w:rsidP="00BF4CE6">
      <w:pPr>
        <w:snapToGrid w:val="0"/>
        <w:spacing w:line="480" w:lineRule="auto"/>
        <w:ind w:firstLineChars="200" w:firstLine="482"/>
        <w:rPr>
          <w:rFonts w:ascii="Times New Roman" w:hAnsi="Times New Roman" w:cs="Times New Roman"/>
          <w:b/>
          <w:bCs/>
          <w:sz w:val="24"/>
          <w:szCs w:val="24"/>
        </w:rPr>
      </w:pPr>
    </w:p>
    <w:p w:rsidR="00BF4CE6" w:rsidRPr="005A3DA3" w:rsidRDefault="00BF4CE6" w:rsidP="00BF4CE6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A3DA3">
        <w:rPr>
          <w:rFonts w:ascii="Times New Roman" w:hAnsi="Times New Roman" w:cs="Times New Roman"/>
          <w:b/>
          <w:bCs/>
          <w:sz w:val="24"/>
          <w:szCs w:val="24"/>
        </w:rPr>
        <w:t xml:space="preserve">Fig. S4 </w:t>
      </w:r>
      <w:r w:rsidRPr="005A3DA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Identification of </w:t>
      </w:r>
      <w:r w:rsidRPr="005A3DA3">
        <w:rPr>
          <w:rFonts w:ascii="Times New Roman" w:hAnsi="Times New Roman" w:cs="Times New Roman"/>
          <w:b/>
          <w:bCs/>
          <w:i/>
          <w:sz w:val="24"/>
          <w:szCs w:val="24"/>
        </w:rPr>
        <w:t>CircARAP2</w:t>
      </w:r>
      <w:r w:rsidRPr="005A3DA3">
        <w:rPr>
          <w:rFonts w:ascii="Times New Roman" w:hAnsi="Times New Roman" w:cs="Times New Roman"/>
          <w:b/>
          <w:bCs/>
          <w:iCs/>
          <w:sz w:val="24"/>
          <w:szCs w:val="24"/>
        </w:rPr>
        <w:t>-interacting factors</w:t>
      </w:r>
    </w:p>
    <w:p w:rsidR="00BF4CE6" w:rsidRPr="005A3DA3" w:rsidRDefault="00BF4CE6" w:rsidP="00BF4CE6">
      <w:pPr>
        <w:snapToGrid w:val="0"/>
        <w:spacing w:line="480" w:lineRule="auto"/>
        <w:ind w:firstLineChars="200" w:firstLine="482"/>
        <w:rPr>
          <w:rFonts w:ascii="Times New Roman" w:hAnsi="Times New Roman" w:cs="Times New Roman"/>
          <w:b/>
          <w:bCs/>
          <w:sz w:val="24"/>
          <w:szCs w:val="24"/>
        </w:rPr>
      </w:pPr>
      <w:r w:rsidRPr="005A3DA3">
        <w:rPr>
          <w:rFonts w:ascii="Times New Roman" w:hAnsi="Times New Roman" w:cs="Times New Roman"/>
          <w:b/>
          <w:bCs/>
          <w:sz w:val="24"/>
          <w:szCs w:val="24"/>
        </w:rPr>
        <w:t xml:space="preserve">(A) </w:t>
      </w:r>
      <w:r w:rsidRPr="005A3DA3">
        <w:rPr>
          <w:rFonts w:ascii="Times New Roman" w:hAnsi="Times New Roman" w:cs="Times New Roman"/>
          <w:sz w:val="24"/>
          <w:szCs w:val="24"/>
        </w:rPr>
        <w:t>Silver staining for protein products from RNA pull-down assays using</w:t>
      </w:r>
      <w:r w:rsidRPr="005A3DA3">
        <w:rPr>
          <w:rFonts w:ascii="Times New Roman" w:hAnsi="Times New Roman" w:cs="Times New Roman"/>
          <w:i/>
          <w:sz w:val="24"/>
          <w:szCs w:val="24"/>
        </w:rPr>
        <w:t xml:space="preserve"> circARAP2</w:t>
      </w:r>
      <w:r w:rsidRPr="005A3DA3">
        <w:rPr>
          <w:rFonts w:ascii="Times New Roman" w:hAnsi="Times New Roman" w:cs="Times New Roman"/>
          <w:sz w:val="24"/>
          <w:szCs w:val="24"/>
        </w:rPr>
        <w:t xml:space="preserve"> specific probes. </w:t>
      </w:r>
      <w:r w:rsidRPr="005A3DA3">
        <w:rPr>
          <w:rFonts w:ascii="Times New Roman" w:hAnsi="Times New Roman" w:cs="Times New Roman"/>
          <w:b/>
          <w:bCs/>
          <w:sz w:val="24"/>
          <w:szCs w:val="24"/>
        </w:rPr>
        <w:t xml:space="preserve">(B) </w:t>
      </w:r>
      <w:r w:rsidRPr="005A3DA3">
        <w:rPr>
          <w:rFonts w:ascii="Times New Roman" w:hAnsi="Times New Roman" w:cs="Times New Roman"/>
          <w:sz w:val="24"/>
          <w:szCs w:val="24"/>
        </w:rPr>
        <w:t>The peak map of CTCF acquired from the RNA pull-down mass spectrometry assay.</w:t>
      </w:r>
      <w:r w:rsidRPr="005A3DA3">
        <w:rPr>
          <w:rFonts w:ascii="Times New Roman" w:hAnsi="Times New Roman" w:cs="Times New Roman"/>
          <w:b/>
          <w:bCs/>
          <w:sz w:val="24"/>
          <w:szCs w:val="24"/>
        </w:rPr>
        <w:t xml:space="preserve"> (C) </w:t>
      </w:r>
      <w:r w:rsidRPr="005A3DA3">
        <w:rPr>
          <w:rFonts w:ascii="Times New Roman" w:hAnsi="Times New Roman" w:cs="Times New Roman"/>
          <w:sz w:val="24"/>
          <w:szCs w:val="24"/>
        </w:rPr>
        <w:t>The data from catRAPID platform showing potential interaction propensity and binding sites between CTCF and</w:t>
      </w:r>
      <w:r w:rsidRPr="005A3DA3">
        <w:rPr>
          <w:rFonts w:ascii="Times New Roman" w:hAnsi="Times New Roman" w:cs="Times New Roman"/>
          <w:i/>
          <w:sz w:val="24"/>
          <w:szCs w:val="24"/>
        </w:rPr>
        <w:t xml:space="preserve"> circARAP2</w:t>
      </w:r>
      <w:r w:rsidRPr="005A3DA3">
        <w:rPr>
          <w:rFonts w:ascii="Times New Roman" w:hAnsi="Times New Roman" w:cs="Times New Roman"/>
          <w:sz w:val="24"/>
          <w:szCs w:val="24"/>
        </w:rPr>
        <w:t>.</w:t>
      </w:r>
      <w:r w:rsidRPr="005A3DA3">
        <w:rPr>
          <w:rFonts w:ascii="Times New Roman" w:hAnsi="Times New Roman" w:cs="Times New Roman"/>
          <w:b/>
          <w:bCs/>
          <w:sz w:val="24"/>
          <w:szCs w:val="24"/>
        </w:rPr>
        <w:t xml:space="preserve"> (D) </w:t>
      </w:r>
      <w:r w:rsidRPr="005A3DA3">
        <w:rPr>
          <w:rFonts w:ascii="Times New Roman" w:hAnsi="Times New Roman" w:cs="Times New Roman"/>
          <w:sz w:val="24"/>
          <w:szCs w:val="24"/>
        </w:rPr>
        <w:t>Combined FISH and IF was conducted utilizing a probe against</w:t>
      </w:r>
      <w:r w:rsidRPr="005A3DA3">
        <w:rPr>
          <w:rFonts w:ascii="Times New Roman" w:hAnsi="Times New Roman" w:cs="Times New Roman"/>
          <w:i/>
          <w:sz w:val="24"/>
          <w:szCs w:val="24"/>
        </w:rPr>
        <w:t xml:space="preserve"> circARAP2</w:t>
      </w:r>
      <w:r w:rsidRPr="005A3DA3">
        <w:rPr>
          <w:rFonts w:ascii="Times New Roman" w:hAnsi="Times New Roman" w:cs="Times New Roman"/>
          <w:sz w:val="24"/>
          <w:szCs w:val="24"/>
        </w:rPr>
        <w:t xml:space="preserve"> and anti-CTCF antibody (Scale bar, 20μm).</w:t>
      </w:r>
    </w:p>
    <w:p w:rsidR="00BF4CE6" w:rsidRPr="005A3DA3" w:rsidRDefault="00BF4CE6" w:rsidP="00BF4CE6">
      <w:pPr>
        <w:snapToGrid w:val="0"/>
        <w:spacing w:line="48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</w:p>
    <w:p w:rsidR="00BF4CE6" w:rsidRPr="005A3DA3" w:rsidRDefault="00BF4CE6" w:rsidP="00BF4CE6">
      <w:pPr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A3DA3">
        <w:rPr>
          <w:rFonts w:ascii="Times New Roman" w:hAnsi="Times New Roman" w:cs="Times New Roman"/>
          <w:b/>
          <w:bCs/>
          <w:sz w:val="24"/>
          <w:szCs w:val="24"/>
        </w:rPr>
        <w:t>Fig. S5 CTCF regulates histone methylation in the RAB5A promoter</w:t>
      </w:r>
    </w:p>
    <w:p w:rsidR="00BF4CE6" w:rsidRPr="005A3DA3" w:rsidRDefault="00BF4CE6" w:rsidP="00BF4CE6">
      <w:pPr>
        <w:snapToGrid w:val="0"/>
        <w:spacing w:line="480" w:lineRule="auto"/>
        <w:ind w:firstLineChars="200" w:firstLine="482"/>
        <w:rPr>
          <w:rFonts w:ascii="Times New Roman" w:hAnsi="Times New Roman" w:cs="Times New Roman"/>
          <w:sz w:val="24"/>
          <w:szCs w:val="24"/>
        </w:rPr>
      </w:pPr>
      <w:r w:rsidRPr="005A3DA3"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Pr="005A3DA3">
        <w:rPr>
          <w:rFonts w:ascii="Times New Roman" w:hAnsi="Times New Roman" w:cs="Times New Roman"/>
          <w:sz w:val="24"/>
          <w:szCs w:val="24"/>
        </w:rPr>
        <w:t xml:space="preserve"> The recruitment of CTCF on the promoter region of </w:t>
      </w:r>
      <w:r w:rsidRPr="005A3DA3">
        <w:rPr>
          <w:rFonts w:ascii="Times New Roman" w:hAnsi="Times New Roman" w:cs="Times New Roman"/>
          <w:i/>
          <w:iCs/>
          <w:sz w:val="24"/>
          <w:szCs w:val="24"/>
        </w:rPr>
        <w:t>RAB5A</w:t>
      </w:r>
      <w:r w:rsidRPr="005A3DA3">
        <w:rPr>
          <w:rFonts w:ascii="Times New Roman" w:hAnsi="Times New Roman" w:cs="Times New Roman"/>
          <w:sz w:val="24"/>
          <w:szCs w:val="24"/>
        </w:rPr>
        <w:t xml:space="preserve"> can be observed on the UCSC Genome Browser. </w:t>
      </w:r>
      <w:r w:rsidRPr="005A3DA3">
        <w:rPr>
          <w:rFonts w:ascii="Times New Roman" w:hAnsi="Times New Roman" w:cs="Times New Roman"/>
          <w:b/>
          <w:bCs/>
          <w:sz w:val="24"/>
          <w:szCs w:val="24"/>
        </w:rPr>
        <w:t xml:space="preserve">(B) </w:t>
      </w:r>
      <w:r w:rsidRPr="005A3DA3">
        <w:rPr>
          <w:rFonts w:ascii="Times New Roman" w:hAnsi="Times New Roman" w:cs="Times New Roman"/>
          <w:sz w:val="24"/>
          <w:szCs w:val="24"/>
        </w:rPr>
        <w:t xml:space="preserve">The recruitment of H3K9me3 and H3K27me3 surrounding CTCF binding sites on the </w:t>
      </w:r>
      <w:r w:rsidRPr="005A3DA3">
        <w:rPr>
          <w:rFonts w:ascii="Times New Roman" w:hAnsi="Times New Roman" w:cs="Times New Roman"/>
          <w:i/>
          <w:sz w:val="24"/>
          <w:szCs w:val="24"/>
        </w:rPr>
        <w:t>RAB5A</w:t>
      </w:r>
      <w:r w:rsidRPr="005A3DA3">
        <w:rPr>
          <w:rFonts w:ascii="Times New Roman" w:hAnsi="Times New Roman" w:cs="Times New Roman"/>
          <w:sz w:val="24"/>
          <w:szCs w:val="24"/>
        </w:rPr>
        <w:t xml:space="preserve"> promoter can be observed on the UCSC Genome Browser. </w:t>
      </w:r>
      <w:r w:rsidRPr="005A3DA3">
        <w:rPr>
          <w:rFonts w:ascii="Times New Roman" w:hAnsi="Times New Roman" w:cs="Times New Roman"/>
          <w:b/>
          <w:bCs/>
          <w:sz w:val="24"/>
          <w:szCs w:val="24"/>
        </w:rPr>
        <w:t>(C)</w:t>
      </w:r>
      <w:r w:rsidRPr="005A3DA3">
        <w:rPr>
          <w:rFonts w:ascii="Times New Roman" w:hAnsi="Times New Roman" w:cs="Times New Roman"/>
          <w:sz w:val="24"/>
          <w:szCs w:val="24"/>
        </w:rPr>
        <w:t xml:space="preserve"> ChIP and RT-qPCR assays demonstrate alterations in the association of H3K9me3 and H3K27me3 with the </w:t>
      </w:r>
      <w:r w:rsidRPr="005A3DA3">
        <w:rPr>
          <w:rFonts w:ascii="Times New Roman" w:hAnsi="Times New Roman" w:cs="Times New Roman"/>
          <w:i/>
          <w:sz w:val="24"/>
          <w:szCs w:val="24"/>
        </w:rPr>
        <w:t>RAB5A</w:t>
      </w:r>
      <w:r w:rsidRPr="005A3DA3">
        <w:rPr>
          <w:rFonts w:ascii="Times New Roman" w:hAnsi="Times New Roman" w:cs="Times New Roman"/>
          <w:sz w:val="24"/>
          <w:szCs w:val="24"/>
        </w:rPr>
        <w:t xml:space="preserve"> promoter in NK92 cells following transfection with CTCF-targeting siRNA and a control. Data are presented of three independent experiments, two-way ANOVA.</w:t>
      </w:r>
      <w:r w:rsidRPr="005A3DA3">
        <w:rPr>
          <w:rFonts w:ascii="Times New Roman" w:hAnsi="Times New Roman" w:cs="Times New Roman"/>
          <w:b/>
          <w:bCs/>
          <w:sz w:val="24"/>
          <w:szCs w:val="24"/>
        </w:rPr>
        <w:t xml:space="preserve"> (D)</w:t>
      </w:r>
      <w:r w:rsidRPr="005A3DA3">
        <w:rPr>
          <w:rFonts w:ascii="Times New Roman" w:hAnsi="Times New Roman" w:cs="Times New Roman"/>
          <w:sz w:val="24"/>
          <w:szCs w:val="24"/>
        </w:rPr>
        <w:t xml:space="preserve"> The recruitment of EZH2 and SUZ12 surrounding CTCF b</w:t>
      </w:r>
      <w:bookmarkStart w:id="2" w:name="_GoBack"/>
      <w:bookmarkEnd w:id="2"/>
      <w:r w:rsidRPr="005A3DA3">
        <w:rPr>
          <w:rFonts w:ascii="Times New Roman" w:hAnsi="Times New Roman" w:cs="Times New Roman"/>
          <w:sz w:val="24"/>
          <w:szCs w:val="24"/>
        </w:rPr>
        <w:t xml:space="preserve">inding sites on the promoter region of </w:t>
      </w:r>
      <w:r w:rsidRPr="005A3DA3">
        <w:rPr>
          <w:rFonts w:ascii="Times New Roman" w:hAnsi="Times New Roman" w:cs="Times New Roman"/>
          <w:i/>
          <w:iCs/>
          <w:sz w:val="24"/>
          <w:szCs w:val="24"/>
        </w:rPr>
        <w:t>RAB5A</w:t>
      </w:r>
      <w:r w:rsidRPr="005A3DA3">
        <w:rPr>
          <w:rFonts w:ascii="Times New Roman" w:hAnsi="Times New Roman" w:cs="Times New Roman"/>
          <w:sz w:val="24"/>
          <w:szCs w:val="24"/>
        </w:rPr>
        <w:t xml:space="preserve"> can be observed on the UCSC Genome Browser. </w:t>
      </w:r>
      <w:r w:rsidRPr="005A3DA3">
        <w:rPr>
          <w:rFonts w:ascii="Times New Roman" w:hAnsi="Times New Roman" w:cs="Times New Roman"/>
          <w:b/>
          <w:bCs/>
          <w:sz w:val="24"/>
          <w:szCs w:val="24"/>
        </w:rPr>
        <w:t xml:space="preserve">(E) </w:t>
      </w:r>
      <w:r w:rsidRPr="005A3DA3">
        <w:rPr>
          <w:rFonts w:ascii="Times New Roman" w:hAnsi="Times New Roman" w:cs="Times New Roman"/>
          <w:sz w:val="24"/>
          <w:szCs w:val="24"/>
        </w:rPr>
        <w:t>The results of the in vitro triplex formation assay suggest that there was no detectable interaction between the RNA and DNA probes. (ns: no significance, *P &lt; 0.05, **P &lt; 0.01).</w:t>
      </w:r>
    </w:p>
    <w:p w:rsidR="00C84DC5" w:rsidRDefault="00C84DC5"/>
    <w:sectPr w:rsidR="00C84DC5" w:rsidSect="00BF4CE6">
      <w:footerReference w:type="default" r:id="rId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46415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71EA1" w:rsidRDefault="00BF4CE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71EA1" w:rsidRDefault="00BF4CE6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efaultTabStop w:val="720"/>
  <w:drawingGridHorizontalSpacing w:val="105"/>
  <w:drawingGridVerticalSpacing w:val="15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CE6"/>
    <w:rsid w:val="000008FA"/>
    <w:rsid w:val="00013DF2"/>
    <w:rsid w:val="00054C20"/>
    <w:rsid w:val="00054E18"/>
    <w:rsid w:val="00071984"/>
    <w:rsid w:val="00077F39"/>
    <w:rsid w:val="00080154"/>
    <w:rsid w:val="00086569"/>
    <w:rsid w:val="000C06F3"/>
    <w:rsid w:val="000C27A9"/>
    <w:rsid w:val="000D7B8E"/>
    <w:rsid w:val="00111210"/>
    <w:rsid w:val="00123ACD"/>
    <w:rsid w:val="00124065"/>
    <w:rsid w:val="00130C64"/>
    <w:rsid w:val="00173A85"/>
    <w:rsid w:val="001744A0"/>
    <w:rsid w:val="001829A8"/>
    <w:rsid w:val="0019193E"/>
    <w:rsid w:val="001C42EC"/>
    <w:rsid w:val="00242AE5"/>
    <w:rsid w:val="00266400"/>
    <w:rsid w:val="002672D7"/>
    <w:rsid w:val="002755FD"/>
    <w:rsid w:val="002776F3"/>
    <w:rsid w:val="00284724"/>
    <w:rsid w:val="00294186"/>
    <w:rsid w:val="002A013A"/>
    <w:rsid w:val="002B12FA"/>
    <w:rsid w:val="002C64CC"/>
    <w:rsid w:val="002D2000"/>
    <w:rsid w:val="002E4863"/>
    <w:rsid w:val="002F64B0"/>
    <w:rsid w:val="0030490D"/>
    <w:rsid w:val="00312475"/>
    <w:rsid w:val="0031417D"/>
    <w:rsid w:val="0032299F"/>
    <w:rsid w:val="00353511"/>
    <w:rsid w:val="003A644B"/>
    <w:rsid w:val="003B5752"/>
    <w:rsid w:val="003F4646"/>
    <w:rsid w:val="003F6F53"/>
    <w:rsid w:val="00424D1C"/>
    <w:rsid w:val="004445B4"/>
    <w:rsid w:val="0044570C"/>
    <w:rsid w:val="004479CE"/>
    <w:rsid w:val="00451E1F"/>
    <w:rsid w:val="00463636"/>
    <w:rsid w:val="0046736C"/>
    <w:rsid w:val="004716C2"/>
    <w:rsid w:val="00493184"/>
    <w:rsid w:val="00497093"/>
    <w:rsid w:val="004A3521"/>
    <w:rsid w:val="004B58DF"/>
    <w:rsid w:val="004E263B"/>
    <w:rsid w:val="00510C7E"/>
    <w:rsid w:val="00512023"/>
    <w:rsid w:val="00514FA6"/>
    <w:rsid w:val="00544612"/>
    <w:rsid w:val="00560CA5"/>
    <w:rsid w:val="005651E2"/>
    <w:rsid w:val="00572FCE"/>
    <w:rsid w:val="005836F2"/>
    <w:rsid w:val="005B3A52"/>
    <w:rsid w:val="005B540E"/>
    <w:rsid w:val="005C4189"/>
    <w:rsid w:val="005C630B"/>
    <w:rsid w:val="00602B4A"/>
    <w:rsid w:val="0060556B"/>
    <w:rsid w:val="006058E0"/>
    <w:rsid w:val="00605C71"/>
    <w:rsid w:val="006278AC"/>
    <w:rsid w:val="00627941"/>
    <w:rsid w:val="0063433F"/>
    <w:rsid w:val="006824DD"/>
    <w:rsid w:val="007124AF"/>
    <w:rsid w:val="00754669"/>
    <w:rsid w:val="00755819"/>
    <w:rsid w:val="00760765"/>
    <w:rsid w:val="00773DF7"/>
    <w:rsid w:val="007A56A6"/>
    <w:rsid w:val="007E731E"/>
    <w:rsid w:val="00812124"/>
    <w:rsid w:val="00844250"/>
    <w:rsid w:val="00851C6F"/>
    <w:rsid w:val="008554CE"/>
    <w:rsid w:val="00871683"/>
    <w:rsid w:val="00872816"/>
    <w:rsid w:val="00885C7F"/>
    <w:rsid w:val="0089561C"/>
    <w:rsid w:val="008B1826"/>
    <w:rsid w:val="008F2112"/>
    <w:rsid w:val="00906E84"/>
    <w:rsid w:val="00926745"/>
    <w:rsid w:val="009554CE"/>
    <w:rsid w:val="0095649F"/>
    <w:rsid w:val="009705CB"/>
    <w:rsid w:val="00983540"/>
    <w:rsid w:val="0098508E"/>
    <w:rsid w:val="00991D35"/>
    <w:rsid w:val="009B4EAA"/>
    <w:rsid w:val="009C5701"/>
    <w:rsid w:val="009E6222"/>
    <w:rsid w:val="009F22D2"/>
    <w:rsid w:val="009F5BE1"/>
    <w:rsid w:val="00A01D98"/>
    <w:rsid w:val="00A163B6"/>
    <w:rsid w:val="00A36720"/>
    <w:rsid w:val="00A572AD"/>
    <w:rsid w:val="00A63395"/>
    <w:rsid w:val="00A7384F"/>
    <w:rsid w:val="00A73A8F"/>
    <w:rsid w:val="00A812A9"/>
    <w:rsid w:val="00AB75F4"/>
    <w:rsid w:val="00AC26C6"/>
    <w:rsid w:val="00AD6206"/>
    <w:rsid w:val="00B52ACD"/>
    <w:rsid w:val="00B57DDB"/>
    <w:rsid w:val="00BA2054"/>
    <w:rsid w:val="00BD4AFC"/>
    <w:rsid w:val="00BF4CE6"/>
    <w:rsid w:val="00C171AB"/>
    <w:rsid w:val="00C2766E"/>
    <w:rsid w:val="00C315B9"/>
    <w:rsid w:val="00C4208D"/>
    <w:rsid w:val="00C84DC5"/>
    <w:rsid w:val="00C91497"/>
    <w:rsid w:val="00CD17DB"/>
    <w:rsid w:val="00D139E3"/>
    <w:rsid w:val="00D56E9C"/>
    <w:rsid w:val="00D63795"/>
    <w:rsid w:val="00D65FDD"/>
    <w:rsid w:val="00D9056D"/>
    <w:rsid w:val="00DA5DFD"/>
    <w:rsid w:val="00DB643C"/>
    <w:rsid w:val="00DF4574"/>
    <w:rsid w:val="00E02443"/>
    <w:rsid w:val="00E0692E"/>
    <w:rsid w:val="00E37266"/>
    <w:rsid w:val="00E626CA"/>
    <w:rsid w:val="00E642CD"/>
    <w:rsid w:val="00E90EE4"/>
    <w:rsid w:val="00E95A88"/>
    <w:rsid w:val="00ED518D"/>
    <w:rsid w:val="00ED6CB9"/>
    <w:rsid w:val="00ED6F5D"/>
    <w:rsid w:val="00ED748D"/>
    <w:rsid w:val="00EE4085"/>
    <w:rsid w:val="00EF1BAC"/>
    <w:rsid w:val="00F04794"/>
    <w:rsid w:val="00F42806"/>
    <w:rsid w:val="00F57B1F"/>
    <w:rsid w:val="00F666A1"/>
    <w:rsid w:val="00F85C35"/>
    <w:rsid w:val="00F967EB"/>
    <w:rsid w:val="00FA2197"/>
    <w:rsid w:val="00FB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E67261-955E-4FD2-AFFC-F648BF8E7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4CE6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F4C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F4CE6"/>
    <w:rPr>
      <w:rFonts w:eastAsiaTheme="minorEastAsia"/>
      <w:kern w:val="2"/>
      <w:sz w:val="18"/>
      <w:szCs w:val="18"/>
      <w:lang w:val="en-US" w:eastAsia="zh-CN"/>
    </w:rPr>
  </w:style>
  <w:style w:type="paragraph" w:customStyle="1" w:styleId="EndNoteBibliography">
    <w:name w:val="EndNote Bibliography"/>
    <w:basedOn w:val="Normal"/>
    <w:link w:val="EndNoteBibliography0"/>
    <w:rsid w:val="00BF4CE6"/>
    <w:rPr>
      <w:rFonts w:ascii="DengXian" w:eastAsia="DengXian" w:hAnsi="DengXian"/>
      <w:noProof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rsid w:val="00BF4CE6"/>
    <w:rPr>
      <w:rFonts w:ascii="DengXian" w:eastAsia="DengXian" w:hAnsi="DengXian"/>
      <w:noProof/>
      <w:kern w:val="2"/>
      <w:sz w:val="20"/>
      <w:lang w:val="en-US" w:eastAsia="zh-CN"/>
    </w:rPr>
  </w:style>
  <w:style w:type="character" w:styleId="LineNumber">
    <w:name w:val="line number"/>
    <w:basedOn w:val="DefaultParagraphFont"/>
    <w:uiPriority w:val="99"/>
    <w:semiHidden/>
    <w:unhideWhenUsed/>
    <w:rsid w:val="00BF4C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752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Lakshmiganthi K.</dc:creator>
  <cp:keywords/>
  <dc:description/>
  <cp:lastModifiedBy>Lakshmiganthi K.</cp:lastModifiedBy>
  <cp:revision>1</cp:revision>
  <dcterms:created xsi:type="dcterms:W3CDTF">2024-05-28T10:37:00Z</dcterms:created>
  <dcterms:modified xsi:type="dcterms:W3CDTF">2024-05-28T10:38:00Z</dcterms:modified>
</cp:coreProperties>
</file>