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82A26" w14:textId="630A2FA9" w:rsidR="00B937D0" w:rsidRDefault="00B937D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11C1EB" wp14:editId="4B0F182F">
                <wp:simplePos x="0" y="0"/>
                <wp:positionH relativeFrom="margin">
                  <wp:align>right</wp:align>
                </wp:positionH>
                <wp:positionV relativeFrom="paragraph">
                  <wp:posOffset>239786</wp:posOffset>
                </wp:positionV>
                <wp:extent cx="6173470" cy="7819390"/>
                <wp:effectExtent l="0" t="0" r="1778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3470" cy="781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0686A" w14:textId="6233DEDB" w:rsidR="00907F58" w:rsidRDefault="006A5018" w:rsidP="00E679F6">
                            <w:pPr>
                              <w:jc w:val="both"/>
                            </w:pPr>
                            <w:r w:rsidRPr="006A5018">
                              <w:rPr>
                                <w:noProof/>
                              </w:rPr>
                              <w:drawing>
                                <wp:inline distT="0" distB="0" distL="0" distR="0" wp14:anchorId="72626553" wp14:editId="583AEEF9">
                                  <wp:extent cx="5981700" cy="6932930"/>
                                  <wp:effectExtent l="0" t="0" r="0" b="1270"/>
                                  <wp:docPr id="1976192554" name="Picture 1" descr="A collage of images of different color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6192554" name="Picture 1" descr="A collage of images of different colors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0" cy="6932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07F5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Supplementary Fig 1.</w:t>
                            </w:r>
                            <w:r w:rsidR="00BB76DD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GFP does not influence FOSL1 localization. (A). A172 cells transfected with a vector tagged with Myc-DDK and the </w:t>
                            </w:r>
                            <w:r w:rsidR="0008527A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identical</w:t>
                            </w:r>
                            <w:r w:rsidR="00BB76DD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vector with GFP-tagged FOSL1 for 72 h were stained for FOSL1</w:t>
                            </w:r>
                            <w:r w:rsidR="00664F5C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  <w:r w:rsidR="00BB76DD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Magnification 40x. (B). U87 MG cells transfected with a vector tagged with Myc-DDK and the </w:t>
                            </w:r>
                            <w:r w:rsidR="0008527A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identical</w:t>
                            </w:r>
                            <w:r w:rsidR="00BB76DD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vector with GFP-tagged FOSL1 for 72 h were stained for FOSL1</w:t>
                            </w:r>
                            <w:r w:rsidR="00664F5C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  <w:r w:rsidR="00BB76DD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Magnification 40x. (C). PDX-L14 cells transfected with </w:t>
                            </w:r>
                            <w:r w:rsidR="00471526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a vector</w:t>
                            </w:r>
                            <w:r w:rsidR="00BB76DD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tagged with Myc-DDK and the </w:t>
                            </w:r>
                            <w:r w:rsidR="0008527A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identical</w:t>
                            </w:r>
                            <w:r w:rsidR="00BB76DD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vector with GFP-tagged FOSL1 for 72 h were stained for FOSL1</w:t>
                            </w:r>
                            <w:r w:rsidR="00664F5C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  <w:r w:rsidR="00BB76DD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Magnification 40x.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1C1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4.9pt;margin-top:18.9pt;width:486.1pt;height:615.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">
                <v:textbox>
                  <w:txbxContent>
                    <w:p w14:paraId="42C0686A" w14:textId="6233DEDB" w:rsidR="00907F58" w:rsidRDefault="006A5018" w:rsidP="00E679F6">
                      <w:pPr>
                        <w:jc w:val="both"/>
                      </w:pPr>
                      <w:r w:rsidRPr="006A5018">
                        <w:rPr>
                          <w:noProof/>
                        </w:rPr>
                        <w:drawing>
                          <wp:inline distT="0" distB="0" distL="0" distR="0" wp14:anchorId="72626553" wp14:editId="583AEEF9">
                            <wp:extent cx="5981700" cy="6932930"/>
                            <wp:effectExtent l="0" t="0" r="0" b="1270"/>
                            <wp:docPr id="1976192554" name="Picture 1" descr="A collage of images of different color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6192554" name="Picture 1" descr="A collage of images of different colors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81700" cy="6932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07F5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Supplementary Fig 1.</w:t>
                      </w:r>
                      <w:r w:rsidR="00BB76DD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GFP does not influence FOSL1 localization. (A). A172 cells transfected with a vector tagged with Myc-DDK and the </w:t>
                      </w:r>
                      <w:r w:rsidR="0008527A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identical</w:t>
                      </w:r>
                      <w:r w:rsidR="00BB76DD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vector with GFP-tagged FOSL1 for 72 h were stained for FOSL1</w:t>
                      </w:r>
                      <w:r w:rsidR="00664F5C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  <w:r w:rsidR="00BB76DD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Magnification 40x. (B). U87 MG cells transfected with a vector tagged with Myc-DDK and the </w:t>
                      </w:r>
                      <w:r w:rsidR="0008527A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identical</w:t>
                      </w:r>
                      <w:r w:rsidR="00BB76DD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vector with GFP-tagged FOSL1 for 72 h were stained for FOSL1</w:t>
                      </w:r>
                      <w:r w:rsidR="00664F5C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  <w:r w:rsidR="00BB76DD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Magnification 40x. (C). PDX-L14 cells transfected with </w:t>
                      </w:r>
                      <w:r w:rsidR="00471526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a vector</w:t>
                      </w:r>
                      <w:r w:rsidR="00BB76DD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tagged with Myc-DDK and the </w:t>
                      </w:r>
                      <w:r w:rsidR="0008527A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identical</w:t>
                      </w:r>
                      <w:r w:rsidR="00BB76DD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vector with GFP-tagged FOSL1 for 72 h were stained for FOSL1</w:t>
                      </w:r>
                      <w:r w:rsidR="00664F5C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  <w:r w:rsidR="00BB76DD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Magnification 40x.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3337">
        <w:t>Supplementary documents</w:t>
      </w:r>
    </w:p>
    <w:p w14:paraId="40798B57" w14:textId="4979331F" w:rsidR="00B937D0" w:rsidRDefault="00B937D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AB080C" wp14:editId="07E9E86A">
                <wp:simplePos x="0" y="0"/>
                <wp:positionH relativeFrom="column">
                  <wp:posOffset>226695</wp:posOffset>
                </wp:positionH>
                <wp:positionV relativeFrom="paragraph">
                  <wp:posOffset>0</wp:posOffset>
                </wp:positionV>
                <wp:extent cx="4973955" cy="3159760"/>
                <wp:effectExtent l="0" t="0" r="17145" b="21590"/>
                <wp:wrapSquare wrapText="bothSides"/>
                <wp:docPr id="8985897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3955" cy="315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DAC60" w14:textId="76A561AA" w:rsidR="00B937D0" w:rsidRDefault="00C741AC">
                            <w:r>
                              <w:rPr>
                                <w:noProof/>
                              </w:rPr>
                              <w:object w:dxaOrig="29520" w:dyaOrig="18000" w14:anchorId="1B69A86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" style="width:370.5pt;height:192.75pt;mso-width-percent:0;mso-height-percent:0;mso-width-percent:0;mso-height-percent:0">
                                  <v:imagedata r:id="rId7" o:title=""/>
                                </v:shape>
                                <o:OLEObject Type="Embed" ProgID="Unknown" ShapeID="_x0000_i1026" DrawAspect="Content" ObjectID="_1779017287" r:id="rId8"/>
                              </w:object>
                            </w:r>
                          </w:p>
                          <w:p w14:paraId="1941452B" w14:textId="2281E206" w:rsidR="00B937D0" w:rsidRPr="0024190D" w:rsidRDefault="00B937D0" w:rsidP="00E679F6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Supplementary Fig 2.</w:t>
                            </w:r>
                            <w:r w:rsidR="0021440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GFP does not influence FOSL1 function. Both GFP-tagged FOSL1 and Myc-DDK-tagged FOSL1, </w:t>
                            </w:r>
                            <w:r w:rsidR="00280B6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using</w:t>
                            </w:r>
                            <w:r w:rsidR="0021440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the same backbone ve</w:t>
                            </w:r>
                            <w:r w:rsidR="00664F5C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</w:t>
                            </w:r>
                            <w:r w:rsidR="0021440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tor</w:t>
                            </w:r>
                            <w:r w:rsidR="00280B6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, were transfected into glioma cells A172, U87MG, and PDX-L14. S</w:t>
                            </w:r>
                            <w:r w:rsidR="0021440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ubsequently</w:t>
                            </w:r>
                            <w:r w:rsidR="00280B6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21440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qPCR </w:t>
                            </w:r>
                            <w:r w:rsidR="00280B6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analysis </w:t>
                            </w:r>
                            <w:r w:rsidR="0021440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was performed to assess the </w:t>
                            </w:r>
                            <w:r w:rsidR="00C16789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mRNA </w:t>
                            </w:r>
                            <w:r w:rsidR="0021440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expression of FOSL1 target genes and </w:t>
                            </w:r>
                            <w:r w:rsidR="00C16789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GSC </w:t>
                            </w:r>
                            <w:r w:rsidR="0021440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marker</w:t>
                            </w:r>
                            <w:r w:rsidR="00664F5C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 w:rsidR="0021440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CD133 (A) and ALDH1 </w:t>
                            </w:r>
                            <w:r w:rsidR="00280B6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21440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B)</w:t>
                            </w:r>
                            <w:r w:rsidR="00C836EE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  <w:r w:rsidR="00396FC0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B080C" id="_x0000_s1027" type="#_x0000_t202" style="position:absolute;margin-left:17.85pt;margin-top:0;width:391.65pt;height:248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">
                <v:textbox>
                  <w:txbxContent>
                    <w:p w14:paraId="0BDDAC60" w14:textId="76A561AA" w:rsidR="00B937D0" w:rsidRDefault="00C741AC">
                      <w:r>
                        <w:rPr>
                          <w:noProof/>
                        </w:rPr>
                        <w:object w:dxaOrig="29520" w:dyaOrig="18000" w14:anchorId="1B69A867">
                          <v:shape id="_x0000_i1026" type="#_x0000_t75" alt="" style="width:370.5pt;height:192.75pt;mso-width-percent:0;mso-height-percent:0;mso-width-percent:0;mso-height-percent:0">
                            <v:imagedata r:id="rId7" o:title=""/>
                          </v:shape>
                          <o:OLEObject Type="Embed" ProgID="Unknown" ShapeID="_x0000_i1026" DrawAspect="Content" ObjectID="_1779017287" r:id="rId9"/>
                        </w:object>
                      </w:r>
                    </w:p>
                    <w:p w14:paraId="1941452B" w14:textId="2281E206" w:rsidR="00B937D0" w:rsidRPr="0024190D" w:rsidRDefault="00B937D0" w:rsidP="00E679F6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Supplementary Fig 2.</w:t>
                      </w:r>
                      <w:r w:rsidR="0021440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GFP does not influence FOSL1 function. Both GFP-tagged FOSL1 and Myc-DDK-tagged FOSL1, </w:t>
                      </w:r>
                      <w:r w:rsidR="00280B6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using</w:t>
                      </w:r>
                      <w:r w:rsidR="0021440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the same backbone ve</w:t>
                      </w:r>
                      <w:r w:rsidR="00664F5C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</w:t>
                      </w:r>
                      <w:r w:rsidR="0021440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tor</w:t>
                      </w:r>
                      <w:r w:rsidR="00280B6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, were transfected into glioma cells A172, U87MG, and PDX-L14. S</w:t>
                      </w:r>
                      <w:r w:rsidR="0021440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ubsequently</w:t>
                      </w:r>
                      <w:r w:rsidR="00280B6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="0021440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qPCR </w:t>
                      </w:r>
                      <w:r w:rsidR="00280B6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analysis </w:t>
                      </w:r>
                      <w:r w:rsidR="0021440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was performed to assess the </w:t>
                      </w:r>
                      <w:r w:rsidR="00C16789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mRNA </w:t>
                      </w:r>
                      <w:r w:rsidR="0021440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expression of FOSL1 target genes and </w:t>
                      </w:r>
                      <w:r w:rsidR="00C16789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GSC </w:t>
                      </w:r>
                      <w:r w:rsidR="0021440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marker</w:t>
                      </w:r>
                      <w:r w:rsidR="00664F5C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</w:t>
                      </w:r>
                      <w:r w:rsidR="0021440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CD133 (A) and ALDH1 </w:t>
                      </w:r>
                      <w:r w:rsidR="00280B6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21440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B)</w:t>
                      </w:r>
                      <w:r w:rsidR="00C836EE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  <w:r w:rsidR="00396FC0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0D457F22" w14:textId="77BB6A4B" w:rsidR="00681DA8" w:rsidRDefault="00BF3F9E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458B2A" wp14:editId="2C8631DE">
                <wp:simplePos x="0" y="0"/>
                <wp:positionH relativeFrom="margin">
                  <wp:posOffset>-36830</wp:posOffset>
                </wp:positionH>
                <wp:positionV relativeFrom="paragraph">
                  <wp:posOffset>343535</wp:posOffset>
                </wp:positionV>
                <wp:extent cx="6076950" cy="3913505"/>
                <wp:effectExtent l="0" t="0" r="19050" b="10795"/>
                <wp:wrapSquare wrapText="bothSides"/>
                <wp:docPr id="1602839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391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21C93" w14:textId="15AF8A84" w:rsidR="00BF3F9E" w:rsidRDefault="006D7196">
                            <w:r w:rsidRPr="006D7196">
                              <w:rPr>
                                <w:noProof/>
                              </w:rPr>
                              <w:drawing>
                                <wp:inline distT="0" distB="0" distL="0" distR="0" wp14:anchorId="175E32E4" wp14:editId="5D94C93F">
                                  <wp:extent cx="5885180" cy="2935605"/>
                                  <wp:effectExtent l="0" t="0" r="1270" b="0"/>
                                  <wp:docPr id="452397331" name="Picture 1" descr="A diagram of a dna sequenc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2397331" name="Picture 1" descr="A diagram of a dna sequence&#10;&#10;Description automatically generated with medium confid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85180" cy="2935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DDFECD" w14:textId="18480E47" w:rsidR="00BF3F9E" w:rsidRPr="0024190D" w:rsidRDefault="00BF3F9E" w:rsidP="00784798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Supplementary Fig 3.</w:t>
                            </w:r>
                            <w:r w:rsidR="00FB646F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Interplay and synergistic effects 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between STAT3 and NF-κB </w:t>
                            </w:r>
                            <w:r w:rsidR="00FB646F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on FOSL1 promoter</w:t>
                            </w:r>
                            <w:r w:rsidR="008466E7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activity</w:t>
                            </w:r>
                            <w:r w:rsidR="00FB646F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. (A)</w:t>
                            </w:r>
                            <w:r w:rsidR="0072385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Partial</w:t>
                            </w:r>
                            <w:r w:rsidR="0072385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sequence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 w:rsidR="0072385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of 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="0072385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wild-type FOSL1 promoter (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top</w:t>
                            </w:r>
                            <w:r w:rsidR="0072385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), 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the NFκB</w:t>
                            </w:r>
                            <w:r w:rsidR="0072385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binding site mutant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M2</w:t>
                            </w:r>
                            <w:r w:rsidR="0072385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(middle)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,</w:t>
                            </w:r>
                            <w:r w:rsidR="0072385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and 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="0072385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double mutant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with mutations in both the STAT3 and NF-κB binding sites</w:t>
                            </w:r>
                            <w:r w:rsidR="0072385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bottom</w:t>
                            </w:r>
                            <w:r w:rsidR="0072385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  <w:r w:rsidR="009F2BFE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For clarity and simplicity, only the sequence portion of the NF-κB binding site mutation (M2) and STAT3 binding site mutation were presented for the double mutant in Supplementary Fig 3A. 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(B) </w:t>
                            </w:r>
                            <w:r w:rsidR="007D3865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n A172, U87MG</w:t>
                            </w:r>
                            <w:r w:rsidR="00F25940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, and PDX-L14 cells,</w:t>
                            </w:r>
                            <w:r w:rsidR="00784798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the double mutant exhibited a greater inhibition of FOSL1 transcriptional activity compared to individual mutations in STAT3 and NF-κB.</w:t>
                            </w:r>
                            <w:r w:rsidR="00C836EE" w:rsidRPr="0024190D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*p&lt;0.05, **p&lt;0.01,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58B2A" id="_x0000_s1028" type="#_x0000_t202" style="position:absolute;margin-left:-2.9pt;margin-top:27.05pt;width:478.5pt;height:308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">
                <v:textbox>
                  <w:txbxContent>
                    <w:p w14:paraId="35D21C93" w14:textId="15AF8A84" w:rsidR="00BF3F9E" w:rsidRDefault="006D7196">
                      <w:r w:rsidRPr="006D7196">
                        <w:rPr>
                          <w:noProof/>
                        </w:rPr>
                        <w:drawing>
                          <wp:inline distT="0" distB="0" distL="0" distR="0" wp14:anchorId="175E32E4" wp14:editId="5D94C93F">
                            <wp:extent cx="5885180" cy="2935605"/>
                            <wp:effectExtent l="0" t="0" r="1270" b="0"/>
                            <wp:docPr id="452397331" name="Picture 1" descr="A diagram of a dna sequenc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2397331" name="Picture 1" descr="A diagram of a dna sequence&#10;&#10;Description automatically generated with medium confid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85180" cy="2935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DDFECD" w14:textId="18480E47" w:rsidR="00BF3F9E" w:rsidRPr="0024190D" w:rsidRDefault="00BF3F9E" w:rsidP="00784798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Supplementary Fig 3.</w:t>
                      </w:r>
                      <w:r w:rsidR="00FB646F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Interplay and synergistic effects 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between STAT3 and NF-κB </w:t>
                      </w:r>
                      <w:r w:rsidR="00FB646F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on FOSL1 promoter</w:t>
                      </w:r>
                      <w:r w:rsidR="008466E7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activity</w:t>
                      </w:r>
                      <w:r w:rsidR="00FB646F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. (A)</w:t>
                      </w:r>
                      <w:r w:rsidR="0072385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Partial</w:t>
                      </w:r>
                      <w:r w:rsidR="0072385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sequence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</w:t>
                      </w:r>
                      <w:r w:rsidR="0072385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of 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the </w:t>
                      </w:r>
                      <w:r w:rsidR="0072385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wild-type FOSL1 promoter (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top</w:t>
                      </w:r>
                      <w:r w:rsidR="0072385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), 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the NFκB</w:t>
                      </w:r>
                      <w:r w:rsidR="0072385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binding site mutant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M2</w:t>
                      </w:r>
                      <w:r w:rsidR="0072385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(middle)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,</w:t>
                      </w:r>
                      <w:r w:rsidR="0072385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and 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the </w:t>
                      </w:r>
                      <w:r w:rsidR="0072385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double mutant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with mutations in both the STAT3 and NF-κB binding sites</w:t>
                      </w:r>
                      <w:r w:rsidR="0072385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(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bottom</w:t>
                      </w:r>
                      <w:r w:rsidR="0072385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  <w:r w:rsidR="009F2BFE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For clarity and simplicity, only the sequence portion of the NF-κB binding site mutation (M2) and STAT3 binding site mutation were presented for the double mutant in Supplementary Fig 3A. 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(B) </w:t>
                      </w:r>
                      <w:r w:rsidR="007D3865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n A172, U87MG</w:t>
                      </w:r>
                      <w:r w:rsidR="00F25940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, and PDX-L14 cells,</w:t>
                      </w:r>
                      <w:r w:rsidR="00784798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the double mutant exhibited a greater inhibition of FOSL1 transcriptional activity compared to individual mutations in STAT3 and NF-κB.</w:t>
                      </w:r>
                      <w:r w:rsidR="00C836EE" w:rsidRPr="0024190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*p&lt;0.05, **p&lt;0.01,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81D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18570" w14:textId="77777777" w:rsidR="001F2303" w:rsidRDefault="001F2303" w:rsidP="00B93337">
      <w:pPr>
        <w:spacing w:after="0" w:line="240" w:lineRule="auto"/>
      </w:pPr>
      <w:r>
        <w:separator/>
      </w:r>
    </w:p>
  </w:endnote>
  <w:endnote w:type="continuationSeparator" w:id="0">
    <w:p w14:paraId="766D8991" w14:textId="77777777" w:rsidR="001F2303" w:rsidRDefault="001F2303" w:rsidP="00B9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861B6" w14:textId="77777777" w:rsidR="001F2303" w:rsidRDefault="001F2303" w:rsidP="00B93337">
      <w:pPr>
        <w:spacing w:after="0" w:line="240" w:lineRule="auto"/>
      </w:pPr>
      <w:r>
        <w:separator/>
      </w:r>
    </w:p>
  </w:footnote>
  <w:footnote w:type="continuationSeparator" w:id="0">
    <w:p w14:paraId="5F947F98" w14:textId="77777777" w:rsidR="001F2303" w:rsidRDefault="001F2303" w:rsidP="00B933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F58"/>
    <w:rsid w:val="0008527A"/>
    <w:rsid w:val="00091971"/>
    <w:rsid w:val="001F2303"/>
    <w:rsid w:val="00211E69"/>
    <w:rsid w:val="00214405"/>
    <w:rsid w:val="00220A1C"/>
    <w:rsid w:val="0024190D"/>
    <w:rsid w:val="00280B65"/>
    <w:rsid w:val="00315695"/>
    <w:rsid w:val="00396FC0"/>
    <w:rsid w:val="003A6406"/>
    <w:rsid w:val="003F0ACD"/>
    <w:rsid w:val="00471526"/>
    <w:rsid w:val="004926A6"/>
    <w:rsid w:val="00601430"/>
    <w:rsid w:val="0062721D"/>
    <w:rsid w:val="00664F5C"/>
    <w:rsid w:val="00681DA8"/>
    <w:rsid w:val="006A5018"/>
    <w:rsid w:val="006D7196"/>
    <w:rsid w:val="006D740F"/>
    <w:rsid w:val="00723858"/>
    <w:rsid w:val="00784798"/>
    <w:rsid w:val="007D039E"/>
    <w:rsid w:val="007D3865"/>
    <w:rsid w:val="008466E7"/>
    <w:rsid w:val="008902F9"/>
    <w:rsid w:val="008B6837"/>
    <w:rsid w:val="00907F58"/>
    <w:rsid w:val="009C3D13"/>
    <w:rsid w:val="009F2BFE"/>
    <w:rsid w:val="00A771E8"/>
    <w:rsid w:val="00AB6265"/>
    <w:rsid w:val="00B93337"/>
    <w:rsid w:val="00B937D0"/>
    <w:rsid w:val="00BB76DD"/>
    <w:rsid w:val="00BF3F9E"/>
    <w:rsid w:val="00C16789"/>
    <w:rsid w:val="00C17465"/>
    <w:rsid w:val="00C741AC"/>
    <w:rsid w:val="00C836EE"/>
    <w:rsid w:val="00CD108A"/>
    <w:rsid w:val="00D055D1"/>
    <w:rsid w:val="00D621C7"/>
    <w:rsid w:val="00D933BD"/>
    <w:rsid w:val="00DB5803"/>
    <w:rsid w:val="00E679F6"/>
    <w:rsid w:val="00EF44F7"/>
    <w:rsid w:val="00F047BA"/>
    <w:rsid w:val="00F052D8"/>
    <w:rsid w:val="00F25940"/>
    <w:rsid w:val="00FB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48FE0D"/>
  <w15:chartTrackingRefBased/>
  <w15:docId w15:val="{3CFC0D83-E5B1-423C-932E-45258675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F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F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F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F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F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F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F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F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F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F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F5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64F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3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337"/>
  </w:style>
  <w:style w:type="paragraph" w:styleId="Footer">
    <w:name w:val="footer"/>
    <w:basedOn w:val="Normal"/>
    <w:link w:val="FooterChar"/>
    <w:uiPriority w:val="99"/>
    <w:unhideWhenUsed/>
    <w:rsid w:val="00B93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Mingli</dc:creator>
  <cp:keywords/>
  <dc:description/>
  <cp:lastModifiedBy>Bhuwaneshwari Mahadeo Bawne</cp:lastModifiedBy>
  <cp:revision>12</cp:revision>
  <dcterms:created xsi:type="dcterms:W3CDTF">2024-04-14T03:05:00Z</dcterms:created>
  <dcterms:modified xsi:type="dcterms:W3CDTF">2024-06-04T09:12:00Z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4a8e9c44439e7f25f0c83bb8aca101293065da965548e675bc4b52124c66b9d7</vt:lpwstr>
  </property>
</Properties>
</file>