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drawing>
          <wp:inline distT="0" distB="0" distL="0" distR="0">
            <wp:extent cx="5274310" cy="3569970"/>
            <wp:effectExtent l="0" t="0" r="8890" b="11430"/>
            <wp:docPr id="42207396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207396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69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5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both"/>
        <w:textAlignment w:val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Figure S1. The depletion of lactate leads to the failure of ZGA</w:t>
      </w:r>
    </w:p>
    <w:p>
      <w:pPr>
        <w:pStyle w:val="5"/>
        <w:keepNext w:val="0"/>
        <w:keepLines w:val="0"/>
        <w:pageBreakBefore w:val="0"/>
        <w:numPr>
          <w:ilvl w:val="0"/>
          <w:numId w:val="1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both"/>
        <w:textAlignment w:val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The correlation coefficient among the duplicates for zygotes, the +L group, and the -L group.</w:t>
      </w:r>
    </w:p>
    <w:p>
      <w:pPr>
        <w:pStyle w:val="5"/>
        <w:keepNext w:val="0"/>
        <w:keepLines w:val="0"/>
        <w:pageBreakBefore w:val="0"/>
        <w:numPr>
          <w:ilvl w:val="0"/>
          <w:numId w:val="1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both"/>
        <w:textAlignment w:val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color w:val="000000"/>
        </w:rPr>
        <w:t>Expression patterns of mouse zygotic genomes during the zygote-2cell transition derived from the +L and -L groups. Each light blue line represents the expression levels of an individual gene, while the red and green lines depict the median expression levels of the +L and -L groups, respectively.</w:t>
      </w:r>
    </w:p>
    <w:p>
      <w:pPr>
        <w:pStyle w:val="5"/>
        <w:keepNext w:val="0"/>
        <w:keepLines w:val="0"/>
        <w:pageBreakBefore w:val="0"/>
        <w:numPr>
          <w:ilvl w:val="0"/>
          <w:numId w:val="1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both"/>
        <w:textAlignment w:val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color w:val="000000"/>
        </w:rPr>
        <w:t>Degradation patterns of mouse maternal transcripts during the zygote-2cell transition derived from +L group and -L group. Each light blue line represents the expression levels of an individual gene, and the red, green lines represent the median expression levels of +L group and -L group, respectively.</w:t>
      </w:r>
    </w:p>
    <w:p>
      <w:pPr>
        <w:pStyle w:val="5"/>
        <w:keepNext w:val="0"/>
        <w:keepLines w:val="0"/>
        <w:pageBreakBefore w:val="0"/>
        <w:numPr>
          <w:ilvl w:val="0"/>
          <w:numId w:val="1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both"/>
        <w:textAlignment w:val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Venn diagrams showing the overlap between </w:t>
      </w:r>
      <w:r>
        <w:rPr>
          <w:rFonts w:ascii="Times New Roman" w:hAnsi="Times New Roman" w:cs="Times New Roman"/>
          <w:szCs w:val="21"/>
        </w:rPr>
        <w:t>ZGA genes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Cs w:val="21"/>
        </w:rPr>
        <w:t>published by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Cs w:val="21"/>
        </w:rPr>
        <w:t>Ken-ichiro Abe et al.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Cs w:val="21"/>
        </w:rPr>
        <w:fldChar w:fldCharType="begin">
          <w:fldData xml:space="preserve">PEVuZE5vdGU+PENpdGU+PEF1dGhvcj5BYmU8L0F1dGhvcj48WWVhcj4yMDE4PC9ZZWFyPjxSZWNO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</w:fldData>
        </w:fldChar>
      </w:r>
      <w:r>
        <w:rPr>
          <w:rFonts w:ascii="Times New Roman" w:hAnsi="Times New Roman" w:cs="Times New Roman"/>
          <w:szCs w:val="21"/>
        </w:rPr>
        <w:instrText xml:space="preserve"> ADDIN EN.CITE </w:instrText>
      </w:r>
      <w:r>
        <w:rPr>
          <w:rFonts w:ascii="Times New Roman" w:hAnsi="Times New Roman" w:cs="Times New Roman"/>
          <w:szCs w:val="21"/>
        </w:rPr>
        <w:fldChar w:fldCharType="begin">
          <w:fldData xml:space="preserve">PEVuZE5vdGU+PENpdGU+PEF1dGhvcj5BYmU8L0F1dGhvcj48WWVhcj4yMDE4PC9ZZWFyPjxSZWNO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</w:fldData>
        </w:fldChar>
      </w:r>
      <w:r>
        <w:rPr>
          <w:rFonts w:ascii="Times New Roman" w:hAnsi="Times New Roman" w:cs="Times New Roman"/>
          <w:szCs w:val="21"/>
        </w:rPr>
        <w:instrText xml:space="preserve"> ADDIN EN.CITE.DATA </w:instrText>
      </w:r>
      <w:r>
        <w:rPr>
          <w:rFonts w:ascii="Times New Roman" w:hAnsi="Times New Roman" w:cs="Times New Roman"/>
          <w:szCs w:val="21"/>
        </w:rPr>
        <w:fldChar w:fldCharType="end"/>
      </w:r>
      <w:r>
        <w:rPr>
          <w:rFonts w:ascii="Times New Roman" w:hAnsi="Times New Roman" w:cs="Times New Roman"/>
          <w:szCs w:val="21"/>
        </w:rPr>
        <w:fldChar w:fldCharType="separate"/>
      </w:r>
      <w:r>
        <w:rPr>
          <w:rFonts w:ascii="Times New Roman" w:hAnsi="Times New Roman" w:cs="Times New Roman"/>
          <w:szCs w:val="21"/>
          <w:vertAlign w:val="superscript"/>
        </w:rPr>
        <w:t>30</w:t>
      </w:r>
      <w:r>
        <w:rPr>
          <w:rFonts w:ascii="Times New Roman" w:hAnsi="Times New Roman" w:cs="Times New Roman"/>
          <w:szCs w:val="21"/>
        </w:rPr>
        <w:fldChar w:fldCharType="end"/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/>
        </w:rPr>
        <w:t>and transcripts meeting the criteria (fold change [+L/zygote] &gt; 3 &amp; fold change [+L/-L] in late 2-cell &gt; 3).</w:t>
      </w:r>
    </w:p>
    <w:p>
      <w:pPr>
        <w:pStyle w:val="5"/>
        <w:keepNext w:val="0"/>
        <w:keepLines w:val="0"/>
        <w:pageBreakBefore w:val="0"/>
        <w:numPr>
          <w:ilvl w:val="0"/>
          <w:numId w:val="1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both"/>
        <w:textAlignment w:val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Venn diagrams showing the overlap between </w:t>
      </w:r>
      <w:r>
        <w:rPr>
          <w:rFonts w:ascii="Times New Roman" w:hAnsi="Times New Roman" w:cs="Times New Roman"/>
          <w:szCs w:val="21"/>
        </w:rPr>
        <w:t>maternal decay genes published by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Cs w:val="21"/>
        </w:rPr>
        <w:t>Ken-ichiro Abe et al.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Cs w:val="21"/>
        </w:rPr>
        <w:fldChar w:fldCharType="begin">
          <w:fldData xml:space="preserve">PEVuZE5vdGU+PENpdGU+PEF1dGhvcj5BYmU8L0F1dGhvcj48WWVhcj4yMDE4PC9ZZWFyPjxSZWNO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</w:fldData>
        </w:fldChar>
      </w:r>
      <w:r>
        <w:rPr>
          <w:rFonts w:ascii="Times New Roman" w:hAnsi="Times New Roman" w:cs="Times New Roman"/>
          <w:szCs w:val="21"/>
        </w:rPr>
        <w:instrText xml:space="preserve"> ADDIN EN.CITE </w:instrText>
      </w:r>
      <w:r>
        <w:rPr>
          <w:rFonts w:ascii="Times New Roman" w:hAnsi="Times New Roman" w:cs="Times New Roman"/>
          <w:szCs w:val="21"/>
        </w:rPr>
        <w:fldChar w:fldCharType="begin">
          <w:fldData xml:space="preserve">PEVuZE5vdGU+PENpdGU+PEF1dGhvcj5BYmU8L0F1dGhvcj48WWVhcj4yMDE4PC9ZZWFyPjxSZWNO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</w:fldData>
        </w:fldChar>
      </w:r>
      <w:r>
        <w:rPr>
          <w:rFonts w:ascii="Times New Roman" w:hAnsi="Times New Roman" w:cs="Times New Roman"/>
          <w:szCs w:val="21"/>
        </w:rPr>
        <w:instrText xml:space="preserve"> ADDIN EN.CITE.DATA </w:instrText>
      </w:r>
      <w:r>
        <w:rPr>
          <w:rFonts w:ascii="Times New Roman" w:hAnsi="Times New Roman" w:cs="Times New Roman"/>
          <w:szCs w:val="21"/>
        </w:rPr>
        <w:fldChar w:fldCharType="end"/>
      </w:r>
      <w:r>
        <w:rPr>
          <w:rFonts w:ascii="Times New Roman" w:hAnsi="Times New Roman" w:cs="Times New Roman"/>
          <w:szCs w:val="21"/>
        </w:rPr>
        <w:fldChar w:fldCharType="separate"/>
      </w:r>
      <w:r>
        <w:rPr>
          <w:rFonts w:ascii="Times New Roman" w:hAnsi="Times New Roman" w:cs="Times New Roman"/>
          <w:szCs w:val="21"/>
          <w:vertAlign w:val="superscript"/>
        </w:rPr>
        <w:t>30</w:t>
      </w:r>
      <w:r>
        <w:rPr>
          <w:rFonts w:ascii="Times New Roman" w:hAnsi="Times New Roman" w:cs="Times New Roman"/>
          <w:szCs w:val="21"/>
        </w:rPr>
        <w:fldChar w:fldCharType="end"/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/>
        </w:rPr>
        <w:t xml:space="preserve">and transcripts meeting the criteria (fold change [zygote/+L] &gt; 3 &amp; fold change [-L/+L] in late 2-cell &gt; 3). </w:t>
      </w:r>
      <w:r>
        <w:rPr>
          <w:rFonts w:ascii="Times New Roman" w:hAnsi="Times New Roman" w:cs="Times New Roman"/>
        </w:rPr>
        <w:br w:type="page"/>
      </w:r>
    </w:p>
    <w:p>
      <w:pPr>
        <w:pStyle w:val="5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both"/>
        <w:textAlignment w:val="auto"/>
      </w:pPr>
      <w:r>
        <w:drawing>
          <wp:inline distT="0" distB="0" distL="114300" distR="114300">
            <wp:extent cx="4235450" cy="5969000"/>
            <wp:effectExtent l="0" t="0" r="6350" b="0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235450" cy="596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6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30" w:afterAutospacing="0" w:line="240" w:lineRule="auto"/>
        <w:textAlignment w:val="auto"/>
        <w:rPr>
          <w:rFonts w:ascii="Times New Roman" w:hAnsi="Times New Roman" w:cs="Times New Roman" w:eastAsiaTheme="minorEastAsia"/>
          <w:b/>
          <w:bCs/>
          <w:kern w:val="2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>
        <w:rPr>
          <w:rFonts w:hint="eastAsia" w:ascii="Times New Roman" w:hAnsi="Times New Roman" w:cs="Times New Roman"/>
          <w:b/>
          <w:bCs/>
          <w:sz w:val="24"/>
          <w:szCs w:val="24"/>
        </w:rPr>
        <w:t>S2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 w:eastAsiaTheme="minorEastAsia"/>
          <w:b/>
          <w:bCs/>
          <w:kern w:val="2"/>
          <w:sz w:val="24"/>
          <w:szCs w:val="24"/>
        </w:rPr>
        <w:t>T</w:t>
      </w:r>
      <w:r>
        <w:rPr>
          <w:rFonts w:hint="eastAsia" w:ascii="Times New Roman" w:hAnsi="Times New Roman" w:cs="Times New Roman" w:eastAsiaTheme="minorEastAsia"/>
          <w:b/>
          <w:bCs/>
          <w:kern w:val="2"/>
          <w:sz w:val="24"/>
          <w:szCs w:val="24"/>
        </w:rPr>
        <w:t>he</w:t>
      </w:r>
      <w:r>
        <w:rPr>
          <w:rFonts w:ascii="Times New Roman" w:hAnsi="Times New Roman" w:cs="Times New Roman" w:eastAsiaTheme="minorEastAsia"/>
          <w:b/>
          <w:bCs/>
          <w:kern w:val="2"/>
          <w:sz w:val="24"/>
          <w:szCs w:val="24"/>
        </w:rPr>
        <w:t xml:space="preserve"> </w:t>
      </w:r>
      <w:r>
        <w:rPr>
          <w:rFonts w:hint="eastAsia" w:ascii="Times New Roman" w:hAnsi="Times New Roman" w:cs="Times New Roman" w:eastAsiaTheme="minorEastAsia"/>
          <w:b/>
          <w:bCs/>
          <w:kern w:val="2"/>
          <w:sz w:val="24"/>
          <w:szCs w:val="24"/>
        </w:rPr>
        <w:t>histone</w:t>
      </w:r>
      <w:r>
        <w:rPr>
          <w:rFonts w:ascii="Times New Roman" w:hAnsi="Times New Roman" w:cs="Times New Roman" w:eastAsiaTheme="minorEastAsia"/>
          <w:b/>
          <w:bCs/>
          <w:kern w:val="2"/>
          <w:sz w:val="24"/>
          <w:szCs w:val="24"/>
        </w:rPr>
        <w:t xml:space="preserve"> </w:t>
      </w:r>
      <w:r>
        <w:rPr>
          <w:rFonts w:hint="eastAsia" w:ascii="Times New Roman" w:hAnsi="Times New Roman" w:cs="Times New Roman" w:eastAsiaTheme="minorEastAsia"/>
          <w:b/>
          <w:bCs/>
          <w:kern w:val="2"/>
          <w:sz w:val="24"/>
          <w:szCs w:val="24"/>
        </w:rPr>
        <w:t>lactylation</w:t>
      </w:r>
      <w:r>
        <w:rPr>
          <w:rFonts w:ascii="Times New Roman" w:hAnsi="Times New Roman" w:cs="Times New Roman" w:eastAsiaTheme="minorEastAsia"/>
          <w:b/>
          <w:bCs/>
          <w:kern w:val="2"/>
          <w:sz w:val="24"/>
          <w:szCs w:val="24"/>
        </w:rPr>
        <w:t xml:space="preserve"> </w:t>
      </w:r>
      <w:r>
        <w:rPr>
          <w:rFonts w:hint="eastAsia" w:ascii="Times New Roman" w:hAnsi="Times New Roman" w:cs="Times New Roman" w:eastAsiaTheme="minorEastAsia"/>
          <w:b/>
          <w:bCs/>
          <w:kern w:val="2"/>
          <w:sz w:val="24"/>
          <w:szCs w:val="24"/>
        </w:rPr>
        <w:t>is</w:t>
      </w:r>
      <w:r>
        <w:rPr>
          <w:rFonts w:ascii="Times New Roman" w:hAnsi="Times New Roman" w:cs="Times New Roman" w:eastAsiaTheme="minorEastAsia"/>
          <w:b/>
          <w:bCs/>
          <w:kern w:val="2"/>
          <w:sz w:val="24"/>
          <w:szCs w:val="24"/>
        </w:rPr>
        <w:t xml:space="preserve"> responsible </w:t>
      </w:r>
      <w:r>
        <w:rPr>
          <w:rFonts w:hint="eastAsia" w:ascii="Times New Roman" w:hAnsi="Times New Roman" w:cs="Times New Roman" w:eastAsiaTheme="minorEastAsia"/>
          <w:b/>
          <w:bCs/>
          <w:kern w:val="2"/>
          <w:sz w:val="24"/>
          <w:szCs w:val="24"/>
        </w:rPr>
        <w:t>f</w:t>
      </w:r>
      <w:r>
        <w:rPr>
          <w:rFonts w:ascii="Times New Roman" w:hAnsi="Times New Roman" w:cs="Times New Roman" w:eastAsiaTheme="minorEastAsia"/>
          <w:b/>
          <w:bCs/>
          <w:kern w:val="2"/>
          <w:sz w:val="24"/>
          <w:szCs w:val="24"/>
        </w:rPr>
        <w:t>or the ZGA failure.</w:t>
      </w:r>
    </w:p>
    <w:p>
      <w:pPr>
        <w:pStyle w:val="5"/>
        <w:keepNext w:val="0"/>
        <w:keepLines w:val="0"/>
        <w:pageBreakBefore w:val="0"/>
        <w:numPr>
          <w:ilvl w:val="0"/>
          <w:numId w:val="2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both"/>
        <w:textAlignment w:val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Scatterplot correlation depicting CUT &amp; Tag replicates (rep1 and rep2) in two groups, with and without sodium lactate.</w:t>
      </w:r>
    </w:p>
    <w:p>
      <w:pPr>
        <w:pStyle w:val="5"/>
        <w:keepNext w:val="0"/>
        <w:keepLines w:val="0"/>
        <w:pageBreakBefore w:val="0"/>
        <w:numPr>
          <w:ilvl w:val="0"/>
          <w:numId w:val="2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both"/>
        <w:textAlignment w:val="auto"/>
        <w:rPr>
          <w:rFonts w:ascii="Times New Roman" w:hAnsi="Times New Roman" w:eastAsia="AdvOTa293a443" w:cs="Times New Roman"/>
          <w:color w:val="000000"/>
          <w:lang w:bidi="ar"/>
        </w:rPr>
      </w:pPr>
      <w:r>
        <w:rPr>
          <w:rFonts w:ascii="Times New Roman" w:hAnsi="Times New Roman" w:cs="Times New Roman"/>
        </w:rPr>
        <w:t>A snapshot from the genome browser displaying the enrichment of H3K18la in the replicates of the two groups, with and without sodium lactate.</w:t>
      </w:r>
    </w:p>
    <w:p>
      <w:pPr>
        <w:pStyle w:val="5"/>
        <w:keepNext w:val="0"/>
        <w:keepLines w:val="0"/>
        <w:pageBreakBefore w:val="0"/>
        <w:numPr>
          <w:ilvl w:val="0"/>
          <w:numId w:val="2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both"/>
        <w:textAlignment w:val="auto"/>
        <w:rPr>
          <w:rFonts w:ascii="Times New Roman" w:hAnsi="Times New Roman" w:eastAsia="AdvOTa293a443" w:cs="Times New Roman"/>
          <w:color w:val="000000"/>
          <w:lang w:bidi="ar"/>
        </w:rPr>
      </w:pPr>
      <w:r>
        <w:rPr>
          <w:rFonts w:ascii="Times New Roman" w:hAnsi="Times New Roman" w:cs="Times New Roman"/>
        </w:rPr>
        <w:t>A pie chart illustrating the distribution of H3K18la signals in the genome.</w:t>
      </w:r>
    </w:p>
    <w:p>
      <w:pPr>
        <w:pStyle w:val="5"/>
        <w:keepNext w:val="0"/>
        <w:keepLines w:val="0"/>
        <w:pageBreakBefore w:val="0"/>
        <w:numPr>
          <w:ilvl w:val="0"/>
          <w:numId w:val="2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both"/>
        <w:textAlignment w:val="auto"/>
        <w:rPr>
          <w:rFonts w:ascii="Times New Roman" w:hAnsi="Times New Roman" w:eastAsia="AdvOTa293a443" w:cs="Times New Roman"/>
          <w:color w:val="000000"/>
          <w:lang w:bidi="ar"/>
        </w:rPr>
      </w:pPr>
      <w:r>
        <w:rPr>
          <w:rFonts w:ascii="Times New Roman" w:hAnsi="Times New Roman" w:cs="Times New Roman"/>
        </w:rPr>
        <w:t>Metaplot of H3K18la signals (Z-score normalized), presenting the average H3K18la enrichment along gene bodies and 5 kilobases (kb) upstream/ downstream of gene bodies categorized by high, mid, and low expression level in 2-cell embryos sorted by RPKM.</w:t>
      </w:r>
    </w:p>
    <w:p>
      <w:pPr>
        <w:pStyle w:val="5"/>
        <w:keepNext w:val="0"/>
        <w:keepLines w:val="0"/>
        <w:pageBreakBefore w:val="0"/>
        <w:numPr>
          <w:ilvl w:val="0"/>
          <w:numId w:val="2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both"/>
        <w:textAlignment w:val="auto"/>
        <w:rPr>
          <w:rFonts w:ascii="Times New Roman" w:hAnsi="Times New Roman" w:eastAsia="AdvOTa293a443" w:cs="Times New Roman"/>
          <w:color w:val="000000"/>
          <w:lang w:bidi="ar"/>
        </w:rPr>
      </w:pPr>
      <w:r>
        <w:rPr>
          <w:rFonts w:ascii="Times New Roman" w:hAnsi="Times New Roman" w:cs="Times New Roman"/>
        </w:rPr>
        <w:t>A volcano diagram displaying differential genes corresponding to the signals detected by the H3K18la CUT &amp; Tag in the +L and -L groups.</w:t>
      </w:r>
    </w:p>
    <w:p>
      <w:pPr>
        <w:pStyle w:val="5"/>
        <w:keepNext w:val="0"/>
        <w:keepLines w:val="0"/>
        <w:pageBreakBefore w:val="0"/>
        <w:numPr>
          <w:ilvl w:val="0"/>
          <w:numId w:val="2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both"/>
        <w:textAlignment w:val="auto"/>
        <w:rPr>
          <w:rFonts w:ascii="Times New Roman" w:hAnsi="Times New Roman" w:eastAsia="Myriad Pro Light" w:cs="Times New Roman"/>
          <w:color w:val="000000"/>
          <w:lang w:bidi="ar"/>
        </w:rPr>
      </w:pPr>
      <w:r>
        <w:rPr>
          <w:rFonts w:hint="eastAsia" w:ascii="Times New Roman" w:hAnsi="Times New Roman" w:cs="Times New Roman"/>
        </w:rPr>
        <w:t xml:space="preserve">Gene Ontology (GO) enrichment </w:t>
      </w:r>
      <w:r>
        <w:rPr>
          <w:rFonts w:ascii="Times New Roman" w:hAnsi="Times New Roman" w:cs="Times New Roman"/>
        </w:rPr>
        <w:t xml:space="preserve">analysis </w:t>
      </w:r>
      <w:r>
        <w:rPr>
          <w:rFonts w:hint="eastAsia" w:ascii="Times New Roman" w:hAnsi="Times New Roman" w:cs="Times New Roman"/>
        </w:rPr>
        <w:t xml:space="preserve">for the down regulated genes in </w:t>
      </w:r>
      <w:r>
        <w:rPr>
          <w:rFonts w:ascii="Times New Roman" w:hAnsi="Times New Roman" w:cs="Times New Roman"/>
        </w:rPr>
        <w:t>(</w:t>
      </w:r>
      <w:r>
        <w:rPr>
          <w:rFonts w:hint="eastAsia"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>)</w:t>
      </w:r>
      <w:r>
        <w:rPr>
          <w:rFonts w:hint="eastAsia" w:ascii="Times New Roman" w:hAnsi="Times New Roman" w:cs="Times New Roman"/>
        </w:rPr>
        <w:t>.</w:t>
      </w:r>
    </w:p>
    <w:p>
      <w:pPr>
        <w:pStyle w:val="5"/>
        <w:keepNext w:val="0"/>
        <w:keepLines w:val="0"/>
        <w:pageBreakBefore w:val="0"/>
        <w:numPr>
          <w:ilvl w:val="0"/>
          <w:numId w:val="2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both"/>
        <w:textAlignment w:val="auto"/>
        <w:rPr>
          <w:rFonts w:ascii="Times New Roman" w:hAnsi="Times New Roman" w:eastAsia="Myriad Pro Light" w:cs="Times New Roman"/>
          <w:color w:val="000000"/>
          <w:lang w:bidi="ar"/>
        </w:rPr>
      </w:pPr>
      <w:r>
        <w:rPr>
          <w:rFonts w:ascii="Times New Roman" w:hAnsi="Times New Roman" w:cs="Times New Roman"/>
          <w:color w:val="000000"/>
        </w:rPr>
        <w:t>Heatmap illustrating the enrichment of H3K18la signals in the gene bodies of maternal decay genes, Polycomb Group (PcG) genes, and Zygotic Genome Activation (ZGA) genes between the +L and -L groups. Refer to Zhang Yi et al. for the gene list</w:t>
      </w:r>
      <w:r>
        <w:rPr>
          <w:rFonts w:ascii="Times New Roman" w:hAnsi="Times New Roman" w:cs="Times New Roman"/>
          <w:color w:val="000000"/>
        </w:rPr>
        <w:fldChar w:fldCharType="begin"/>
      </w:r>
      <w:r>
        <w:rPr>
          <w:rFonts w:ascii="Times New Roman" w:hAnsi="Times New Roman" w:cs="Times New Roman"/>
          <w:color w:val="000000"/>
        </w:rPr>
        <w:instrText xml:space="preserve"> ADDIN EN.CITE &lt;EndNote&gt;&lt;Cite&gt;&lt;Author&gt;Wang&lt;/Author&gt;&lt;Year&gt;2022&lt;/Year&gt;&lt;RecNum&gt;3363&lt;/RecNum&gt;&lt;DisplayText&gt;&lt;style face="superscript"&gt;29&lt;/style&gt;&lt;/DisplayText&gt;&lt;record&gt;&lt;rec-number&gt;3363&lt;/rec-number&gt;&lt;foreign-keys&gt;&lt;key app="EN" db-id="aes5p9d2tzae5fe5efuv5fe7ex0vaapexdrs" timestamp="1668567267"&gt;3363&lt;/key&gt;&lt;key app="ENWeb" db-id=""&gt;0&lt;/key&gt;&lt;/foreign-keys&gt;&lt;ref-type name="Journal Article"&gt;17&lt;/ref-type&gt;&lt;contributors&gt;&lt;authors&gt;&lt;author&gt;Wang, Meng&lt;/author&gt;&lt;author&gt;Chen, Zhiyuan&lt;/author&gt;&lt;author&gt;Zhang, Yi&lt;/author&gt;&lt;/authors&gt;&lt;/contributors&gt;&lt;titles&gt;&lt;title&gt;CBPp300 andHDAC activities regulate H3K27 acetylation dynamics and zygotic genome activation in mouse preimplantation embryos&lt;/title&gt;&lt;secondary-title&gt;The EMBO Journal&lt;/secondary-title&gt;&lt;/titles&gt;&lt;periodical&gt;&lt;full-title&gt;The EMBO Jour</w:instrText>
      </w:r>
      <w:r>
        <w:rPr>
          <w:rFonts w:hint="eastAsia" w:ascii="Times New Roman" w:hAnsi="Times New Roman" w:cs="Times New Roman"/>
          <w:color w:val="000000"/>
        </w:rPr>
        <w:instrText xml:space="preserve">nal&lt;/full-title&gt;&lt;/periodical&gt;&lt;pages&gt;e112012&lt;/pages&gt;&lt;dates&gt;&lt;year&gt;2022&lt;/year&gt;&lt;/dates&gt;&lt;isbn&gt;0261-4189&amp;#xD;1460-2075&lt;/isbn&gt;&lt;label&gt;&lt;style face="normal" font="default" charset="134" size="100%"&gt;张毅&lt;/style&gt;&lt;style face="normal" font="default" size="100%"&gt;H3K27AC&lt;/style&gt;&lt;style face="normal" font="default" charset="134" size="100%"&gt;提示&lt;/style&gt;&lt;style face="normal" font="default" size="100%"&gt;nr5a2&lt;/style&gt;&lt;style face="normal" font="default" charset="134" size="100%"&gt;可能是先驱因子&lt;/style&gt;&lt;/label&gt;&lt;urls&gt;&lt;/urls&gt;&lt;electronic-resour</w:instrText>
      </w:r>
      <w:r>
        <w:rPr>
          <w:rFonts w:ascii="Times New Roman" w:hAnsi="Times New Roman" w:cs="Times New Roman"/>
          <w:color w:val="000000"/>
        </w:rPr>
        <w:instrText xml:space="preserve">ce-num&gt;10.15252/embj.2022112012&lt;/electronic-resource-num&gt;&lt;/record&gt;&lt;/Cite&gt;&lt;/EndNote&gt;</w:instrText>
      </w:r>
      <w:r>
        <w:rPr>
          <w:rFonts w:ascii="Times New Roman" w:hAnsi="Times New Roman" w:cs="Times New Roman"/>
          <w:color w:val="000000"/>
        </w:rPr>
        <w:fldChar w:fldCharType="separate"/>
      </w:r>
      <w:r>
        <w:rPr>
          <w:rFonts w:ascii="Times New Roman" w:hAnsi="Times New Roman" w:cs="Times New Roman"/>
          <w:color w:val="000000"/>
          <w:vertAlign w:val="superscript"/>
        </w:rPr>
        <w:t>29</w:t>
      </w:r>
      <w:r>
        <w:rPr>
          <w:rFonts w:ascii="Times New Roman" w:hAnsi="Times New Roman" w:cs="Times New Roman"/>
          <w:color w:val="000000"/>
        </w:rPr>
        <w:fldChar w:fldCharType="end"/>
      </w:r>
      <w:r>
        <w:rPr>
          <w:rFonts w:hint="eastAsia" w:ascii="Times New Roman" w:hAnsi="Times New Roman" w:cs="Times New Roman"/>
          <w:color w:val="000000"/>
        </w:rPr>
        <w:t>.</w:t>
      </w:r>
      <w:r>
        <w:rPr>
          <w:rFonts w:ascii="Times New Roman" w:hAnsi="Times New Roman" w:cs="Times New Roman"/>
          <w:color w:val="000000"/>
        </w:rPr>
        <w:t xml:space="preserve"> Average plots demonstrate the enrichment of H3K18la signals in the +L compared with -L group.</w:t>
      </w:r>
    </w:p>
    <w:p>
      <w:pPr>
        <w:pStyle w:val="5"/>
        <w:keepNext w:val="0"/>
        <w:keepLines w:val="0"/>
        <w:pageBreakBefore w:val="0"/>
        <w:numPr>
          <w:ilvl w:val="0"/>
          <w:numId w:val="2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both"/>
        <w:textAlignment w:val="auto"/>
        <w:rPr>
          <w:rFonts w:ascii="Times New Roman" w:hAnsi="Times New Roman" w:eastAsia="Myriad Pro Light" w:cs="Times New Roman"/>
          <w:color w:val="000000"/>
          <w:lang w:bidi="ar"/>
        </w:rPr>
      </w:pPr>
      <w:r>
        <w:rPr>
          <w:rFonts w:ascii="Times New Roman" w:hAnsi="Times New Roman" w:cs="Times New Roman"/>
          <w:color w:val="000000"/>
        </w:rPr>
        <w:t>Heatmap showing the enrichment of H3K18la signals in the promoters of maternal decay genes, PcG genes, and ZGA genes between the +L and -L groups. Refer to Zhang Yi et al. for the gene list</w:t>
      </w:r>
      <w:r>
        <w:rPr>
          <w:rFonts w:ascii="Times New Roman" w:hAnsi="Times New Roman" w:cs="Times New Roman"/>
          <w:color w:val="000000"/>
        </w:rPr>
        <w:fldChar w:fldCharType="begin"/>
      </w:r>
      <w:r>
        <w:rPr>
          <w:rFonts w:ascii="Times New Roman" w:hAnsi="Times New Roman" w:cs="Times New Roman"/>
          <w:color w:val="000000"/>
        </w:rPr>
        <w:instrText xml:space="preserve"> ADDIN EN.CITE &lt;EndNote&gt;&lt;Cite&gt;&lt;Author&gt;Wang&lt;/Author&gt;&lt;Year&gt;2022&lt;/Year&gt;&lt;RecNum&gt;3363&lt;/RecNum&gt;&lt;DisplayText&gt;&lt;style face="superscript"&gt;29&lt;/style&gt;&lt;/DisplayText&gt;&lt;record&gt;&lt;rec-number&gt;3363&lt;/rec-number&gt;&lt;foreign-keys&gt;&lt;key app="EN" db-id="aes5p9d2tzae5fe5efuv5fe7ex0vaapexdrs" timestamp="1668567267"&gt;3363&lt;/key&gt;&lt;key app="ENWeb" db-id=""&gt;0&lt;/key&gt;&lt;/foreign-keys&gt;&lt;ref-type name="Journal Article"&gt;17&lt;/ref-type&gt;&lt;contributors&gt;&lt;authors&gt;&lt;author&gt;Wang, Meng&lt;/author&gt;&lt;author&gt;Chen, Zhiyuan&lt;/author&gt;&lt;author&gt;Zhang, Yi&lt;/author&gt;&lt;/authors&gt;&lt;/contributors&gt;&lt;titles&gt;&lt;title&gt;CBPp300 andHDAC activities regulate H3K27 acetylation dynamics and zygotic genome activation in mouse preimplantation embryos&lt;/title&gt;&lt;secondary-title&gt;The EMBO Journal&lt;/secondary-title&gt;&lt;/titles&gt;&lt;periodical&gt;&lt;full-title&gt;The EMBO Jour</w:instrText>
      </w:r>
      <w:r>
        <w:rPr>
          <w:rFonts w:hint="eastAsia" w:ascii="Times New Roman" w:hAnsi="Times New Roman" w:cs="Times New Roman"/>
          <w:color w:val="000000"/>
        </w:rPr>
        <w:instrText xml:space="preserve">nal&lt;/full-title&gt;&lt;/periodical&gt;&lt;pages&gt;e112012&lt;/pages&gt;&lt;dates&gt;&lt;year&gt;2022&lt;/year&gt;&lt;/dates&gt;&lt;isbn&gt;0261-4189&amp;#xD;1460-2075&lt;/isbn&gt;&lt;label&gt;&lt;style face="normal" font="default" charset="134" size="100%"&gt;张毅&lt;/style&gt;&lt;style face="normal" font="default" size="100%"&gt;H3K27AC&lt;/style&gt;&lt;style face="normal" font="default" charset="134" size="100%"&gt;提示&lt;/style&gt;&lt;style face="normal" font="default" size="100%"&gt;nr5a2&lt;/style&gt;&lt;style face="normal" font="default" charset="134" size="100%"&gt;可能是先驱因子&lt;/style&gt;&lt;/label&gt;&lt;urls&gt;&lt;/urls&gt;&lt;electronic-resour</w:instrText>
      </w:r>
      <w:r>
        <w:rPr>
          <w:rFonts w:ascii="Times New Roman" w:hAnsi="Times New Roman" w:cs="Times New Roman"/>
          <w:color w:val="000000"/>
        </w:rPr>
        <w:instrText xml:space="preserve">ce-num&gt;10.15252/embj.2022112012&lt;/electronic-resource-num&gt;&lt;/record&gt;&lt;/Cite&gt;&lt;/EndNote&gt;</w:instrText>
      </w:r>
      <w:r>
        <w:rPr>
          <w:rFonts w:ascii="Times New Roman" w:hAnsi="Times New Roman" w:cs="Times New Roman"/>
          <w:color w:val="000000"/>
        </w:rPr>
        <w:fldChar w:fldCharType="separate"/>
      </w:r>
      <w:r>
        <w:rPr>
          <w:rFonts w:ascii="Times New Roman" w:hAnsi="Times New Roman" w:cs="Times New Roman"/>
          <w:color w:val="000000"/>
          <w:vertAlign w:val="superscript"/>
        </w:rPr>
        <w:t>29</w:t>
      </w:r>
      <w:r>
        <w:rPr>
          <w:rFonts w:ascii="Times New Roman" w:hAnsi="Times New Roman" w:cs="Times New Roman"/>
          <w:color w:val="000000"/>
        </w:rPr>
        <w:fldChar w:fldCharType="end"/>
      </w:r>
      <w:r>
        <w:rPr>
          <w:rFonts w:hint="eastAsia" w:ascii="Times New Roman" w:hAnsi="Times New Roman" w:cs="Times New Roman"/>
          <w:color w:val="000000"/>
        </w:rPr>
        <w:t xml:space="preserve">. </w:t>
      </w:r>
      <w:r>
        <w:rPr>
          <w:rFonts w:ascii="Times New Roman" w:hAnsi="Times New Roman" w:cs="Times New Roman"/>
          <w:color w:val="000000"/>
        </w:rPr>
        <w:t>Average plots exhibit the enrichment of H3K18la signals in the +L compared with -L group.</w:t>
      </w:r>
    </w:p>
    <w:p>
      <w:pPr>
        <w:pStyle w:val="5"/>
        <w:keepNext w:val="0"/>
        <w:keepLines w:val="0"/>
        <w:pageBreakBefore w:val="0"/>
        <w:numPr>
          <w:ilvl w:val="0"/>
          <w:numId w:val="2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both"/>
        <w:textAlignment w:val="auto"/>
      </w:pPr>
      <w:r>
        <w:rPr>
          <w:rFonts w:ascii="Times New Roman" w:hAnsi="Times New Roman" w:cs="Times New Roman"/>
          <w:color w:val="000000"/>
          <w:lang w:bidi="ar"/>
        </w:rPr>
        <w:t>Representative IGV snapshots illustrating the enrichment of H3K18la signal in both +L and -L groups.</w:t>
      </w:r>
    </w:p>
    <w:p>
      <w:r>
        <w:rPr>
          <w:rFonts w:ascii="Times New Roman" w:hAnsi="Times New Roman" w:cs="Times New Roman"/>
          <w:color w:val="000000"/>
          <w:lang w:bidi="ar"/>
        </w:rPr>
        <w:br w:type="page"/>
      </w:r>
    </w:p>
    <w:p>
      <w:pPr>
        <w:pStyle w:val="5"/>
        <w:keepNext w:val="0"/>
        <w:keepLines w:val="0"/>
        <w:pageBreakBefore w:val="0"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Chars="0"/>
        <w:jc w:val="both"/>
        <w:textAlignment w:val="auto"/>
      </w:pPr>
      <w:r>
        <w:drawing>
          <wp:inline distT="0" distB="0" distL="114300" distR="114300">
            <wp:extent cx="3749040" cy="4997450"/>
            <wp:effectExtent l="0" t="0" r="10160" b="635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749040" cy="499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keepNext w:val="0"/>
        <w:keepLines w:val="0"/>
        <w:pageBreakBefore w:val="0"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Chars="0"/>
        <w:jc w:val="both"/>
        <w:textAlignment w:val="auto"/>
        <w:rPr>
          <w:color w:val="auto"/>
        </w:rPr>
      </w:pPr>
      <w:bookmarkStart w:id="3" w:name="_GoBack"/>
      <w:r>
        <w:rPr>
          <w:rFonts w:hint="eastAsia" w:ascii="Times New Roman" w:hAnsi="Times New Roman" w:cs="Times New Roman"/>
          <w:b/>
          <w:bCs/>
          <w:color w:val="auto"/>
          <w:szCs w:val="21"/>
        </w:rPr>
        <w:t xml:space="preserve">Figure </w:t>
      </w:r>
      <w:r>
        <w:rPr>
          <w:rFonts w:ascii="Times New Roman" w:hAnsi="Times New Roman" w:cs="Times New Roman"/>
          <w:b/>
          <w:bCs/>
          <w:color w:val="auto"/>
          <w:szCs w:val="21"/>
        </w:rPr>
        <w:t>S</w:t>
      </w:r>
      <w:r>
        <w:rPr>
          <w:rFonts w:hint="eastAsia" w:ascii="Times New Roman" w:hAnsi="Times New Roman" w:cs="Times New Roman"/>
          <w:b/>
          <w:bCs/>
          <w:color w:val="auto"/>
          <w:szCs w:val="21"/>
          <w:lang w:val="en-US" w:eastAsia="zh-CN"/>
        </w:rPr>
        <w:t>3</w:t>
      </w:r>
      <w:r>
        <w:rPr>
          <w:rFonts w:hint="eastAsia" w:ascii="Times New Roman" w:hAnsi="Times New Roman" w:cs="Times New Roman"/>
          <w:b/>
          <w:bCs/>
          <w:color w:val="auto"/>
          <w:szCs w:val="21"/>
        </w:rPr>
        <w:t>.</w:t>
      </w:r>
      <w:r>
        <w:rPr>
          <w:rFonts w:hint="eastAsia" w:ascii="Times New Roman" w:hAnsi="Times New Roman" w:cs="Times New Roman"/>
          <w:b/>
          <w:bCs/>
          <w:color w:val="auto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/>
          <w:bCs/>
          <w:color w:val="auto"/>
          <w:szCs w:val="21"/>
        </w:rPr>
        <w:t>There were no significant differences in histone acetylation modifications at the three sites in 2-cell embryos between the sodium lactate-treated and untreated groups.</w:t>
      </w:r>
    </w:p>
    <w:p>
      <w:pPr>
        <w:pStyle w:val="5"/>
        <w:keepNext w:val="0"/>
        <w:keepLines w:val="0"/>
        <w:pageBreakBefore w:val="0"/>
        <w:numPr>
          <w:ilvl w:val="0"/>
          <w:numId w:val="3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both"/>
        <w:textAlignment w:val="auto"/>
        <w:rPr>
          <w:rFonts w:ascii="Times New Roman" w:hAnsi="Times New Roman" w:cs="Times New Roman"/>
          <w:color w:val="auto"/>
          <w:lang w:bidi="ar"/>
        </w:rPr>
      </w:pPr>
      <w:bookmarkStart w:id="0" w:name="OLE_LINK1"/>
      <w:r>
        <w:rPr>
          <w:rFonts w:ascii="Times New Roman" w:hAnsi="Times New Roman" w:cs="Times New Roman"/>
          <w:color w:val="auto"/>
          <w:lang w:bidi="ar"/>
        </w:rPr>
        <w:t xml:space="preserve">Images of embryos immunostained with antibodies against </w:t>
      </w:r>
      <w:r>
        <w:rPr>
          <w:rFonts w:hint="eastAsia" w:ascii="Times New Roman" w:hAnsi="Times New Roman" w:cs="Times New Roman"/>
          <w:color w:val="auto"/>
          <w:lang w:bidi="ar"/>
        </w:rPr>
        <w:t>H3K9ac</w:t>
      </w:r>
      <w:r>
        <w:rPr>
          <w:rFonts w:ascii="Times New Roman" w:hAnsi="Times New Roman" w:cs="Times New Roman"/>
          <w:color w:val="auto"/>
          <w:lang w:bidi="ar"/>
        </w:rPr>
        <w:t xml:space="preserve"> </w:t>
      </w:r>
      <w:bookmarkStart w:id="1" w:name="OLE_LINK2"/>
      <w:r>
        <w:rPr>
          <w:rFonts w:hint="eastAsia" w:ascii="Times New Roman" w:hAnsi="Times New Roman" w:cs="Times New Roman"/>
          <w:color w:val="auto"/>
          <w:lang w:val="en-US" w:eastAsia="zh-CN" w:bidi="ar"/>
        </w:rPr>
        <w:t>in the</w:t>
      </w:r>
      <w:r>
        <w:rPr>
          <w:rFonts w:ascii="Times New Roman" w:hAnsi="Times New Roman" w:cs="Times New Roman"/>
          <w:color w:val="auto"/>
          <w:lang w:bidi="ar"/>
        </w:rPr>
        <w:t xml:space="preserve"> +L and -L group</w:t>
      </w:r>
      <w:r>
        <w:rPr>
          <w:rFonts w:hint="eastAsia" w:ascii="Times New Roman" w:hAnsi="Times New Roman" w:cs="Times New Roman"/>
          <w:color w:val="auto"/>
          <w:lang w:val="en-US" w:eastAsia="zh-CN" w:bidi="ar"/>
        </w:rPr>
        <w:t>s</w:t>
      </w:r>
      <w:bookmarkEnd w:id="1"/>
      <w:r>
        <w:rPr>
          <w:rFonts w:ascii="Times New Roman" w:hAnsi="Times New Roman" w:cs="Times New Roman"/>
          <w:color w:val="auto"/>
          <w:lang w:bidi="ar"/>
        </w:rPr>
        <w:t>. Scale bar:</w:t>
      </w:r>
      <w:r>
        <w:rPr>
          <w:rFonts w:hint="eastAsia" w:ascii="Times New Roman" w:hAnsi="Times New Roman" w:cs="Times New Roman"/>
          <w:color w:val="auto"/>
          <w:lang w:val="en-US" w:eastAsia="zh-CN" w:bidi="ar"/>
        </w:rPr>
        <w:t xml:space="preserve"> </w:t>
      </w:r>
      <w:r>
        <w:rPr>
          <w:rFonts w:ascii="Times New Roman" w:hAnsi="Times New Roman" w:cs="Times New Roman"/>
          <w:color w:val="auto"/>
          <w:lang w:bidi="ar"/>
        </w:rPr>
        <w:t>20μm.</w:t>
      </w:r>
    </w:p>
    <w:p>
      <w:pPr>
        <w:pStyle w:val="5"/>
        <w:keepNext w:val="0"/>
        <w:keepLines w:val="0"/>
        <w:pageBreakBefore w:val="0"/>
        <w:numPr>
          <w:ilvl w:val="0"/>
          <w:numId w:val="3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both"/>
        <w:textAlignment w:val="auto"/>
        <w:rPr>
          <w:rFonts w:ascii="Times New Roman" w:hAnsi="Times New Roman" w:cs="Times New Roman"/>
          <w:color w:val="auto"/>
          <w:lang w:bidi="ar"/>
        </w:rPr>
      </w:pPr>
      <w:r>
        <w:rPr>
          <w:rFonts w:ascii="Times New Roman" w:hAnsi="Times New Roman" w:cs="Times New Roman"/>
          <w:color w:val="auto"/>
          <w:lang w:bidi="ar"/>
        </w:rPr>
        <w:t xml:space="preserve">Bar plot showing the </w:t>
      </w:r>
      <w:r>
        <w:rPr>
          <w:rFonts w:hint="eastAsia" w:ascii="Times New Roman" w:hAnsi="Times New Roman" w:cs="Times New Roman"/>
          <w:color w:val="auto"/>
          <w:lang w:bidi="ar"/>
        </w:rPr>
        <w:t>H3K9ac</w:t>
      </w:r>
      <w:r>
        <w:rPr>
          <w:rFonts w:ascii="Times New Roman" w:hAnsi="Times New Roman" w:cs="Times New Roman"/>
          <w:color w:val="auto"/>
          <w:lang w:bidi="ar"/>
        </w:rPr>
        <w:t xml:space="preserve"> fluorescent intensity of </w:t>
      </w:r>
      <w:r>
        <w:rPr>
          <w:rFonts w:hint="eastAsia" w:ascii="Times New Roman" w:hAnsi="Times New Roman" w:cs="Times New Roman"/>
          <w:color w:val="auto"/>
          <w:lang w:bidi="ar"/>
        </w:rPr>
        <w:t>2</w:t>
      </w:r>
      <w:r>
        <w:rPr>
          <w:rFonts w:ascii="Times New Roman" w:hAnsi="Times New Roman" w:cs="Times New Roman"/>
          <w:color w:val="auto"/>
          <w:lang w:bidi="ar"/>
        </w:rPr>
        <w:t xml:space="preserve">-cell embryos derived from </w:t>
      </w:r>
      <w:r>
        <w:rPr>
          <w:rFonts w:hint="eastAsia" w:ascii="Times New Roman" w:hAnsi="Times New Roman" w:cs="Times New Roman"/>
          <w:color w:val="auto"/>
          <w:lang w:val="en-US" w:eastAsia="zh-CN" w:bidi="ar"/>
        </w:rPr>
        <w:t xml:space="preserve">the </w:t>
      </w:r>
      <w:r>
        <w:rPr>
          <w:rFonts w:ascii="Times New Roman" w:hAnsi="Times New Roman" w:cs="Times New Roman"/>
          <w:color w:val="auto"/>
          <w:lang w:bidi="ar"/>
        </w:rPr>
        <w:t>+L and -L group</w:t>
      </w:r>
      <w:r>
        <w:rPr>
          <w:rFonts w:hint="eastAsia" w:ascii="Times New Roman" w:hAnsi="Times New Roman" w:cs="Times New Roman"/>
          <w:color w:val="auto"/>
          <w:lang w:val="en-US" w:eastAsia="zh-CN" w:bidi="ar"/>
        </w:rPr>
        <w:t>s</w:t>
      </w:r>
      <w:r>
        <w:rPr>
          <w:rFonts w:ascii="Times New Roman" w:hAnsi="Times New Roman" w:cs="Times New Roman"/>
          <w:color w:val="auto"/>
          <w:lang w:bidi="ar"/>
        </w:rPr>
        <w:t xml:space="preserve">. </w:t>
      </w:r>
      <w:r>
        <w:rPr>
          <w:rFonts w:hint="eastAsia" w:ascii="Times New Roman" w:hAnsi="Times New Roman" w:cs="Times New Roman"/>
          <w:color w:val="auto"/>
          <w:lang w:bidi="ar"/>
        </w:rPr>
        <w:t>ns: no significant.</w:t>
      </w:r>
    </w:p>
    <w:bookmarkEnd w:id="0"/>
    <w:p>
      <w:pPr>
        <w:pStyle w:val="5"/>
        <w:keepNext w:val="0"/>
        <w:keepLines w:val="0"/>
        <w:pageBreakBefore w:val="0"/>
        <w:numPr>
          <w:ilvl w:val="0"/>
          <w:numId w:val="3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both"/>
        <w:textAlignment w:val="auto"/>
        <w:rPr>
          <w:rFonts w:ascii="Times New Roman" w:hAnsi="Times New Roman" w:cs="Times New Roman"/>
          <w:color w:val="auto"/>
          <w:lang w:bidi="ar"/>
        </w:rPr>
      </w:pPr>
      <w:r>
        <w:rPr>
          <w:rFonts w:ascii="Times New Roman" w:hAnsi="Times New Roman" w:cs="Times New Roman"/>
          <w:color w:val="auto"/>
          <w:lang w:bidi="ar"/>
        </w:rPr>
        <w:t xml:space="preserve">Images of embryos immunostained with antibodies against </w:t>
      </w:r>
      <w:r>
        <w:rPr>
          <w:rFonts w:hint="eastAsia" w:ascii="Times New Roman" w:hAnsi="Times New Roman" w:cs="Times New Roman"/>
          <w:color w:val="auto"/>
          <w:lang w:bidi="ar"/>
        </w:rPr>
        <w:t>H3K18ac</w:t>
      </w:r>
      <w:r>
        <w:rPr>
          <w:rFonts w:ascii="Times New Roman" w:hAnsi="Times New Roman" w:cs="Times New Roman"/>
          <w:color w:val="auto"/>
          <w:lang w:bidi="ar"/>
        </w:rPr>
        <w:t xml:space="preserve"> </w:t>
      </w:r>
      <w:r>
        <w:rPr>
          <w:rFonts w:hint="eastAsia" w:ascii="Times New Roman" w:hAnsi="Times New Roman" w:cs="Times New Roman"/>
          <w:color w:val="auto"/>
          <w:lang w:val="en-US" w:eastAsia="zh-CN" w:bidi="ar"/>
        </w:rPr>
        <w:t>in the</w:t>
      </w:r>
      <w:r>
        <w:rPr>
          <w:rFonts w:ascii="Times New Roman" w:hAnsi="Times New Roman" w:cs="Times New Roman"/>
          <w:color w:val="auto"/>
          <w:lang w:bidi="ar"/>
        </w:rPr>
        <w:t xml:space="preserve"> +L and -L group</w:t>
      </w:r>
      <w:r>
        <w:rPr>
          <w:rFonts w:hint="eastAsia" w:ascii="Times New Roman" w:hAnsi="Times New Roman" w:cs="Times New Roman"/>
          <w:color w:val="auto"/>
          <w:lang w:val="en-US" w:eastAsia="zh-CN" w:bidi="ar"/>
        </w:rPr>
        <w:t>s</w:t>
      </w:r>
      <w:r>
        <w:rPr>
          <w:rFonts w:ascii="Times New Roman" w:hAnsi="Times New Roman" w:cs="Times New Roman"/>
          <w:color w:val="auto"/>
          <w:lang w:bidi="ar"/>
        </w:rPr>
        <w:t>. Scale bar:</w:t>
      </w:r>
      <w:r>
        <w:rPr>
          <w:rFonts w:hint="eastAsia" w:ascii="Times New Roman" w:hAnsi="Times New Roman" w:cs="Times New Roman"/>
          <w:color w:val="auto"/>
          <w:lang w:val="en-US" w:eastAsia="zh-CN" w:bidi="ar"/>
        </w:rPr>
        <w:t xml:space="preserve"> </w:t>
      </w:r>
      <w:r>
        <w:rPr>
          <w:rFonts w:ascii="Times New Roman" w:hAnsi="Times New Roman" w:cs="Times New Roman"/>
          <w:color w:val="auto"/>
          <w:lang w:bidi="ar"/>
        </w:rPr>
        <w:t>20μm.</w:t>
      </w:r>
    </w:p>
    <w:p>
      <w:pPr>
        <w:pStyle w:val="5"/>
        <w:keepNext w:val="0"/>
        <w:keepLines w:val="0"/>
        <w:pageBreakBefore w:val="0"/>
        <w:numPr>
          <w:ilvl w:val="0"/>
          <w:numId w:val="3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both"/>
        <w:textAlignment w:val="auto"/>
        <w:rPr>
          <w:rFonts w:ascii="Times New Roman" w:hAnsi="Times New Roman" w:cs="Times New Roman"/>
          <w:color w:val="auto"/>
          <w:lang w:bidi="ar"/>
        </w:rPr>
      </w:pPr>
      <w:r>
        <w:rPr>
          <w:rFonts w:ascii="Times New Roman" w:hAnsi="Times New Roman" w:cs="Times New Roman"/>
          <w:color w:val="auto"/>
          <w:lang w:bidi="ar"/>
        </w:rPr>
        <w:t xml:space="preserve">Bar plot showing the </w:t>
      </w:r>
      <w:r>
        <w:rPr>
          <w:rFonts w:hint="eastAsia" w:ascii="Times New Roman" w:hAnsi="Times New Roman" w:cs="Times New Roman"/>
          <w:color w:val="auto"/>
          <w:lang w:bidi="ar"/>
        </w:rPr>
        <w:t>H3K18ac</w:t>
      </w:r>
      <w:r>
        <w:rPr>
          <w:rFonts w:ascii="Times New Roman" w:hAnsi="Times New Roman" w:cs="Times New Roman"/>
          <w:color w:val="auto"/>
          <w:lang w:bidi="ar"/>
        </w:rPr>
        <w:t xml:space="preserve"> fluorescent intensity of </w:t>
      </w:r>
      <w:r>
        <w:rPr>
          <w:rFonts w:hint="eastAsia" w:ascii="Times New Roman" w:hAnsi="Times New Roman" w:cs="Times New Roman"/>
          <w:color w:val="auto"/>
          <w:lang w:bidi="ar"/>
        </w:rPr>
        <w:t>2</w:t>
      </w:r>
      <w:r>
        <w:rPr>
          <w:rFonts w:ascii="Times New Roman" w:hAnsi="Times New Roman" w:cs="Times New Roman"/>
          <w:color w:val="auto"/>
          <w:lang w:bidi="ar"/>
        </w:rPr>
        <w:t>-cell embryos derived from</w:t>
      </w:r>
      <w:r>
        <w:rPr>
          <w:rFonts w:hint="eastAsia" w:ascii="Times New Roman" w:hAnsi="Times New Roman" w:cs="Times New Roman"/>
          <w:color w:val="auto"/>
          <w:lang w:val="en-US" w:eastAsia="zh-CN" w:bidi="ar"/>
        </w:rPr>
        <w:t xml:space="preserve"> the</w:t>
      </w:r>
      <w:r>
        <w:rPr>
          <w:rFonts w:ascii="Times New Roman" w:hAnsi="Times New Roman" w:cs="Times New Roman"/>
          <w:color w:val="auto"/>
          <w:lang w:bidi="ar"/>
        </w:rPr>
        <w:t xml:space="preserve"> +L and -L group. </w:t>
      </w:r>
      <w:r>
        <w:rPr>
          <w:rFonts w:hint="eastAsia" w:ascii="Times New Roman" w:hAnsi="Times New Roman" w:cs="Times New Roman"/>
          <w:color w:val="auto"/>
          <w:lang w:bidi="ar"/>
        </w:rPr>
        <w:t>ns: no significant.</w:t>
      </w:r>
    </w:p>
    <w:p>
      <w:pPr>
        <w:pStyle w:val="5"/>
        <w:keepNext w:val="0"/>
        <w:keepLines w:val="0"/>
        <w:pageBreakBefore w:val="0"/>
        <w:numPr>
          <w:ilvl w:val="0"/>
          <w:numId w:val="3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both"/>
        <w:textAlignment w:val="auto"/>
        <w:rPr>
          <w:rFonts w:ascii="Times New Roman" w:hAnsi="Times New Roman" w:cs="Times New Roman"/>
          <w:color w:val="auto"/>
          <w:lang w:bidi="ar"/>
        </w:rPr>
      </w:pPr>
      <w:r>
        <w:rPr>
          <w:rFonts w:ascii="Times New Roman" w:hAnsi="Times New Roman" w:cs="Times New Roman"/>
          <w:color w:val="auto"/>
          <w:lang w:bidi="ar"/>
        </w:rPr>
        <w:t xml:space="preserve">Images of embryos immunostained with antibodies against </w:t>
      </w:r>
      <w:r>
        <w:rPr>
          <w:rFonts w:hint="eastAsia" w:ascii="Times New Roman" w:hAnsi="Times New Roman" w:cs="Times New Roman"/>
          <w:color w:val="auto"/>
          <w:lang w:bidi="ar"/>
        </w:rPr>
        <w:t>H3K27ac</w:t>
      </w:r>
      <w:r>
        <w:rPr>
          <w:rFonts w:ascii="Times New Roman" w:hAnsi="Times New Roman" w:cs="Times New Roman"/>
          <w:color w:val="auto"/>
          <w:lang w:bidi="ar"/>
        </w:rPr>
        <w:t xml:space="preserve"> </w:t>
      </w:r>
      <w:r>
        <w:rPr>
          <w:rFonts w:hint="eastAsia" w:ascii="Times New Roman" w:hAnsi="Times New Roman" w:cs="Times New Roman"/>
          <w:color w:val="auto"/>
          <w:lang w:val="en-US" w:eastAsia="zh-CN" w:bidi="ar"/>
        </w:rPr>
        <w:t>in the</w:t>
      </w:r>
      <w:r>
        <w:rPr>
          <w:rFonts w:ascii="Times New Roman" w:hAnsi="Times New Roman" w:cs="Times New Roman"/>
          <w:color w:val="auto"/>
          <w:lang w:bidi="ar"/>
        </w:rPr>
        <w:t xml:space="preserve"> +L and -L group</w:t>
      </w:r>
      <w:r>
        <w:rPr>
          <w:rFonts w:hint="eastAsia" w:ascii="Times New Roman" w:hAnsi="Times New Roman" w:cs="Times New Roman"/>
          <w:color w:val="auto"/>
          <w:lang w:val="en-US" w:eastAsia="zh-CN" w:bidi="ar"/>
        </w:rPr>
        <w:t>s</w:t>
      </w:r>
      <w:r>
        <w:rPr>
          <w:rFonts w:ascii="Times New Roman" w:hAnsi="Times New Roman" w:cs="Times New Roman"/>
          <w:color w:val="auto"/>
          <w:lang w:bidi="ar"/>
        </w:rPr>
        <w:t>. Scale bar:</w:t>
      </w:r>
      <w:r>
        <w:rPr>
          <w:rFonts w:hint="eastAsia" w:ascii="Times New Roman" w:hAnsi="Times New Roman" w:cs="Times New Roman"/>
          <w:color w:val="auto"/>
          <w:lang w:val="en-US" w:eastAsia="zh-CN" w:bidi="ar"/>
        </w:rPr>
        <w:t xml:space="preserve"> </w:t>
      </w:r>
      <w:r>
        <w:rPr>
          <w:rFonts w:ascii="Times New Roman" w:hAnsi="Times New Roman" w:cs="Times New Roman"/>
          <w:color w:val="auto"/>
          <w:lang w:bidi="ar"/>
        </w:rPr>
        <w:t>20μm.</w:t>
      </w:r>
    </w:p>
    <w:p>
      <w:pPr>
        <w:pStyle w:val="5"/>
        <w:keepNext w:val="0"/>
        <w:keepLines w:val="0"/>
        <w:pageBreakBefore w:val="0"/>
        <w:numPr>
          <w:ilvl w:val="0"/>
          <w:numId w:val="3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both"/>
        <w:textAlignment w:val="auto"/>
        <w:rPr>
          <w:rFonts w:ascii="Times New Roman" w:hAnsi="Times New Roman" w:cs="Times New Roman"/>
          <w:color w:val="auto"/>
          <w:lang w:bidi="ar"/>
        </w:rPr>
      </w:pPr>
      <w:r>
        <w:rPr>
          <w:rFonts w:ascii="Times New Roman" w:hAnsi="Times New Roman" w:cs="Times New Roman"/>
          <w:color w:val="auto"/>
          <w:lang w:bidi="ar"/>
        </w:rPr>
        <w:t xml:space="preserve">Bar plot showing the </w:t>
      </w:r>
      <w:r>
        <w:rPr>
          <w:rFonts w:hint="eastAsia" w:ascii="Times New Roman" w:hAnsi="Times New Roman" w:cs="Times New Roman"/>
          <w:color w:val="auto"/>
          <w:lang w:bidi="ar"/>
        </w:rPr>
        <w:t>H3K27ac</w:t>
      </w:r>
      <w:r>
        <w:rPr>
          <w:rFonts w:ascii="Times New Roman" w:hAnsi="Times New Roman" w:cs="Times New Roman"/>
          <w:color w:val="auto"/>
          <w:lang w:bidi="ar"/>
        </w:rPr>
        <w:t xml:space="preserve"> fluorescent intensity of </w:t>
      </w:r>
      <w:r>
        <w:rPr>
          <w:rFonts w:hint="eastAsia" w:ascii="Times New Roman" w:hAnsi="Times New Roman" w:cs="Times New Roman"/>
          <w:color w:val="auto"/>
          <w:lang w:bidi="ar"/>
        </w:rPr>
        <w:t>2</w:t>
      </w:r>
      <w:r>
        <w:rPr>
          <w:rFonts w:ascii="Times New Roman" w:hAnsi="Times New Roman" w:cs="Times New Roman"/>
          <w:color w:val="auto"/>
          <w:lang w:bidi="ar"/>
        </w:rPr>
        <w:t xml:space="preserve">-cell embryos derived from </w:t>
      </w:r>
      <w:r>
        <w:rPr>
          <w:rFonts w:hint="eastAsia" w:ascii="Times New Roman" w:hAnsi="Times New Roman" w:cs="Times New Roman"/>
          <w:color w:val="auto"/>
          <w:lang w:val="en-US" w:eastAsia="zh-CN" w:bidi="ar"/>
        </w:rPr>
        <w:t xml:space="preserve">the </w:t>
      </w:r>
      <w:r>
        <w:rPr>
          <w:rFonts w:ascii="Times New Roman" w:hAnsi="Times New Roman" w:cs="Times New Roman"/>
          <w:color w:val="auto"/>
          <w:lang w:bidi="ar"/>
        </w:rPr>
        <w:t xml:space="preserve">+L and -L group. </w:t>
      </w:r>
      <w:r>
        <w:rPr>
          <w:rFonts w:hint="eastAsia" w:ascii="Times New Roman" w:hAnsi="Times New Roman" w:cs="Times New Roman"/>
          <w:color w:val="auto"/>
          <w:lang w:bidi="ar"/>
        </w:rPr>
        <w:t>ns: no significant.</w:t>
      </w:r>
    </w:p>
    <w:bookmarkEnd w:id="3"/>
    <w:p>
      <w:pPr>
        <w:pStyle w:val="5"/>
        <w:keepNext w:val="0"/>
        <w:keepLines w:val="0"/>
        <w:pageBreakBefore w:val="0"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Chars="0"/>
        <w:jc w:val="both"/>
        <w:textAlignment w:val="auto"/>
      </w:pPr>
    </w:p>
    <w:p>
      <w:pPr>
        <w:pStyle w:val="5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both"/>
        <w:textAlignment w:val="auto"/>
        <w:rPr>
          <w:rFonts w:ascii="Times New Roman" w:hAnsi="Times New Roman" w:cs="Times New Roman"/>
          <w:b/>
          <w:bCs/>
          <w:szCs w:val="21"/>
        </w:rPr>
      </w:pPr>
      <w:r>
        <w:rPr>
          <w:rFonts w:hint="eastAsia" w:ascii="Times New Roman" w:hAnsi="Times New Roman" w:cs="Times New Roman"/>
          <w:b/>
          <w:bCs/>
          <w:szCs w:val="21"/>
        </w:rPr>
        <w:t xml:space="preserve"> </w:t>
      </w:r>
      <w:r>
        <w:drawing>
          <wp:inline distT="0" distB="0" distL="114300" distR="114300">
            <wp:extent cx="5105400" cy="7410450"/>
            <wp:effectExtent l="0" t="0" r="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05400" cy="741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both"/>
        <w:textAlignment w:val="auto"/>
        <w:rPr>
          <w:rFonts w:ascii="Times New Roman" w:hAnsi="Times New Roman" w:cs="Times New Roman"/>
          <w:b/>
          <w:bCs/>
          <w:szCs w:val="21"/>
        </w:rPr>
      </w:pPr>
      <w:bookmarkStart w:id="2" w:name="OLE_LINK3"/>
      <w:r>
        <w:rPr>
          <w:rFonts w:hint="eastAsia" w:ascii="Times New Roman" w:hAnsi="Times New Roman" w:cs="Times New Roman"/>
          <w:b/>
          <w:bCs/>
          <w:szCs w:val="21"/>
        </w:rPr>
        <w:t xml:space="preserve">Figure </w:t>
      </w:r>
      <w:r>
        <w:rPr>
          <w:rFonts w:ascii="Times New Roman" w:hAnsi="Times New Roman" w:cs="Times New Roman"/>
          <w:b/>
          <w:bCs/>
          <w:szCs w:val="21"/>
        </w:rPr>
        <w:t>S</w:t>
      </w:r>
      <w:r>
        <w:rPr>
          <w:rFonts w:hint="eastAsia" w:ascii="Times New Roman" w:hAnsi="Times New Roman" w:cs="Times New Roman"/>
          <w:b/>
          <w:bCs/>
          <w:szCs w:val="21"/>
          <w:lang w:val="en-US" w:eastAsia="zh-CN"/>
        </w:rPr>
        <w:t>4</w:t>
      </w:r>
      <w:r>
        <w:rPr>
          <w:rFonts w:hint="eastAsia" w:ascii="Times New Roman" w:hAnsi="Times New Roman" w:cs="Times New Roman"/>
          <w:b/>
          <w:bCs/>
          <w:szCs w:val="21"/>
        </w:rPr>
        <w:t>. H3K27ac does not responsible to ZGA failure due to lactate deficiency</w:t>
      </w:r>
      <w:bookmarkEnd w:id="2"/>
    </w:p>
    <w:p>
      <w:pPr>
        <w:pStyle w:val="5"/>
        <w:keepNext w:val="0"/>
        <w:keepLines w:val="0"/>
        <w:pageBreakBefore w:val="0"/>
        <w:numPr>
          <w:ilvl w:val="0"/>
          <w:numId w:val="4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both"/>
        <w:textAlignment w:val="auto"/>
      </w:pPr>
      <w:r>
        <w:rPr>
          <w:rFonts w:ascii="Times New Roman" w:hAnsi="Times New Roman" w:cs="Times New Roman"/>
          <w:color w:val="000000"/>
        </w:rPr>
        <w:t xml:space="preserve">Scatterplot correlation of CUT &amp; Tag in the +L group with publicly available data on 2-cell embryos </w:t>
      </w:r>
      <w:r>
        <w:rPr>
          <w:rFonts w:ascii="Times New Roman" w:hAnsi="Times New Roman" w:cs="Times New Roman"/>
          <w:color w:val="000000"/>
        </w:rPr>
        <w:fldChar w:fldCharType="begin"/>
      </w:r>
      <w:r>
        <w:rPr>
          <w:rFonts w:ascii="Times New Roman" w:hAnsi="Times New Roman" w:cs="Times New Roman"/>
          <w:color w:val="000000"/>
        </w:rPr>
        <w:instrText xml:space="preserve"> ADDIN EN.CITE &lt;EndNote&gt;&lt;Cite&gt;&lt;Author&gt;Wang&lt;/Author&gt;&lt;Year&gt;2022&lt;/Year&gt;&lt;RecNum&gt;3363&lt;/RecNum&gt;&lt;DisplayText&gt;&lt;style face="superscript"&gt;29&lt;/style&gt;&lt;/DisplayText&gt;&lt;record&gt;&lt;rec-number&gt;3363&lt;/rec-number&gt;&lt;foreign-keys&gt;&lt;key app="EN" db-id="aes5p9d2tzae5fe5efuv5fe7ex0vaapexdrs" timestamp="1668567267"&gt;3363&lt;/key&gt;&lt;key app="ENWeb" db-id=""&gt;0&lt;/key&gt;&lt;/foreign-keys&gt;&lt;ref-type name="Journal Article"&gt;17&lt;/ref-type&gt;&lt;contributors&gt;&lt;authors&gt;&lt;author&gt;Wang, Meng&lt;/author&gt;&lt;author&gt;Chen, Zhiyuan&lt;/author&gt;&lt;author&gt;Zhang, Yi&lt;/author&gt;&lt;/authors&gt;&lt;/contributors&gt;&lt;titles&gt;&lt;title&gt;CBPp300 andHDAC activities regulate H3K27 acetylation dynamics and zygotic genome activation in mouse preimplantation embryos&lt;/title&gt;&lt;secondary-title&gt;The EMBO Journal&lt;/secondary-title&gt;&lt;/titles&gt;&lt;periodical&gt;&lt;full-title&gt;The EMBO Jour</w:instrText>
      </w:r>
      <w:r>
        <w:rPr>
          <w:rFonts w:hint="eastAsia" w:ascii="Times New Roman" w:hAnsi="Times New Roman" w:cs="Times New Roman"/>
          <w:color w:val="000000"/>
        </w:rPr>
        <w:instrText xml:space="preserve">nal&lt;/full-title&gt;&lt;/periodical&gt;&lt;pages&gt;e112012&lt;/pages&gt;&lt;dates&gt;&lt;year&gt;2022&lt;/year&gt;&lt;/dates&gt;&lt;isbn&gt;0261-4189&amp;#xD;1460-2075&lt;/isbn&gt;&lt;label&gt;&lt;style face="normal" font="default" charset="134" size="100%"&gt;张毅&lt;/style&gt;&lt;style face="normal" font="default" size="100%"&gt;H3K27AC&lt;/style&gt;&lt;style face="normal" font="default" charset="134" size="100%"&gt;提示&lt;/style&gt;&lt;style face="normal" font="default" size="100%"&gt;nr5a2&lt;/style&gt;&lt;style face="normal" font="default" charset="134" size="100%"&gt;可能是先驱因子&lt;/style&gt;&lt;/label&gt;&lt;urls&gt;&lt;/urls&gt;&lt;electronic-resour</w:instrText>
      </w:r>
      <w:r>
        <w:rPr>
          <w:rFonts w:ascii="Times New Roman" w:hAnsi="Times New Roman" w:cs="Times New Roman"/>
          <w:color w:val="000000"/>
        </w:rPr>
        <w:instrText xml:space="preserve">ce-num&gt;10.15252/embj.2022112012&lt;/electronic-resource-num&gt;&lt;/record&gt;&lt;/Cite&gt;&lt;/EndNote&gt;</w:instrText>
      </w:r>
      <w:r>
        <w:rPr>
          <w:rFonts w:ascii="Times New Roman" w:hAnsi="Times New Roman" w:cs="Times New Roman"/>
          <w:color w:val="000000"/>
        </w:rPr>
        <w:fldChar w:fldCharType="separate"/>
      </w:r>
      <w:r>
        <w:rPr>
          <w:rFonts w:ascii="Times New Roman" w:hAnsi="Times New Roman" w:cs="Times New Roman"/>
          <w:color w:val="000000"/>
          <w:vertAlign w:val="superscript"/>
        </w:rPr>
        <w:t>29</w:t>
      </w:r>
      <w:r>
        <w:rPr>
          <w:rFonts w:ascii="Times New Roman" w:hAnsi="Times New Roman" w:cs="Times New Roman"/>
          <w:color w:val="000000"/>
        </w:rPr>
        <w:fldChar w:fldCharType="end"/>
      </w:r>
      <w:r>
        <w:rPr>
          <w:rFonts w:ascii="Times New Roman" w:hAnsi="Times New Roman" w:cs="Times New Roman"/>
          <w:color w:val="000000"/>
        </w:rPr>
        <w:t xml:space="preserve">. </w:t>
      </w:r>
    </w:p>
    <w:p>
      <w:pPr>
        <w:pStyle w:val="5"/>
        <w:keepNext w:val="0"/>
        <w:keepLines w:val="0"/>
        <w:pageBreakBefore w:val="0"/>
        <w:numPr>
          <w:ilvl w:val="0"/>
          <w:numId w:val="4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both"/>
        <w:textAlignment w:val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Scatterplot correlation of CUT &amp; Tag replicates (rep1 and rep2) in the two groups, with and without sodium lactate.</w:t>
      </w:r>
    </w:p>
    <w:p>
      <w:pPr>
        <w:pStyle w:val="5"/>
        <w:keepNext w:val="0"/>
        <w:keepLines w:val="0"/>
        <w:pageBreakBefore w:val="0"/>
        <w:numPr>
          <w:ilvl w:val="0"/>
          <w:numId w:val="4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both"/>
        <w:textAlignment w:val="auto"/>
        <w:rPr>
          <w:rFonts w:ascii="Times New Roman" w:hAnsi="Times New Roman" w:eastAsia="AdvOTa293a443" w:cs="Times New Roman"/>
          <w:color w:val="000000"/>
          <w:lang w:bidi="ar"/>
        </w:rPr>
      </w:pPr>
      <w:r>
        <w:rPr>
          <w:rFonts w:ascii="Times New Roman" w:hAnsi="Times New Roman" w:cs="Times New Roman"/>
        </w:rPr>
        <w:t>A snapshot from the genome browser displaying the enrichment of H3K27ac in the replicates of the two groups, with and without sodium lactate.</w:t>
      </w:r>
    </w:p>
    <w:p>
      <w:pPr>
        <w:pStyle w:val="5"/>
        <w:keepNext w:val="0"/>
        <w:keepLines w:val="0"/>
        <w:pageBreakBefore w:val="0"/>
        <w:numPr>
          <w:ilvl w:val="0"/>
          <w:numId w:val="4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both"/>
        <w:textAlignment w:val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pie chart illustrating the distribution of H3K227ac signals in the genome.</w:t>
      </w:r>
    </w:p>
    <w:p>
      <w:pPr>
        <w:pStyle w:val="5"/>
        <w:keepNext w:val="0"/>
        <w:keepLines w:val="0"/>
        <w:pageBreakBefore w:val="0"/>
        <w:numPr>
          <w:ilvl w:val="0"/>
          <w:numId w:val="4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both"/>
        <w:textAlignment w:val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volcano diagram displaying the differential genes corresponding to the signals detected by the H3K27ac CUT &amp; Tag in the +L and -L groups.</w:t>
      </w:r>
    </w:p>
    <w:p>
      <w:pPr>
        <w:pStyle w:val="5"/>
        <w:keepNext w:val="0"/>
        <w:keepLines w:val="0"/>
        <w:pageBreakBefore w:val="0"/>
        <w:numPr>
          <w:ilvl w:val="0"/>
          <w:numId w:val="4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both"/>
        <w:textAlignment w:val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Immunostaining of H3K27ac in mouse germinal vesicle (GV) oocytes, metaphase II (MII) oocytes, zygotes and late 2-cell embryos. Scale bar: 20 </w:t>
      </w:r>
      <w:r>
        <w:rPr>
          <w:rFonts w:ascii="Times New Roman" w:hAnsi="Times New Roman" w:cs="Times New Roman"/>
          <w:color w:val="231F20"/>
        </w:rPr>
        <w:t>μm</w:t>
      </w:r>
      <w:r>
        <w:rPr>
          <w:rFonts w:ascii="Times New Roman" w:hAnsi="Times New Roman" w:cs="Times New Roman"/>
        </w:rPr>
        <w:t>.</w:t>
      </w:r>
    </w:p>
    <w:p>
      <w:pPr>
        <w:pStyle w:val="5"/>
        <w:keepNext w:val="0"/>
        <w:keepLines w:val="0"/>
        <w:pageBreakBefore w:val="0"/>
        <w:numPr>
          <w:ilvl w:val="0"/>
          <w:numId w:val="4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both"/>
        <w:textAlignment w:val="auto"/>
        <w:rPr>
          <w:rFonts w:ascii="Times New Roman" w:hAnsi="Times New Roman" w:eastAsia="Myriad Pro Light" w:cs="Times New Roman"/>
          <w:color w:val="000000"/>
          <w:lang w:bidi="ar"/>
        </w:rPr>
      </w:pPr>
      <w:r>
        <w:rPr>
          <w:rFonts w:ascii="Times New Roman" w:hAnsi="Times New Roman" w:cs="Times New Roman"/>
          <w:color w:val="000000"/>
        </w:rPr>
        <w:t>Heatmap showing the enrichment of H3K27ac signals in DEG gene bodies between the +L group and -L group. "Down," "normal," and "up" denote genes that are down-regulated, exhibit no significant difference, and are up-regulated, respectively, in the -L compared to +L. Average plots depict the enrichment of H3K27ac signals in the +L compared with -L group.</w:t>
      </w:r>
    </w:p>
    <w:p>
      <w:pPr>
        <w:pStyle w:val="5"/>
        <w:keepNext w:val="0"/>
        <w:keepLines w:val="0"/>
        <w:pageBreakBefore w:val="0"/>
        <w:numPr>
          <w:ilvl w:val="0"/>
          <w:numId w:val="4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both"/>
        <w:textAlignment w:val="auto"/>
        <w:rPr>
          <w:rFonts w:ascii="Times New Roman" w:hAnsi="Times New Roman" w:eastAsia="Myriad Pro Light" w:cs="Times New Roman"/>
          <w:color w:val="000000"/>
          <w:lang w:bidi="ar"/>
        </w:rPr>
      </w:pPr>
      <w:r>
        <w:rPr>
          <w:rFonts w:ascii="Times New Roman" w:hAnsi="Times New Roman" w:cs="Times New Roman"/>
          <w:color w:val="000000"/>
        </w:rPr>
        <w:t>Heatmap showing the enrichment of H3K27ac signals in maternal decay genes (</w:t>
      </w:r>
      <w:r>
        <w:rPr>
          <w:rFonts w:ascii="Times New Roman" w:hAnsi="Times New Roman" w:cs="Times New Roman"/>
        </w:rPr>
        <w:t>fold change</w:t>
      </w:r>
      <w:r>
        <w:rPr>
          <w:rFonts w:ascii="Times New Roman" w:hAnsi="Times New Roman" w:cs="Times New Roman"/>
          <w:color w:val="000000"/>
        </w:rPr>
        <w:t xml:space="preserve"> [zygote/+L] &gt; 3) and ZGA genes (</w:t>
      </w:r>
      <w:r>
        <w:rPr>
          <w:rFonts w:ascii="Times New Roman" w:hAnsi="Times New Roman" w:cs="Times New Roman"/>
        </w:rPr>
        <w:t>fold change</w:t>
      </w:r>
      <w:r>
        <w:rPr>
          <w:rFonts w:ascii="Times New Roman" w:hAnsi="Times New Roman" w:cs="Times New Roman"/>
          <w:color w:val="000000"/>
        </w:rPr>
        <w:t xml:space="preserve"> [+L/zygote] &gt; 3) gene bodies between the +L group and -L group. Average plots demonstrate the enrichment of H3K27ac signals in the +L compared with -L group.</w:t>
      </w:r>
    </w:p>
    <w:p>
      <w:pPr>
        <w:pStyle w:val="5"/>
        <w:keepNext w:val="0"/>
        <w:keepLines w:val="0"/>
        <w:pageBreakBefore w:val="0"/>
        <w:numPr>
          <w:ilvl w:val="0"/>
          <w:numId w:val="4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both"/>
        <w:textAlignment w:val="auto"/>
        <w:rPr>
          <w:rFonts w:ascii="Times New Roman" w:hAnsi="Times New Roman" w:eastAsia="Myriad Pro Light" w:cs="Times New Roman"/>
          <w:color w:val="000000"/>
          <w:lang w:bidi="ar"/>
        </w:rPr>
      </w:pPr>
      <w:r>
        <w:rPr>
          <w:rFonts w:ascii="Times New Roman" w:hAnsi="Times New Roman" w:cs="Times New Roman"/>
          <w:color w:val="000000"/>
        </w:rPr>
        <w:t>Heatmap showing the enrichment of H3K27ac signals in DEGs belonging to ZGA genes (</w:t>
      </w:r>
      <w:r>
        <w:rPr>
          <w:rFonts w:ascii="Times New Roman" w:hAnsi="Times New Roman" w:cs="Times New Roman"/>
        </w:rPr>
        <w:t>fold change</w:t>
      </w:r>
      <w:r>
        <w:rPr>
          <w:rFonts w:ascii="Times New Roman" w:hAnsi="Times New Roman" w:cs="Times New Roman"/>
          <w:color w:val="000000"/>
        </w:rPr>
        <w:t xml:space="preserve"> [+L/zygote] &gt; 3) gene bodies between the +L group and -L group. Average plots show the enrichment of H3K27ac signals in the +L compared with -L group.</w:t>
      </w:r>
      <w:r>
        <w:rPr>
          <w:rFonts w:ascii="Times New Roman" w:hAnsi="Times New Roman" w:cs="Times New Roman"/>
        </w:rPr>
        <w:br w:type="page"/>
      </w:r>
    </w:p>
    <w:p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textAlignment w:val="auto"/>
      </w:pPr>
      <w:r>
        <w:drawing>
          <wp:inline distT="0" distB="0" distL="114300" distR="114300">
            <wp:extent cx="5268595" cy="1626870"/>
            <wp:effectExtent l="0" t="0" r="1905" b="1143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626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6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30" w:afterAutospacing="0" w:line="240" w:lineRule="auto"/>
        <w:jc w:val="both"/>
        <w:textAlignment w:val="auto"/>
        <w:rPr>
          <w:rFonts w:ascii="Times New Roman" w:hAnsi="Times New Roman" w:cs="Times New Roman" w:eastAsiaTheme="minorEastAsia"/>
          <w:b/>
          <w:bCs/>
          <w:kern w:val="2"/>
        </w:rPr>
      </w:pPr>
      <w:r>
        <w:rPr>
          <w:rFonts w:ascii="Times New Roman" w:hAnsi="Times New Roman" w:cs="Times New Roman"/>
          <w:b/>
          <w:bCs/>
        </w:rPr>
        <w:t xml:space="preserve">Figure </w:t>
      </w:r>
      <w:r>
        <w:rPr>
          <w:rFonts w:hint="eastAsia" w:ascii="Times New Roman" w:hAnsi="Times New Roman" w:cs="Times New Roman"/>
          <w:b/>
          <w:bCs/>
        </w:rPr>
        <w:t>S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5</w:t>
      </w:r>
      <w:r>
        <w:rPr>
          <w:rFonts w:ascii="Times New Roman" w:hAnsi="Times New Roman" w:cs="Times New Roman"/>
          <w:b/>
          <w:bCs/>
        </w:rPr>
        <w:t xml:space="preserve">. </w:t>
      </w:r>
      <w:r>
        <w:rPr>
          <w:rFonts w:ascii="Times New Roman" w:hAnsi="Times New Roman" w:cs="Times New Roman" w:eastAsiaTheme="minorEastAsia"/>
          <w:b/>
          <w:bCs/>
          <w:kern w:val="2"/>
        </w:rPr>
        <w:t xml:space="preserve">Lactate deficiency may affect energy supply in early embryos </w:t>
      </w:r>
    </w:p>
    <w:p>
      <w:pPr>
        <w:pStyle w:val="5"/>
        <w:keepNext w:val="0"/>
        <w:keepLines w:val="0"/>
        <w:pageBreakBefore w:val="0"/>
        <w:numPr>
          <w:ilvl w:val="0"/>
          <w:numId w:val="5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both"/>
        <w:textAlignment w:val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Relative ATP levels in late 2-cell stage embryos for both +L and -L conditions.</w:t>
      </w:r>
    </w:p>
    <w:p>
      <w:pPr>
        <w:pStyle w:val="5"/>
        <w:keepNext w:val="0"/>
        <w:keepLines w:val="0"/>
        <w:pageBreakBefore w:val="0"/>
        <w:numPr>
          <w:ilvl w:val="0"/>
          <w:numId w:val="5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both"/>
        <w:textAlignment w:val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Reactive Oxygen Species (ROS) levels in late 2-cell stage embryos for both +L and -L conditions. The right panel provides quantification of immunostaining relative signal intensities.</w:t>
      </w:r>
      <w:r>
        <w:rPr>
          <w:rFonts w:ascii="Times New Roman" w:hAnsi="Times New Roman" w:cs="Times New Roman"/>
          <w:color w:val="000000"/>
        </w:rPr>
        <w:br w:type="page"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hint="eastAsia" w:ascii="Times New Roman" w:hAnsi="Times New Roman" w:cs="Times New Roman"/>
          <w:b/>
          <w:bCs/>
          <w:color w:val="000000"/>
          <w:sz w:val="24"/>
          <w:szCs w:val="24"/>
        </w:rPr>
        <w:t>S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upplementary Information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Table S1.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The development rate of embryos cultured in medium by switching between +L and -L.</w:t>
      </w:r>
    </w:p>
    <w:tbl>
      <w:tblPr>
        <w:tblStyle w:val="3"/>
        <w:tblpPr w:leftFromText="180" w:rightFromText="180" w:vertAnchor="page" w:horzAnchor="margin" w:tblpXSpec="center" w:tblpY="3071"/>
        <w:tblW w:w="0" w:type="auto"/>
        <w:tblInd w:w="0" w:type="dxa"/>
        <w:tblBorders>
          <w:top w:val="single" w:color="C71C31" w:themeColor="accent6" w:themeShade="BF" w:sz="18" w:space="0"/>
          <w:left w:val="none" w:color="auto" w:sz="0" w:space="0"/>
          <w:bottom w:val="single" w:color="C71C31" w:themeColor="accent6" w:themeShade="BF" w:sz="18" w:space="0"/>
          <w:right w:val="none" w:color="auto" w:sz="0" w:space="0"/>
          <w:insideH w:val="single" w:color="C71C31" w:themeColor="accent6" w:themeShade="BF" w:sz="8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7"/>
        <w:gridCol w:w="1439"/>
        <w:gridCol w:w="1417"/>
        <w:gridCol w:w="1560"/>
        <w:gridCol w:w="1548"/>
      </w:tblGrid>
      <w:tr>
        <w:tblPrEx>
          <w:tblBorders>
            <w:top w:val="single" w:color="C71C31" w:themeColor="accent6" w:themeShade="BF" w:sz="18" w:space="0"/>
            <w:left w:val="none" w:color="auto" w:sz="0" w:space="0"/>
            <w:bottom w:val="single" w:color="C71C31" w:themeColor="accent6" w:themeShade="BF" w:sz="18" w:space="0"/>
            <w:right w:val="none" w:color="auto" w:sz="0" w:space="0"/>
            <w:insideH w:val="single" w:color="C71C31" w:themeColor="accent6" w:themeShade="BF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1117" w:type="dxa"/>
            <w:tcBorders>
              <w:top w:val="single" w:color="000000" w:themeColor="text1" w:sz="8" w:space="0"/>
              <w:bottom w:val="nil"/>
            </w:tcBorders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Arial" w:hAnsi="Arial" w:cs="Arial"/>
              </w:rPr>
            </w:pPr>
          </w:p>
        </w:tc>
        <w:tc>
          <w:tcPr>
            <w:tcW w:w="1439" w:type="dxa"/>
            <w:tcBorders>
              <w:top w:val="single" w:color="000000" w:themeColor="text1" w:sz="8" w:space="0"/>
              <w:bottom w:val="nil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cs="Times New Roman"/>
              </w:rPr>
            </w:pPr>
            <w:r>
              <w:rPr>
                <w:rStyle w:val="8"/>
              </w:rPr>
              <w:t>Experiments</w:t>
            </w:r>
          </w:p>
        </w:tc>
        <w:tc>
          <w:tcPr>
            <w:tcW w:w="1417" w:type="dxa"/>
            <w:tcBorders>
              <w:top w:val="single" w:color="000000" w:themeColor="text1" w:sz="8" w:space="0"/>
              <w:bottom w:val="nil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0" w:hanging="440" w:hangingChars="200"/>
              <w:jc w:val="center"/>
              <w:textAlignment w:val="auto"/>
              <w:rPr>
                <w:rFonts w:ascii="Times New Roman" w:hAnsi="Times New Roman" w:cs="Times New Roman"/>
              </w:rPr>
            </w:pPr>
            <w:r>
              <w:rPr>
                <w:rStyle w:val="8"/>
              </w:rPr>
              <w:t>Embryos</w:t>
            </w:r>
          </w:p>
        </w:tc>
        <w:tc>
          <w:tcPr>
            <w:tcW w:w="1560" w:type="dxa"/>
            <w:tcBorders>
              <w:top w:val="single" w:color="000000" w:themeColor="text1" w:sz="8" w:space="0"/>
              <w:bottom w:val="nil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Style w:val="8"/>
              </w:rPr>
              <w:t>4-cell</w:t>
            </w:r>
          </w:p>
        </w:tc>
        <w:tc>
          <w:tcPr>
            <w:tcW w:w="1548" w:type="dxa"/>
            <w:tcBorders>
              <w:top w:val="single" w:color="000000" w:themeColor="text1" w:sz="8" w:space="0"/>
              <w:bottom w:val="nil"/>
            </w:tcBorders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Blastocyst</w:t>
            </w:r>
          </w:p>
        </w:tc>
      </w:tr>
      <w:tr>
        <w:tblPrEx>
          <w:tblBorders>
            <w:top w:val="single" w:color="C71C31" w:themeColor="accent6" w:themeShade="BF" w:sz="18" w:space="0"/>
            <w:left w:val="none" w:color="auto" w:sz="0" w:space="0"/>
            <w:bottom w:val="single" w:color="C71C31" w:themeColor="accent6" w:themeShade="BF" w:sz="18" w:space="0"/>
            <w:right w:val="none" w:color="auto" w:sz="0" w:space="0"/>
            <w:insideH w:val="single" w:color="C71C31" w:themeColor="accent6" w:themeShade="BF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7" w:type="dxa"/>
            <w:tcBorders>
              <w:top w:val="nil"/>
              <w:bottom w:val="single" w:color="000000" w:themeColor="text1" w:sz="8" w:space="0"/>
            </w:tcBorders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Arial" w:hAnsi="Arial" w:cs="Arial"/>
              </w:rPr>
            </w:pPr>
          </w:p>
        </w:tc>
        <w:tc>
          <w:tcPr>
            <w:tcW w:w="1439" w:type="dxa"/>
            <w:tcBorders>
              <w:top w:val="nil"/>
              <w:bottom w:val="single" w:color="000000" w:themeColor="text1" w:sz="8" w:space="0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Style w:val="8"/>
              </w:rPr>
            </w:pPr>
            <w:r>
              <w:rPr>
                <w:rFonts w:ascii="Times New Roman" w:hAnsi="Times New Roman" w:cs="Times New Roman"/>
              </w:rPr>
              <w:t>（n）</w:t>
            </w:r>
          </w:p>
        </w:tc>
        <w:tc>
          <w:tcPr>
            <w:tcW w:w="1417" w:type="dxa"/>
            <w:tcBorders>
              <w:top w:val="nil"/>
              <w:bottom w:val="single" w:color="000000" w:themeColor="text1" w:sz="8" w:space="0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40" w:hanging="440" w:hangingChars="200"/>
              <w:jc w:val="center"/>
              <w:textAlignment w:val="auto"/>
              <w:rPr>
                <w:rStyle w:val="8"/>
              </w:rPr>
            </w:pPr>
            <w:r>
              <w:rPr>
                <w:rStyle w:val="8"/>
              </w:rPr>
              <w:t>(n)</w:t>
            </w:r>
          </w:p>
        </w:tc>
        <w:tc>
          <w:tcPr>
            <w:tcW w:w="1560" w:type="dxa"/>
            <w:tcBorders>
              <w:top w:val="nil"/>
              <w:bottom w:val="single" w:color="000000" w:themeColor="text1" w:sz="8" w:space="0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Style w:val="8"/>
              </w:rPr>
            </w:pPr>
            <w:r>
              <w:rPr>
                <w:rFonts w:ascii="Times New Roman" w:hAnsi="Times New Roman" w:cs="Times New Roman"/>
              </w:rPr>
              <w:t>（%）</w:t>
            </w:r>
          </w:p>
        </w:tc>
        <w:tc>
          <w:tcPr>
            <w:tcW w:w="1548" w:type="dxa"/>
            <w:tcBorders>
              <w:top w:val="nil"/>
              <w:bottom w:val="single" w:color="000000" w:themeColor="text1" w:sz="8" w:space="0"/>
            </w:tcBorders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（%）</w:t>
            </w:r>
          </w:p>
        </w:tc>
      </w:tr>
      <w:tr>
        <w:tblPrEx>
          <w:tblBorders>
            <w:top w:val="single" w:color="C71C31" w:themeColor="accent6" w:themeShade="BF" w:sz="18" w:space="0"/>
            <w:left w:val="none" w:color="auto" w:sz="0" w:space="0"/>
            <w:bottom w:val="single" w:color="C71C31" w:themeColor="accent6" w:themeShade="BF" w:sz="18" w:space="0"/>
            <w:right w:val="none" w:color="auto" w:sz="0" w:space="0"/>
            <w:insideH w:val="single" w:color="C71C31" w:themeColor="accent6" w:themeShade="BF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7" w:type="dxa"/>
            <w:tcBorders>
              <w:top w:val="single" w:color="000000" w:themeColor="text1" w:sz="8" w:space="0"/>
              <w:bottom w:val="nil"/>
            </w:tcBorders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-L/+L/-L</w:t>
            </w:r>
          </w:p>
        </w:tc>
        <w:tc>
          <w:tcPr>
            <w:tcW w:w="1439" w:type="dxa"/>
            <w:tcBorders>
              <w:top w:val="single" w:color="000000" w:themeColor="text1" w:sz="8" w:space="0"/>
              <w:bottom w:val="nil"/>
            </w:tcBorders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  <w:tcBorders>
              <w:top w:val="single" w:color="000000" w:themeColor="text1" w:sz="8" w:space="0"/>
              <w:bottom w:val="nil"/>
            </w:tcBorders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1560" w:type="dxa"/>
            <w:tcBorders>
              <w:top w:val="single" w:color="000000" w:themeColor="text1" w:sz="8" w:space="0"/>
              <w:bottom w:val="nil"/>
            </w:tcBorders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45.9±3.5</w:t>
            </w:r>
          </w:p>
        </w:tc>
        <w:tc>
          <w:tcPr>
            <w:tcW w:w="1548" w:type="dxa"/>
            <w:tcBorders>
              <w:top w:val="single" w:color="000000" w:themeColor="text1" w:sz="8" w:space="0"/>
              <w:bottom w:val="nil"/>
            </w:tcBorders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35.6±2.1</w:t>
            </w:r>
          </w:p>
        </w:tc>
      </w:tr>
      <w:tr>
        <w:tblPrEx>
          <w:tblBorders>
            <w:top w:val="single" w:color="C71C31" w:themeColor="accent6" w:themeShade="BF" w:sz="18" w:space="0"/>
            <w:left w:val="none" w:color="auto" w:sz="0" w:space="0"/>
            <w:bottom w:val="single" w:color="C71C31" w:themeColor="accent6" w:themeShade="BF" w:sz="18" w:space="0"/>
            <w:right w:val="none" w:color="auto" w:sz="0" w:space="0"/>
            <w:insideH w:val="single" w:color="C71C31" w:themeColor="accent6" w:themeShade="BF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7" w:type="dxa"/>
            <w:tcBorders>
              <w:top w:val="nil"/>
              <w:bottom w:val="single" w:color="000000" w:themeColor="text1" w:sz="8" w:space="0"/>
            </w:tcBorders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+L/-L/+L</w:t>
            </w:r>
          </w:p>
        </w:tc>
        <w:tc>
          <w:tcPr>
            <w:tcW w:w="1439" w:type="dxa"/>
            <w:tcBorders>
              <w:top w:val="nil"/>
              <w:bottom w:val="single" w:color="000000" w:themeColor="text1" w:sz="8" w:space="0"/>
            </w:tcBorders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  <w:tcBorders>
              <w:top w:val="nil"/>
              <w:bottom w:val="single" w:color="000000" w:themeColor="text1" w:sz="8" w:space="0"/>
            </w:tcBorders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1560" w:type="dxa"/>
            <w:tcBorders>
              <w:top w:val="nil"/>
              <w:bottom w:val="single" w:color="000000" w:themeColor="text1" w:sz="8" w:space="0"/>
            </w:tcBorders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8.7±4.5***</w:t>
            </w:r>
          </w:p>
        </w:tc>
        <w:tc>
          <w:tcPr>
            <w:tcW w:w="1548" w:type="dxa"/>
            <w:tcBorders>
              <w:top w:val="nil"/>
              <w:bottom w:val="single" w:color="000000" w:themeColor="text1" w:sz="8" w:space="0"/>
            </w:tcBorders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3.3±3.3***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Times New Roman" w:hAnsi="Times New Roman" w:cs="Times New Roma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Zygotes cultured in –L (until 24hrs) and then shifted to +L (from 24 to 54hrs) and then shifted back to –L (after 54hrs) is called -L/+L/-L medium for simplicity; Zygotes cultured in +L (until 24hrs) and then shifted to -L (from 24 to 54hrs) and then shifted back to +L (after 54hrs) is called +L/-L/+L medium for short. Two-tailed Student’s t-test was used for the statistical analysis. ***P&lt;0.001.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Times New Roman" w:hAnsi="Times New Roman" w:cs="Times New Roman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</w:rPr>
        <w:t>T</w:t>
      </w:r>
      <w:r>
        <w:rPr>
          <w:rFonts w:ascii="Times New Roman" w:hAnsi="Times New Roman" w:cs="Times New Roman"/>
          <w:b/>
          <w:bCs/>
          <w:sz w:val="24"/>
          <w:szCs w:val="24"/>
        </w:rPr>
        <w:t>able S2.</w:t>
      </w:r>
      <w:r>
        <w:rPr>
          <w:rFonts w:ascii="Times New Roman" w:hAnsi="Times New Roman" w:cs="Times New Roman"/>
          <w:sz w:val="24"/>
          <w:szCs w:val="24"/>
        </w:rPr>
        <w:t xml:space="preserve"> Primers used for qPCR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0"/>
        <w:gridCol w:w="3127"/>
        <w:gridCol w:w="44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95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ene</w:t>
            </w:r>
          </w:p>
        </w:tc>
        <w:tc>
          <w:tcPr>
            <w:tcW w:w="3127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eneBank No. (Ensemble ID)</w:t>
            </w:r>
          </w:p>
        </w:tc>
        <w:tc>
          <w:tcPr>
            <w:tcW w:w="44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rimer Pairs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cnb1</w:t>
            </w:r>
          </w:p>
        </w:tc>
        <w:tc>
          <w:tcPr>
            <w:tcW w:w="3127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172301.3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F: GCCTCACAAAGCACATGACTG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R: GTACAGTTCAGCTGTGCCA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dk1</w:t>
            </w:r>
          </w:p>
        </w:tc>
        <w:tc>
          <w:tcPr>
            <w:tcW w:w="3127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007659.4</w:t>
            </w:r>
          </w:p>
        </w:tc>
        <w:tc>
          <w:tcPr>
            <w:tcW w:w="44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F: ACTCGGCCTCTAAGCTCCT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R: AGGTTACGACGGACCCTCTC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dc25c</w:t>
            </w:r>
          </w:p>
        </w:tc>
        <w:tc>
          <w:tcPr>
            <w:tcW w:w="3127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009860.3</w:t>
            </w:r>
          </w:p>
        </w:tc>
        <w:tc>
          <w:tcPr>
            <w:tcW w:w="44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F: TGCCTGACGTCTATAGCCCC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R: TGCAGGTGGGATAGGTCCTG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24"/>
                <w:szCs w:val="24"/>
              </w:rPr>
              <w:t>W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ee1b</w:t>
            </w:r>
          </w:p>
        </w:tc>
        <w:tc>
          <w:tcPr>
            <w:tcW w:w="3127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001356375.1</w:t>
            </w:r>
          </w:p>
        </w:tc>
        <w:tc>
          <w:tcPr>
            <w:tcW w:w="44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F: CCGCACACTCCCAAGAGTT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R: TGGGGAGTTTGCCGTGTATC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ppa</w:t>
            </w:r>
            <w:r>
              <w:rPr>
                <w:rFonts w:hint="eastAsia" w:ascii="Times New Roman" w:hAnsi="Times New Roman" w:cs="Times New Roman"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3127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028615.1</w:t>
            </w:r>
          </w:p>
        </w:tc>
        <w:tc>
          <w:tcPr>
            <w:tcW w:w="44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F: CACTCTTCGGGAGTGGTGTC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R: TTCTGGCCTCCCGAGATGTA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ppa4</w:t>
            </w:r>
          </w:p>
        </w:tc>
        <w:tc>
          <w:tcPr>
            <w:tcW w:w="3127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028610.2</w:t>
            </w:r>
          </w:p>
        </w:tc>
        <w:tc>
          <w:tcPr>
            <w:tcW w:w="44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F: AAGGCTAAAGCAACGGGGAA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R: GGTTCACTGGGGGCAGATAC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ux</w:t>
            </w:r>
          </w:p>
        </w:tc>
        <w:tc>
          <w:tcPr>
            <w:tcW w:w="3127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001081954.1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F: GGCCCTGCTATCAACTTTCAAGA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R: TTCTGAAACCACACGCGGA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irt1</w:t>
            </w:r>
          </w:p>
        </w:tc>
        <w:tc>
          <w:tcPr>
            <w:tcW w:w="3127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001159589.2</w:t>
            </w:r>
          </w:p>
        </w:tc>
        <w:tc>
          <w:tcPr>
            <w:tcW w:w="44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F: CGGCTACCGAGGTCCATATAC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R: ACAATCTGCCACAGCGTCAT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dx21</w:t>
            </w:r>
          </w:p>
        </w:tc>
        <w:tc>
          <w:tcPr>
            <w:tcW w:w="3127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019553.2</w:t>
            </w:r>
          </w:p>
        </w:tc>
        <w:tc>
          <w:tcPr>
            <w:tcW w:w="44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F: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AACTTGCCCTCATTGGGTGT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R: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CTTAATCGCCAGGTGCTCCA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24"/>
                <w:szCs w:val="24"/>
              </w:rPr>
              <w:t>H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prt</w:t>
            </w:r>
          </w:p>
        </w:tc>
        <w:tc>
          <w:tcPr>
            <w:tcW w:w="3127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013556.2</w:t>
            </w:r>
          </w:p>
        </w:tc>
        <w:tc>
          <w:tcPr>
            <w:tcW w:w="444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F: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GGCTTCCTCCTCAGACCGCTTT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R: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CACTTTTTCCAAATCCTCGGCATAA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dvOTa293a443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Myriad Pro Light">
    <w:panose1 w:val="020B0603030403020204"/>
    <w:charset w:val="00"/>
    <w:family w:val="swiss"/>
    <w:pitch w:val="default"/>
    <w:sig w:usb0="20000287" w:usb1="00000001" w:usb2="00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88995D0"/>
    <w:multiLevelType w:val="multilevel"/>
    <w:tmpl w:val="288995D0"/>
    <w:lvl w:ilvl="0" w:tentative="0">
      <w:start w:val="1"/>
      <w:numFmt w:val="upperLetter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1">
    <w:nsid w:val="53245AAC"/>
    <w:multiLevelType w:val="multilevel"/>
    <w:tmpl w:val="53245AAC"/>
    <w:lvl w:ilvl="0" w:tentative="0">
      <w:start w:val="1"/>
      <w:numFmt w:val="upperLetter"/>
      <w:lvlText w:val="%1."/>
      <w:lvlJc w:val="left"/>
      <w:pPr>
        <w:ind w:left="360" w:hanging="360"/>
      </w:pPr>
      <w:rPr>
        <w:rFonts w:hint="default" w:ascii="Times New Roman" w:hAnsi="Times New Roman" w:cs="Times New Roman"/>
        <w:b w:val="0"/>
        <w:bCs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2">
    <w:nsid w:val="58296106"/>
    <w:multiLevelType w:val="multilevel"/>
    <w:tmpl w:val="58296106"/>
    <w:lvl w:ilvl="0" w:tentative="0">
      <w:start w:val="1"/>
      <w:numFmt w:val="upperLetter"/>
      <w:lvlText w:val="%1."/>
      <w:lvlJc w:val="left"/>
      <w:pPr>
        <w:ind w:left="360" w:hanging="360"/>
      </w:pPr>
      <w:rPr>
        <w:rFonts w:hint="default" w:ascii="Times New Roman" w:hAnsi="Times New Roman" w:cs="Times New Roman"/>
        <w:b w:val="0"/>
        <w:bCs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3">
    <w:nsid w:val="6AC4B75C"/>
    <w:multiLevelType w:val="multilevel"/>
    <w:tmpl w:val="6AC4B75C"/>
    <w:lvl w:ilvl="0" w:tentative="0">
      <w:start w:val="1"/>
      <w:numFmt w:val="upperLetter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4">
    <w:nsid w:val="72F85596"/>
    <w:multiLevelType w:val="multilevel"/>
    <w:tmpl w:val="72F85596"/>
    <w:lvl w:ilvl="0" w:tentative="0">
      <w:start w:val="1"/>
      <w:numFmt w:val="upperLetter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YwMDc2ZDUyY2NkYzcyZmQ2ODY1ZTQ3YjQxNzMwOWUifQ=="/>
  </w:docVars>
  <w:rsids>
    <w:rsidRoot w:val="00000000"/>
    <w:rsid w:val="0BB04180"/>
    <w:rsid w:val="10E73CA7"/>
    <w:rsid w:val="11934F04"/>
    <w:rsid w:val="177619D0"/>
    <w:rsid w:val="186407CC"/>
    <w:rsid w:val="20F546B7"/>
    <w:rsid w:val="22AE0FC2"/>
    <w:rsid w:val="2D8A262B"/>
    <w:rsid w:val="302E3742"/>
    <w:rsid w:val="39117649"/>
    <w:rsid w:val="52831274"/>
    <w:rsid w:val="642E7707"/>
    <w:rsid w:val="72536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_tg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6">
    <w:name w:val="src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7">
    <w:name w:val="List Paragraph"/>
    <w:basedOn w:val="1"/>
    <w:qFormat/>
    <w:uiPriority w:val="99"/>
    <w:pPr>
      <w:ind w:firstLine="420" w:firstLineChars="200"/>
    </w:pPr>
  </w:style>
  <w:style w:type="character" w:customStyle="1" w:styleId="8">
    <w:name w:val="fontstyle01"/>
    <w:basedOn w:val="4"/>
    <w:qFormat/>
    <w:uiPriority w:val="0"/>
    <w:rPr>
      <w:rFonts w:hint="default" w:ascii="Times New Roman" w:hAnsi="Times New Roman" w:cs="Times New Roman"/>
      <w:color w:val="000000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1103</Words>
  <Characters>5953</Characters>
  <Lines>0</Lines>
  <Paragraphs>0</Paragraphs>
  <TotalTime>99</TotalTime>
  <ScaleCrop>false</ScaleCrop>
  <LinksUpToDate>false</LinksUpToDate>
  <CharactersWithSpaces>6955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2023-11-24T02:19:00Z</dcterms:created>
  <dc:creator>ZYH</dc:creator>
  <cp:lastModifiedBy>ZYH</cp:lastModifiedBy>
  <dcterms:modified xsi:type="dcterms:W3CDTF">2024-06-24T07:31:12Z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C2EBAFF65E854B7EBE00FC5B5770E1F9_12</vt:lpwstr>
  </property>
</Properties>
</file>