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CD504" w14:textId="77777777" w:rsidR="00B325FD" w:rsidRPr="009F6A6F" w:rsidRDefault="00B325FD" w:rsidP="00551DAC">
      <w:pPr>
        <w:pStyle w:val="aff6"/>
        <w:spacing w:line="480" w:lineRule="auto"/>
        <w:rPr>
          <w:sz w:val="20"/>
          <w:szCs w:val="20"/>
        </w:rPr>
      </w:pPr>
      <w:bookmarkStart w:id="0" w:name="OLE_LINK23"/>
      <w:bookmarkStart w:id="1" w:name="OLE_LINK22"/>
      <w:r w:rsidRPr="009F6A6F">
        <w:rPr>
          <w:sz w:val="20"/>
          <w:szCs w:val="20"/>
        </w:rPr>
        <w:t>Human induced pluripotent stem cell</w:t>
      </w:r>
      <w:r w:rsidRPr="009F6A6F">
        <w:rPr>
          <w:sz w:val="20"/>
          <w:szCs w:val="20"/>
          <w:lang w:eastAsia="zh-CN"/>
        </w:rPr>
        <w:t>/Embryonic stem cell</w:t>
      </w:r>
      <w:r w:rsidRPr="009F6A6F">
        <w:rPr>
          <w:sz w:val="20"/>
          <w:szCs w:val="20"/>
        </w:rPr>
        <w:t>-derived pyramidal neuronal precursors show safety and efficacy in a rat spinal cord injury model</w:t>
      </w:r>
    </w:p>
    <w:bookmarkEnd w:id="0"/>
    <w:p w14:paraId="1564CDED" w14:textId="0EB76C36" w:rsidR="00B325FD" w:rsidRPr="009F6A6F" w:rsidRDefault="00B325FD" w:rsidP="00551DAC">
      <w:pPr>
        <w:jc w:val="center"/>
        <w:rPr>
          <w:rFonts w:cs="Times New Roman"/>
          <w:b/>
          <w:bCs/>
          <w:sz w:val="20"/>
          <w:szCs w:val="20"/>
        </w:rPr>
      </w:pPr>
      <w:r w:rsidRPr="009F6A6F">
        <w:rPr>
          <w:rFonts w:cs="Times New Roman"/>
          <w:b/>
          <w:bCs/>
          <w:sz w:val="20"/>
          <w:szCs w:val="20"/>
        </w:rPr>
        <w:t xml:space="preserve">Running title: </w:t>
      </w:r>
      <w:r w:rsidR="00BB4C5A">
        <w:rPr>
          <w:rFonts w:cs="Times New Roman"/>
          <w:b/>
          <w:bCs/>
          <w:sz w:val="20"/>
          <w:szCs w:val="20"/>
        </w:rPr>
        <w:t>PNPs to treat</w:t>
      </w:r>
      <w:r w:rsidRPr="009F6A6F">
        <w:rPr>
          <w:rFonts w:cs="Times New Roman"/>
          <w:b/>
          <w:bCs/>
          <w:sz w:val="20"/>
          <w:szCs w:val="20"/>
        </w:rPr>
        <w:t xml:space="preserve"> spinal cord injury</w:t>
      </w:r>
    </w:p>
    <w:p w14:paraId="573CBDE9" w14:textId="77777777" w:rsidR="00B325FD" w:rsidRPr="009F6A6F" w:rsidRDefault="00B325FD" w:rsidP="009135BF">
      <w:pPr>
        <w:pStyle w:val="AuthorList"/>
        <w:spacing w:line="480" w:lineRule="auto"/>
        <w:jc w:val="both"/>
        <w:rPr>
          <w:sz w:val="20"/>
          <w:szCs w:val="20"/>
        </w:rPr>
      </w:pPr>
      <w:r w:rsidRPr="009F6A6F">
        <w:rPr>
          <w:sz w:val="20"/>
          <w:szCs w:val="20"/>
        </w:rPr>
        <w:t>M</w:t>
      </w:r>
      <w:r w:rsidRPr="009F6A6F">
        <w:rPr>
          <w:sz w:val="20"/>
          <w:szCs w:val="20"/>
          <w:lang w:eastAsia="zh-CN"/>
        </w:rPr>
        <w:t>o</w:t>
      </w:r>
      <w:r w:rsidRPr="009F6A6F">
        <w:rPr>
          <w:rFonts w:eastAsiaTheme="minorHAnsi"/>
          <w:sz w:val="20"/>
          <w:szCs w:val="20"/>
        </w:rPr>
        <w:t xml:space="preserve"> L</w:t>
      </w:r>
      <w:r w:rsidRPr="009F6A6F">
        <w:rPr>
          <w:sz w:val="20"/>
          <w:szCs w:val="20"/>
          <w:lang w:eastAsia="zh-CN"/>
        </w:rPr>
        <w:t>i</w:t>
      </w:r>
      <w:r w:rsidRPr="009F6A6F">
        <w:rPr>
          <w:sz w:val="20"/>
          <w:szCs w:val="20"/>
          <w:vertAlign w:val="superscript"/>
        </w:rPr>
        <w:t>1,2,3,4</w:t>
      </w:r>
      <w:r w:rsidRPr="009F6A6F">
        <w:rPr>
          <w:sz w:val="20"/>
          <w:szCs w:val="20"/>
        </w:rPr>
        <w:t>, B</w:t>
      </w:r>
      <w:bookmarkStart w:id="2" w:name="_Hlk137049859"/>
      <w:r w:rsidRPr="009F6A6F">
        <w:rPr>
          <w:sz w:val="20"/>
          <w:szCs w:val="20"/>
          <w:lang w:eastAsia="zh-CN"/>
        </w:rPr>
        <w:t>oling</w:t>
      </w:r>
      <w:r>
        <w:rPr>
          <w:sz w:val="20"/>
          <w:szCs w:val="20"/>
          <w:lang w:eastAsia="zh-CN"/>
        </w:rPr>
        <w:t xml:space="preserve"> </w:t>
      </w:r>
      <w:r w:rsidRPr="009F6A6F">
        <w:rPr>
          <w:sz w:val="20"/>
          <w:szCs w:val="20"/>
        </w:rPr>
        <w:t>Q</w:t>
      </w:r>
      <w:r w:rsidRPr="009F6A6F">
        <w:rPr>
          <w:sz w:val="20"/>
          <w:szCs w:val="20"/>
          <w:lang w:eastAsia="zh-CN"/>
        </w:rPr>
        <w:t>i</w:t>
      </w:r>
      <w:r w:rsidRPr="009F6A6F">
        <w:rPr>
          <w:sz w:val="20"/>
          <w:szCs w:val="20"/>
          <w:vertAlign w:val="superscript"/>
          <w:lang w:eastAsia="zh-CN"/>
        </w:rPr>
        <w:t>1,2,3</w:t>
      </w:r>
      <w:r w:rsidRPr="009F6A6F">
        <w:rPr>
          <w:sz w:val="20"/>
          <w:szCs w:val="20"/>
          <w:lang w:eastAsia="zh-CN"/>
        </w:rPr>
        <w:t xml:space="preserve">, </w:t>
      </w:r>
      <w:r w:rsidRPr="009F6A6F">
        <w:rPr>
          <w:sz w:val="20"/>
          <w:szCs w:val="20"/>
        </w:rPr>
        <w:t>Q</w:t>
      </w:r>
      <w:r w:rsidRPr="009F6A6F">
        <w:rPr>
          <w:sz w:val="20"/>
          <w:szCs w:val="20"/>
          <w:lang w:eastAsia="zh-CN"/>
        </w:rPr>
        <w:t>ian</w:t>
      </w:r>
      <w:r w:rsidRPr="009F6A6F">
        <w:rPr>
          <w:sz w:val="20"/>
          <w:szCs w:val="20"/>
        </w:rPr>
        <w:t xml:space="preserve"> L</w:t>
      </w:r>
      <w:r w:rsidRPr="009F6A6F">
        <w:rPr>
          <w:sz w:val="20"/>
          <w:szCs w:val="20"/>
          <w:lang w:eastAsia="zh-CN"/>
        </w:rPr>
        <w:t>i</w:t>
      </w:r>
      <w:r w:rsidRPr="009F6A6F">
        <w:rPr>
          <w:sz w:val="20"/>
          <w:szCs w:val="20"/>
          <w:vertAlign w:val="superscript"/>
        </w:rPr>
        <w:t>1,2,3</w:t>
      </w:r>
      <w:r w:rsidRPr="009F6A6F">
        <w:rPr>
          <w:sz w:val="20"/>
          <w:szCs w:val="20"/>
          <w:vertAlign w:val="superscript"/>
          <w:lang w:eastAsia="zh-CN"/>
        </w:rPr>
        <w:t>,4</w:t>
      </w:r>
      <w:r w:rsidRPr="009F6A6F">
        <w:rPr>
          <w:sz w:val="20"/>
          <w:szCs w:val="20"/>
        </w:rPr>
        <w:t>, T</w:t>
      </w:r>
      <w:r w:rsidRPr="009F6A6F">
        <w:rPr>
          <w:sz w:val="20"/>
          <w:szCs w:val="20"/>
          <w:lang w:eastAsia="zh-CN"/>
        </w:rPr>
        <w:t>ianqi Zheng</w:t>
      </w:r>
      <w:r w:rsidRPr="009F6A6F">
        <w:rPr>
          <w:sz w:val="20"/>
          <w:szCs w:val="20"/>
          <w:vertAlign w:val="superscript"/>
        </w:rPr>
        <w:t>1,2,3</w:t>
      </w:r>
      <w:r w:rsidRPr="009F6A6F">
        <w:rPr>
          <w:sz w:val="20"/>
          <w:szCs w:val="20"/>
        </w:rPr>
        <w:t>, Y</w:t>
      </w:r>
      <w:r w:rsidRPr="009F6A6F">
        <w:rPr>
          <w:sz w:val="20"/>
          <w:szCs w:val="20"/>
          <w:lang w:eastAsia="zh-CN"/>
        </w:rPr>
        <w:t>ing</w:t>
      </w:r>
      <w:r w:rsidRPr="009F6A6F">
        <w:rPr>
          <w:sz w:val="20"/>
          <w:szCs w:val="20"/>
        </w:rPr>
        <w:t xml:space="preserve"> W</w:t>
      </w:r>
      <w:r w:rsidRPr="009F6A6F">
        <w:rPr>
          <w:sz w:val="20"/>
          <w:szCs w:val="20"/>
          <w:lang w:eastAsia="zh-CN"/>
        </w:rPr>
        <w:t>ang</w:t>
      </w:r>
      <w:r w:rsidRPr="009F6A6F">
        <w:rPr>
          <w:sz w:val="20"/>
          <w:szCs w:val="20"/>
          <w:vertAlign w:val="superscript"/>
        </w:rPr>
        <w:t>2,5</w:t>
      </w:r>
      <w:r w:rsidRPr="009F6A6F">
        <w:rPr>
          <w:sz w:val="20"/>
          <w:szCs w:val="20"/>
        </w:rPr>
        <w:t>, Bochao Liu</w:t>
      </w:r>
      <w:r w:rsidRPr="009F6A6F">
        <w:rPr>
          <w:sz w:val="20"/>
          <w:szCs w:val="20"/>
          <w:vertAlign w:val="superscript"/>
          <w:lang w:eastAsia="zh-CN"/>
        </w:rPr>
        <w:t>1,2,3</w:t>
      </w:r>
      <w:bookmarkStart w:id="3" w:name="OLE_LINK7"/>
      <w:r w:rsidRPr="009F6A6F">
        <w:rPr>
          <w:sz w:val="20"/>
          <w:szCs w:val="20"/>
        </w:rPr>
        <w:t xml:space="preserve">, </w:t>
      </w:r>
      <w:bookmarkEnd w:id="3"/>
      <w:proofErr w:type="spellStart"/>
      <w:r w:rsidRPr="009F6A6F">
        <w:rPr>
          <w:sz w:val="20"/>
          <w:szCs w:val="20"/>
        </w:rPr>
        <w:t>Y</w:t>
      </w:r>
      <w:r w:rsidRPr="009F6A6F">
        <w:rPr>
          <w:rFonts w:eastAsia="Times New Roman"/>
          <w:sz w:val="20"/>
          <w:szCs w:val="20"/>
        </w:rPr>
        <w:t>unqian</w:t>
      </w:r>
      <w:proofErr w:type="spellEnd"/>
      <w:r w:rsidRPr="009F6A6F">
        <w:rPr>
          <w:sz w:val="20"/>
          <w:szCs w:val="20"/>
        </w:rPr>
        <w:t xml:space="preserve"> G</w:t>
      </w:r>
      <w:r w:rsidRPr="009F6A6F">
        <w:rPr>
          <w:rFonts w:eastAsia="Times New Roman"/>
          <w:sz w:val="20"/>
          <w:szCs w:val="20"/>
        </w:rPr>
        <w:t>uan</w:t>
      </w:r>
      <w:r w:rsidRPr="009F6A6F">
        <w:rPr>
          <w:sz w:val="20"/>
          <w:szCs w:val="20"/>
          <w:vertAlign w:val="superscript"/>
        </w:rPr>
        <w:t>1,2,3</w:t>
      </w:r>
      <w:r w:rsidRPr="009F6A6F">
        <w:rPr>
          <w:sz w:val="20"/>
          <w:szCs w:val="20"/>
        </w:rPr>
        <w:t xml:space="preserve">, </w:t>
      </w:r>
      <w:bookmarkStart w:id="4" w:name="OLE_LINK11"/>
      <w:proofErr w:type="spellStart"/>
      <w:r w:rsidRPr="009F6A6F">
        <w:rPr>
          <w:sz w:val="20"/>
          <w:szCs w:val="20"/>
        </w:rPr>
        <w:t>Y</w:t>
      </w:r>
      <w:r w:rsidRPr="009F6A6F">
        <w:rPr>
          <w:sz w:val="20"/>
          <w:szCs w:val="20"/>
          <w:lang w:eastAsia="zh-CN"/>
        </w:rPr>
        <w:t>unfei</w:t>
      </w:r>
      <w:bookmarkEnd w:id="4"/>
      <w:proofErr w:type="spellEnd"/>
      <w:r w:rsidRPr="009F6A6F">
        <w:rPr>
          <w:sz w:val="20"/>
          <w:szCs w:val="20"/>
        </w:rPr>
        <w:t xml:space="preserve"> B</w:t>
      </w:r>
      <w:r w:rsidRPr="009F6A6F">
        <w:rPr>
          <w:sz w:val="20"/>
          <w:szCs w:val="20"/>
          <w:lang w:eastAsia="zh-CN"/>
        </w:rPr>
        <w:t>ai</w:t>
      </w:r>
      <w:bookmarkEnd w:id="2"/>
      <w:r w:rsidRPr="009F6A6F">
        <w:rPr>
          <w:sz w:val="20"/>
          <w:szCs w:val="20"/>
          <w:vertAlign w:val="superscript"/>
          <w:lang w:eastAsia="zh-CN"/>
        </w:rPr>
        <w:t>2,5</w:t>
      </w:r>
      <w:r w:rsidRPr="009F6A6F">
        <w:rPr>
          <w:sz w:val="20"/>
          <w:szCs w:val="20"/>
          <w:lang w:eastAsia="zh-CN"/>
        </w:rPr>
        <w:t xml:space="preserve">, </w:t>
      </w:r>
      <w:proofErr w:type="spellStart"/>
      <w:r w:rsidRPr="009F6A6F">
        <w:rPr>
          <w:sz w:val="20"/>
          <w:szCs w:val="20"/>
        </w:rPr>
        <w:t>Fengzeng</w:t>
      </w:r>
      <w:proofErr w:type="spellEnd"/>
      <w:r w:rsidRPr="009F6A6F">
        <w:rPr>
          <w:sz w:val="20"/>
          <w:szCs w:val="20"/>
        </w:rPr>
        <w:t xml:space="preserve"> Jian</w:t>
      </w:r>
      <w:r w:rsidRPr="009F6A6F">
        <w:rPr>
          <w:sz w:val="20"/>
          <w:szCs w:val="20"/>
          <w:vertAlign w:val="superscript"/>
        </w:rPr>
        <w:t>4</w:t>
      </w:r>
      <w:r w:rsidRPr="009F6A6F">
        <w:rPr>
          <w:sz w:val="20"/>
          <w:szCs w:val="20"/>
        </w:rPr>
        <w:t>, Zhi</w:t>
      </w:r>
      <w:r>
        <w:rPr>
          <w:sz w:val="20"/>
          <w:szCs w:val="20"/>
        </w:rPr>
        <w:t>-</w:t>
      </w:r>
      <w:r w:rsidRPr="009F6A6F">
        <w:rPr>
          <w:sz w:val="20"/>
          <w:szCs w:val="20"/>
        </w:rPr>
        <w:t xml:space="preserve">qing </w:t>
      </w:r>
      <w:r>
        <w:rPr>
          <w:sz w:val="20"/>
          <w:szCs w:val="20"/>
        </w:rPr>
        <w:t xml:space="preserve">David </w:t>
      </w:r>
      <w:r w:rsidRPr="009F6A6F">
        <w:rPr>
          <w:sz w:val="20"/>
          <w:szCs w:val="20"/>
        </w:rPr>
        <w:t>Xu</w:t>
      </w:r>
      <w:r w:rsidRPr="009F6A6F">
        <w:rPr>
          <w:sz w:val="20"/>
          <w:szCs w:val="20"/>
          <w:vertAlign w:val="superscript"/>
        </w:rPr>
        <w:t>2,5</w:t>
      </w:r>
      <w:r w:rsidRPr="009F6A6F">
        <w:rPr>
          <w:sz w:val="20"/>
          <w:szCs w:val="20"/>
        </w:rPr>
        <w:t xml:space="preserve">, </w:t>
      </w:r>
      <w:proofErr w:type="spellStart"/>
      <w:r w:rsidRPr="009F6A6F">
        <w:rPr>
          <w:sz w:val="20"/>
          <w:szCs w:val="20"/>
        </w:rPr>
        <w:t>Qunyuan</w:t>
      </w:r>
      <w:proofErr w:type="spellEnd"/>
      <w:r w:rsidRPr="009F6A6F">
        <w:rPr>
          <w:sz w:val="20"/>
          <w:szCs w:val="20"/>
        </w:rPr>
        <w:t xml:space="preserve"> Xu</w:t>
      </w:r>
      <w:r w:rsidRPr="009F6A6F">
        <w:rPr>
          <w:sz w:val="20"/>
          <w:szCs w:val="20"/>
          <w:vertAlign w:val="superscript"/>
        </w:rPr>
        <w:t>2,5</w:t>
      </w:r>
      <w:r w:rsidRPr="009F6A6F">
        <w:rPr>
          <w:sz w:val="20"/>
          <w:szCs w:val="20"/>
        </w:rPr>
        <w:t xml:space="preserve">, </w:t>
      </w:r>
      <w:proofErr w:type="spellStart"/>
      <w:r w:rsidRPr="009F6A6F">
        <w:rPr>
          <w:sz w:val="20"/>
          <w:szCs w:val="20"/>
        </w:rPr>
        <w:t>Zhiguo</w:t>
      </w:r>
      <w:proofErr w:type="spellEnd"/>
      <w:r w:rsidRPr="009F6A6F">
        <w:rPr>
          <w:sz w:val="20"/>
          <w:szCs w:val="20"/>
        </w:rPr>
        <w:t xml:space="preserve"> Chen</w:t>
      </w:r>
      <w:r w:rsidRPr="009F6A6F">
        <w:rPr>
          <w:sz w:val="20"/>
          <w:szCs w:val="20"/>
          <w:vertAlign w:val="superscript"/>
        </w:rPr>
        <w:t>1,2,3*</w:t>
      </w:r>
    </w:p>
    <w:p w14:paraId="504E720E" w14:textId="77777777" w:rsidR="00B325FD" w:rsidRPr="009F6A6F" w:rsidRDefault="00B325FD" w:rsidP="009135BF">
      <w:pPr>
        <w:spacing w:before="240" w:after="0" w:line="480" w:lineRule="auto"/>
        <w:jc w:val="both"/>
        <w:rPr>
          <w:rFonts w:cs="Times New Roman"/>
          <w:b/>
          <w:sz w:val="20"/>
          <w:szCs w:val="20"/>
        </w:rPr>
      </w:pPr>
      <w:bookmarkStart w:id="5" w:name="OLE_LINK13"/>
      <w:r w:rsidRPr="009F6A6F">
        <w:rPr>
          <w:rFonts w:cs="Times New Roman"/>
          <w:sz w:val="20"/>
          <w:szCs w:val="20"/>
          <w:vertAlign w:val="superscript"/>
        </w:rPr>
        <w:t>1</w:t>
      </w:r>
      <w:bookmarkStart w:id="6" w:name="OLE_LINK18"/>
      <w:r w:rsidRPr="009F6A6F">
        <w:rPr>
          <w:rFonts w:cs="Times New Roman"/>
          <w:sz w:val="20"/>
          <w:szCs w:val="20"/>
        </w:rPr>
        <w:t>Cell Therapy Center</w:t>
      </w:r>
      <w:bookmarkEnd w:id="5"/>
      <w:bookmarkEnd w:id="6"/>
      <w:r w:rsidRPr="009F6A6F">
        <w:rPr>
          <w:rFonts w:cs="Times New Roman"/>
          <w:sz w:val="20"/>
          <w:szCs w:val="20"/>
        </w:rPr>
        <w:t xml:space="preserve">, Beijing Institute of Geriatrics, </w:t>
      </w:r>
      <w:bookmarkStart w:id="7" w:name="OLE_LINK10"/>
      <w:r w:rsidRPr="009F6A6F">
        <w:rPr>
          <w:rFonts w:cs="Times New Roman"/>
          <w:sz w:val="20"/>
          <w:szCs w:val="20"/>
        </w:rPr>
        <w:t>Xuanwu Hospital Capital Medical University</w:t>
      </w:r>
      <w:bookmarkEnd w:id="7"/>
      <w:r w:rsidRPr="009F6A6F">
        <w:rPr>
          <w:rFonts w:cs="Times New Roman"/>
          <w:sz w:val="20"/>
          <w:szCs w:val="20"/>
        </w:rPr>
        <w:t>, National Clinical Research Center for Geriatric Diseases, and Key Laboratory of Neurodegenerative Diseases, Ministry of Education, Beijing 100053, China</w:t>
      </w:r>
    </w:p>
    <w:p w14:paraId="6C7A57D4" w14:textId="77777777" w:rsidR="00B325FD" w:rsidRPr="009F6A6F" w:rsidRDefault="00B325FD" w:rsidP="009135BF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9F6A6F">
        <w:rPr>
          <w:rFonts w:cs="Times New Roman"/>
          <w:sz w:val="20"/>
          <w:szCs w:val="20"/>
          <w:vertAlign w:val="superscript"/>
        </w:rPr>
        <w:t>2</w:t>
      </w:r>
      <w:r w:rsidRPr="009F6A6F">
        <w:rPr>
          <w:rFonts w:cs="Times New Roman"/>
          <w:sz w:val="20"/>
          <w:szCs w:val="20"/>
        </w:rPr>
        <w:t>Center of Neural Injury and Repair, Beijing Institute for Brain Disorders, Beijing, China</w:t>
      </w:r>
    </w:p>
    <w:p w14:paraId="2C884A91" w14:textId="77777777" w:rsidR="00B325FD" w:rsidRPr="009F6A6F" w:rsidRDefault="00B325FD" w:rsidP="009135BF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9F6A6F">
        <w:rPr>
          <w:rFonts w:cs="Times New Roman"/>
          <w:sz w:val="20"/>
          <w:szCs w:val="20"/>
          <w:vertAlign w:val="superscript"/>
        </w:rPr>
        <w:t>3</w:t>
      </w:r>
      <w:r w:rsidRPr="009F6A6F">
        <w:rPr>
          <w:rFonts w:cs="Times New Roman"/>
          <w:sz w:val="20"/>
          <w:szCs w:val="20"/>
        </w:rPr>
        <w:t>Center of Parkinson's Disease, Beijing Institute for Brain Disorders, Beijing, China</w:t>
      </w:r>
    </w:p>
    <w:p w14:paraId="03A15B8B" w14:textId="77777777" w:rsidR="00B325FD" w:rsidRPr="009F6A6F" w:rsidRDefault="00B325FD" w:rsidP="009135BF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9F6A6F">
        <w:rPr>
          <w:rFonts w:cs="Times New Roman"/>
          <w:sz w:val="20"/>
          <w:szCs w:val="20"/>
          <w:vertAlign w:val="superscript"/>
          <w:lang w:eastAsia="zh-CN"/>
        </w:rPr>
        <w:t>4</w:t>
      </w:r>
      <w:r w:rsidRPr="009F6A6F">
        <w:rPr>
          <w:rFonts w:cs="Times New Roman"/>
          <w:sz w:val="20"/>
          <w:szCs w:val="20"/>
          <w:lang w:eastAsia="zh-CN"/>
        </w:rPr>
        <w:t xml:space="preserve">Department of neurosurgery, Xuanwu Hospital </w:t>
      </w:r>
      <w:r w:rsidRPr="009F6A6F">
        <w:rPr>
          <w:rFonts w:cs="Times New Roman"/>
          <w:sz w:val="20"/>
          <w:szCs w:val="20"/>
        </w:rPr>
        <w:t>Capital Medical University</w:t>
      </w:r>
      <w:r w:rsidRPr="009F6A6F">
        <w:rPr>
          <w:rFonts w:cs="Times New Roman"/>
          <w:sz w:val="20"/>
          <w:szCs w:val="20"/>
          <w:lang w:eastAsia="zh-CN"/>
        </w:rPr>
        <w:t xml:space="preserve">, </w:t>
      </w:r>
      <w:r w:rsidRPr="009F6A6F">
        <w:rPr>
          <w:rFonts w:cs="Times New Roman"/>
          <w:sz w:val="20"/>
          <w:szCs w:val="20"/>
        </w:rPr>
        <w:t>Beijing, China</w:t>
      </w:r>
    </w:p>
    <w:p w14:paraId="6041A62E" w14:textId="77777777" w:rsidR="00B325FD" w:rsidRPr="009F6A6F" w:rsidRDefault="00B325FD" w:rsidP="009135BF">
      <w:pPr>
        <w:spacing w:after="0" w:line="480" w:lineRule="auto"/>
        <w:jc w:val="both"/>
        <w:rPr>
          <w:rFonts w:cs="Times New Roman"/>
          <w:sz w:val="20"/>
          <w:szCs w:val="20"/>
        </w:rPr>
      </w:pPr>
      <w:r w:rsidRPr="009F6A6F">
        <w:rPr>
          <w:rFonts w:cs="Times New Roman"/>
          <w:sz w:val="20"/>
          <w:szCs w:val="20"/>
          <w:vertAlign w:val="superscript"/>
        </w:rPr>
        <w:t>5</w:t>
      </w:r>
      <w:r w:rsidRPr="009F6A6F">
        <w:rPr>
          <w:rFonts w:cs="Times New Roman"/>
          <w:sz w:val="20"/>
          <w:szCs w:val="20"/>
        </w:rPr>
        <w:t xml:space="preserve">Department of Neurobiology, </w:t>
      </w:r>
      <w:bookmarkStart w:id="8" w:name="OLE_LINK14"/>
      <w:r w:rsidRPr="009F6A6F">
        <w:rPr>
          <w:rFonts w:cs="Times New Roman"/>
          <w:sz w:val="20"/>
          <w:szCs w:val="20"/>
        </w:rPr>
        <w:t>Capital Medical University</w:t>
      </w:r>
      <w:bookmarkEnd w:id="8"/>
      <w:r w:rsidRPr="009F6A6F">
        <w:rPr>
          <w:rFonts w:cs="Times New Roman"/>
          <w:sz w:val="20"/>
          <w:szCs w:val="20"/>
        </w:rPr>
        <w:t>, Beijing, China</w:t>
      </w:r>
    </w:p>
    <w:p w14:paraId="519125E0" w14:textId="77777777" w:rsidR="00B325FD" w:rsidRPr="009F6A6F" w:rsidRDefault="00B325FD" w:rsidP="009135BF">
      <w:pPr>
        <w:spacing w:before="240" w:after="0" w:line="480" w:lineRule="auto"/>
        <w:rPr>
          <w:rFonts w:cs="Times New Roman"/>
          <w:sz w:val="20"/>
          <w:szCs w:val="20"/>
        </w:rPr>
      </w:pPr>
      <w:r w:rsidRPr="009F6A6F">
        <w:rPr>
          <w:rFonts w:cs="Times New Roman"/>
          <w:b/>
          <w:sz w:val="20"/>
          <w:szCs w:val="20"/>
        </w:rPr>
        <w:t xml:space="preserve">* Correspondence: </w:t>
      </w:r>
      <w:r w:rsidRPr="009F6A6F">
        <w:rPr>
          <w:rFonts w:cs="Times New Roman"/>
          <w:b/>
          <w:sz w:val="20"/>
          <w:szCs w:val="20"/>
        </w:rPr>
        <w:br/>
      </w:r>
      <w:proofErr w:type="spellStart"/>
      <w:r w:rsidRPr="009F6A6F">
        <w:rPr>
          <w:rFonts w:cs="Times New Roman"/>
          <w:sz w:val="20"/>
          <w:szCs w:val="20"/>
        </w:rPr>
        <w:t>Zhiguo</w:t>
      </w:r>
      <w:proofErr w:type="spellEnd"/>
      <w:r w:rsidRPr="009F6A6F">
        <w:rPr>
          <w:rFonts w:cs="Times New Roman"/>
          <w:sz w:val="20"/>
          <w:szCs w:val="20"/>
        </w:rPr>
        <w:t xml:space="preserve"> Chen</w:t>
      </w:r>
      <w:r w:rsidRPr="009F6A6F">
        <w:rPr>
          <w:rFonts w:cs="Times New Roman"/>
          <w:sz w:val="20"/>
          <w:szCs w:val="20"/>
        </w:rPr>
        <w:br/>
      </w:r>
      <w:hyperlink r:id="rId8" w:history="1">
        <w:r w:rsidRPr="009F6A6F">
          <w:rPr>
            <w:rStyle w:val="afc"/>
            <w:rFonts w:cs="Times New Roman"/>
            <w:sz w:val="20"/>
            <w:szCs w:val="20"/>
          </w:rPr>
          <w:t>chenzhiguo@gmail.com</w:t>
        </w:r>
      </w:hyperlink>
    </w:p>
    <w:bookmarkEnd w:id="1"/>
    <w:p w14:paraId="4866E32F" w14:textId="77777777" w:rsidR="00B325FD" w:rsidRDefault="00B325FD" w:rsidP="009135BF">
      <w:pPr>
        <w:spacing w:line="480" w:lineRule="auto"/>
        <w:jc w:val="both"/>
        <w:rPr>
          <w:rFonts w:cs="Times New Roman"/>
          <w:b/>
          <w:bCs/>
          <w:sz w:val="20"/>
          <w:szCs w:val="20"/>
        </w:rPr>
      </w:pPr>
    </w:p>
    <w:p w14:paraId="2E264FA0" w14:textId="77777777" w:rsidR="00B325FD" w:rsidRPr="009F6A6F" w:rsidRDefault="00B325FD" w:rsidP="009135BF">
      <w:pPr>
        <w:spacing w:line="480" w:lineRule="auto"/>
        <w:jc w:val="both"/>
        <w:rPr>
          <w:rFonts w:cs="Times New Roman"/>
          <w:b/>
          <w:bCs/>
          <w:sz w:val="20"/>
          <w:szCs w:val="20"/>
        </w:rPr>
      </w:pPr>
      <w:r w:rsidRPr="009F6A6F">
        <w:rPr>
          <w:rFonts w:cs="Times New Roman"/>
          <w:b/>
          <w:bCs/>
          <w:sz w:val="20"/>
          <w:szCs w:val="20"/>
        </w:rPr>
        <w:t>Acknowledgements</w:t>
      </w:r>
    </w:p>
    <w:p w14:paraId="0EC986E4" w14:textId="77777777" w:rsidR="00B325FD" w:rsidRDefault="00B325FD" w:rsidP="009135BF">
      <w:pPr>
        <w:spacing w:line="480" w:lineRule="auto"/>
        <w:jc w:val="both"/>
        <w:rPr>
          <w:rFonts w:cs="Times New Roman"/>
          <w:sz w:val="20"/>
          <w:szCs w:val="20"/>
        </w:rPr>
      </w:pPr>
      <w:proofErr w:type="spellStart"/>
      <w:r w:rsidRPr="009F6A6F">
        <w:rPr>
          <w:rFonts w:cs="Times New Roman"/>
          <w:sz w:val="20"/>
          <w:szCs w:val="20"/>
        </w:rPr>
        <w:t>Yuejun</w:t>
      </w:r>
      <w:proofErr w:type="spellEnd"/>
      <w:r w:rsidRPr="009F6A6F">
        <w:rPr>
          <w:rFonts w:cs="Times New Roman"/>
          <w:sz w:val="20"/>
          <w:szCs w:val="20"/>
        </w:rPr>
        <w:t xml:space="preserve"> Chen’s lab </w:t>
      </w:r>
      <w:r>
        <w:rPr>
          <w:rFonts w:cs="Times New Roman"/>
          <w:sz w:val="20"/>
          <w:szCs w:val="20"/>
        </w:rPr>
        <w:t xml:space="preserve">was thanked for </w:t>
      </w:r>
      <w:r w:rsidRPr="009F6A6F">
        <w:rPr>
          <w:rFonts w:cs="Times New Roman"/>
          <w:sz w:val="20"/>
          <w:szCs w:val="20"/>
        </w:rPr>
        <w:t xml:space="preserve">the </w:t>
      </w:r>
      <w:r>
        <w:rPr>
          <w:rFonts w:cs="Times New Roman"/>
          <w:sz w:val="20"/>
          <w:szCs w:val="20"/>
        </w:rPr>
        <w:t xml:space="preserve">generous </w:t>
      </w:r>
      <w:r w:rsidRPr="009F6A6F">
        <w:rPr>
          <w:rFonts w:cs="Times New Roman"/>
          <w:sz w:val="20"/>
          <w:szCs w:val="20"/>
        </w:rPr>
        <w:t xml:space="preserve">gift of </w:t>
      </w:r>
      <w:proofErr w:type="spellStart"/>
      <w:r>
        <w:rPr>
          <w:rFonts w:cs="Times New Roman"/>
          <w:sz w:val="20"/>
          <w:szCs w:val="20"/>
        </w:rPr>
        <w:t>chemogenetic</w:t>
      </w:r>
      <w:proofErr w:type="spellEnd"/>
      <w:r>
        <w:rPr>
          <w:rFonts w:cs="Times New Roman"/>
          <w:sz w:val="20"/>
          <w:szCs w:val="20"/>
        </w:rPr>
        <w:t xml:space="preserve"> </w:t>
      </w:r>
      <w:r w:rsidRPr="009F6A6F">
        <w:rPr>
          <w:rFonts w:cs="Times New Roman"/>
          <w:sz w:val="20"/>
          <w:szCs w:val="20"/>
        </w:rPr>
        <w:t>ESC</w:t>
      </w:r>
      <w:r>
        <w:rPr>
          <w:rFonts w:cs="Times New Roman"/>
          <w:sz w:val="20"/>
          <w:szCs w:val="20"/>
        </w:rPr>
        <w:t xml:space="preserve"> lines.</w:t>
      </w:r>
    </w:p>
    <w:p w14:paraId="6448A388" w14:textId="77777777" w:rsidR="00B325FD" w:rsidRDefault="00B325FD" w:rsidP="009135BF">
      <w:pPr>
        <w:spacing w:line="480" w:lineRule="auto"/>
        <w:jc w:val="both"/>
        <w:rPr>
          <w:rFonts w:cs="Times New Roman"/>
          <w:sz w:val="20"/>
          <w:szCs w:val="20"/>
        </w:rPr>
      </w:pPr>
    </w:p>
    <w:p w14:paraId="5D30F739" w14:textId="77777777" w:rsidR="00584341" w:rsidRDefault="00584341" w:rsidP="009135BF">
      <w:pPr>
        <w:pStyle w:val="aff6"/>
        <w:jc w:val="both"/>
      </w:pPr>
    </w:p>
    <w:p w14:paraId="3AA5D9DC" w14:textId="77777777" w:rsidR="00584341" w:rsidRDefault="00584341" w:rsidP="009135BF">
      <w:pPr>
        <w:jc w:val="both"/>
      </w:pPr>
    </w:p>
    <w:p w14:paraId="52AA06D6" w14:textId="77777777" w:rsidR="00584341" w:rsidRDefault="00584341" w:rsidP="009135BF">
      <w:pPr>
        <w:jc w:val="both"/>
      </w:pPr>
    </w:p>
    <w:p w14:paraId="0E15115D" w14:textId="77777777" w:rsidR="00584341" w:rsidRPr="00584341" w:rsidRDefault="00584341" w:rsidP="009135BF">
      <w:pPr>
        <w:jc w:val="both"/>
      </w:pPr>
    </w:p>
    <w:p w14:paraId="4227EEE6" w14:textId="15B7929A" w:rsidR="00654E8F" w:rsidRDefault="00654E8F" w:rsidP="009135BF">
      <w:pPr>
        <w:pStyle w:val="SupplementaryMaterial"/>
        <w:jc w:val="both"/>
        <w:rPr>
          <w:i w:val="0"/>
          <w:iCs/>
          <w:sz w:val="24"/>
          <w:szCs w:val="24"/>
        </w:rPr>
      </w:pPr>
      <w:r w:rsidRPr="00FE1CDA">
        <w:rPr>
          <w:i w:val="0"/>
          <w:iCs/>
          <w:sz w:val="24"/>
          <w:szCs w:val="24"/>
        </w:rPr>
        <w:t>Supplementary Material</w:t>
      </w:r>
    </w:p>
    <w:p w14:paraId="3C1A625B" w14:textId="2DBEFB7B" w:rsidR="00657B86" w:rsidRDefault="00657B86" w:rsidP="009135BF">
      <w:pPr>
        <w:pStyle w:val="aff6"/>
        <w:jc w:val="both"/>
        <w:rPr>
          <w:sz w:val="24"/>
          <w:szCs w:val="24"/>
        </w:rPr>
      </w:pPr>
      <w:r w:rsidRPr="00657B86">
        <w:rPr>
          <w:sz w:val="24"/>
          <w:szCs w:val="24"/>
        </w:rPr>
        <w:t>Figure</w:t>
      </w:r>
      <w:r w:rsidR="00BB4C5A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657B86">
        <w:rPr>
          <w:sz w:val="24"/>
          <w:szCs w:val="24"/>
        </w:rPr>
        <w:t>1</w:t>
      </w:r>
      <w:r>
        <w:rPr>
          <w:sz w:val="24"/>
          <w:szCs w:val="24"/>
        </w:rPr>
        <w:t>………………………………………………………………………………………………2</w:t>
      </w:r>
    </w:p>
    <w:p w14:paraId="61BF5EC4" w14:textId="12C26970" w:rsidR="00657B86" w:rsidRDefault="00657B86" w:rsidP="009135BF">
      <w:pPr>
        <w:pStyle w:val="aff6"/>
        <w:jc w:val="both"/>
        <w:rPr>
          <w:sz w:val="24"/>
          <w:szCs w:val="24"/>
        </w:rPr>
      </w:pPr>
      <w:r w:rsidRPr="00657B86">
        <w:rPr>
          <w:sz w:val="24"/>
          <w:szCs w:val="24"/>
        </w:rPr>
        <w:t>Figure</w:t>
      </w:r>
      <w:r w:rsidR="00BB4C5A">
        <w:rPr>
          <w:sz w:val="24"/>
          <w:szCs w:val="24"/>
        </w:rPr>
        <w:t xml:space="preserve"> </w:t>
      </w:r>
      <w:r>
        <w:rPr>
          <w:sz w:val="24"/>
          <w:szCs w:val="24"/>
        </w:rPr>
        <w:t>S2………………………………………………………………………………………………3</w:t>
      </w:r>
    </w:p>
    <w:p w14:paraId="1AFB1EAC" w14:textId="4753B9AA" w:rsidR="00657B86" w:rsidRDefault="00657B86" w:rsidP="009135BF">
      <w:pPr>
        <w:pStyle w:val="aff6"/>
        <w:jc w:val="both"/>
        <w:rPr>
          <w:sz w:val="24"/>
          <w:szCs w:val="24"/>
        </w:rPr>
      </w:pPr>
      <w:r w:rsidRPr="00657B86">
        <w:rPr>
          <w:sz w:val="24"/>
          <w:szCs w:val="24"/>
        </w:rPr>
        <w:t>Figure</w:t>
      </w:r>
      <w:r w:rsidR="00BB4C5A">
        <w:rPr>
          <w:sz w:val="24"/>
          <w:szCs w:val="24"/>
        </w:rPr>
        <w:t xml:space="preserve"> </w:t>
      </w:r>
      <w:r>
        <w:rPr>
          <w:sz w:val="24"/>
          <w:szCs w:val="24"/>
        </w:rPr>
        <w:t>S3………………………………………………………………………………………………4</w:t>
      </w:r>
    </w:p>
    <w:p w14:paraId="2ED45BFE" w14:textId="72068FA3" w:rsidR="00657B86" w:rsidRDefault="00657B86" w:rsidP="009135BF">
      <w:pPr>
        <w:pStyle w:val="aff6"/>
        <w:jc w:val="both"/>
        <w:rPr>
          <w:sz w:val="24"/>
          <w:szCs w:val="24"/>
        </w:rPr>
      </w:pPr>
      <w:r w:rsidRPr="00657B86">
        <w:rPr>
          <w:sz w:val="24"/>
          <w:szCs w:val="24"/>
        </w:rPr>
        <w:t>Figure</w:t>
      </w:r>
      <w:r w:rsidR="00BB4C5A">
        <w:rPr>
          <w:sz w:val="24"/>
          <w:szCs w:val="24"/>
        </w:rPr>
        <w:t xml:space="preserve"> </w:t>
      </w:r>
      <w:r>
        <w:rPr>
          <w:sz w:val="24"/>
          <w:szCs w:val="24"/>
        </w:rPr>
        <w:t>S4………………………………………………………………………………………………5</w:t>
      </w:r>
    </w:p>
    <w:p w14:paraId="2055B0D4" w14:textId="00C15B1A" w:rsidR="00657B86" w:rsidRDefault="00657B86" w:rsidP="009135BF">
      <w:pPr>
        <w:pStyle w:val="aff6"/>
        <w:jc w:val="both"/>
        <w:rPr>
          <w:sz w:val="24"/>
          <w:szCs w:val="24"/>
        </w:rPr>
      </w:pPr>
      <w:r w:rsidRPr="00657B86">
        <w:rPr>
          <w:sz w:val="24"/>
          <w:szCs w:val="24"/>
        </w:rPr>
        <w:t>Figure</w:t>
      </w:r>
      <w:r w:rsidR="00BB4C5A">
        <w:rPr>
          <w:sz w:val="24"/>
          <w:szCs w:val="24"/>
        </w:rPr>
        <w:t xml:space="preserve"> </w:t>
      </w:r>
      <w:r>
        <w:rPr>
          <w:sz w:val="24"/>
          <w:szCs w:val="24"/>
        </w:rPr>
        <w:t>S5………………………………………………………………………………………………6</w:t>
      </w:r>
    </w:p>
    <w:p w14:paraId="679A2A4D" w14:textId="77777777" w:rsidR="00657B86" w:rsidRPr="00657B86" w:rsidRDefault="00657B86" w:rsidP="009135BF">
      <w:pPr>
        <w:jc w:val="both"/>
      </w:pPr>
    </w:p>
    <w:p w14:paraId="4E38A28A" w14:textId="77777777" w:rsidR="00657B86" w:rsidRPr="00657B86" w:rsidRDefault="00657B86" w:rsidP="009135BF">
      <w:pPr>
        <w:jc w:val="both"/>
      </w:pPr>
    </w:p>
    <w:p w14:paraId="05A36C3C" w14:textId="77777777" w:rsidR="00657B86" w:rsidRPr="00657B86" w:rsidRDefault="00657B86" w:rsidP="009135BF">
      <w:pPr>
        <w:jc w:val="both"/>
      </w:pPr>
    </w:p>
    <w:p w14:paraId="27FD4B00" w14:textId="77777777" w:rsidR="00657B86" w:rsidRPr="00657B86" w:rsidRDefault="00657B86" w:rsidP="009135BF">
      <w:pPr>
        <w:jc w:val="both"/>
      </w:pPr>
    </w:p>
    <w:p w14:paraId="4540D39B" w14:textId="77777777" w:rsidR="00C63FFC" w:rsidRPr="00C57513" w:rsidRDefault="00C63FFC" w:rsidP="009135BF">
      <w:pPr>
        <w:jc w:val="both"/>
        <w:rPr>
          <w:sz w:val="20"/>
          <w:szCs w:val="20"/>
        </w:rPr>
      </w:pPr>
    </w:p>
    <w:p w14:paraId="613C3DB7" w14:textId="6D51292F" w:rsidR="00C63FFC" w:rsidRPr="00C57513" w:rsidRDefault="001F5289" w:rsidP="009135BF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1F65C4D" wp14:editId="4002212E">
            <wp:extent cx="4750323" cy="4761995"/>
            <wp:effectExtent l="0" t="0" r="0" b="635"/>
            <wp:docPr id="2069366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12" cy="476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166B0" w14:textId="47F92F18" w:rsidR="004E325F" w:rsidRPr="00C57513" w:rsidRDefault="004E325F" w:rsidP="009135BF">
      <w:pPr>
        <w:jc w:val="both"/>
        <w:rPr>
          <w:rFonts w:eastAsia="Times New Roman"/>
          <w:sz w:val="20"/>
          <w:szCs w:val="20"/>
        </w:rPr>
      </w:pPr>
      <w:r w:rsidRPr="00C57513">
        <w:rPr>
          <w:rFonts w:eastAsia="Times New Roman"/>
          <w:b/>
          <w:bCs/>
          <w:sz w:val="20"/>
          <w:szCs w:val="20"/>
        </w:rPr>
        <w:t>Fig</w:t>
      </w:r>
      <w:r w:rsidR="00FE1CDA">
        <w:rPr>
          <w:rFonts w:eastAsia="Times New Roman"/>
          <w:b/>
          <w:bCs/>
          <w:sz w:val="20"/>
          <w:szCs w:val="20"/>
        </w:rPr>
        <w:t>ure</w:t>
      </w:r>
      <w:r w:rsidRPr="00C57513">
        <w:rPr>
          <w:rFonts w:eastAsia="Times New Roman"/>
          <w:b/>
          <w:bCs/>
          <w:sz w:val="20"/>
          <w:szCs w:val="20"/>
        </w:rPr>
        <w:t xml:space="preserve"> S1 The distribution of pyramidal neurons in the mouse cerebral cortex.</w:t>
      </w:r>
      <w:r w:rsidRPr="00C57513">
        <w:rPr>
          <w:rFonts w:eastAsia="Times New Roman"/>
          <w:sz w:val="20"/>
          <w:szCs w:val="20"/>
        </w:rPr>
        <w:t xml:space="preserve"> </w:t>
      </w:r>
      <w:r w:rsidRPr="00FE1CDA">
        <w:rPr>
          <w:rFonts w:eastAsia="Times New Roman"/>
          <w:sz w:val="20"/>
          <w:szCs w:val="20"/>
        </w:rPr>
        <w:t>(</w:t>
      </w:r>
      <w:r w:rsidR="00FE1CDA" w:rsidRPr="00FE1CDA">
        <w:rPr>
          <w:rFonts w:eastAsia="Times New Roman"/>
          <w:sz w:val="20"/>
          <w:szCs w:val="20"/>
        </w:rPr>
        <w:t>a</w:t>
      </w:r>
      <w:r w:rsidRPr="00FE1CDA">
        <w:rPr>
          <w:rFonts w:eastAsia="Times New Roman"/>
          <w:sz w:val="20"/>
          <w:szCs w:val="20"/>
        </w:rPr>
        <w:t>-</w:t>
      </w:r>
      <w:r w:rsidR="00FE1CDA" w:rsidRPr="00FE1CDA">
        <w:rPr>
          <w:rFonts w:eastAsia="Times New Roman"/>
          <w:sz w:val="20"/>
          <w:szCs w:val="20"/>
        </w:rPr>
        <w:t>d</w:t>
      </w:r>
      <w:r w:rsidRPr="00FE1CDA">
        <w:rPr>
          <w:rFonts w:eastAsia="Times New Roman"/>
          <w:sz w:val="20"/>
          <w:szCs w:val="20"/>
        </w:rPr>
        <w:t xml:space="preserve">) The expression of TBR1, CTIP2, SATB2 and CUX1 in pyramidal neurons at different cortical layers. Bar, 75 </w:t>
      </w:r>
      <w:proofErr w:type="spellStart"/>
      <w:r w:rsidRPr="00FE1CDA">
        <w:rPr>
          <w:rFonts w:eastAsia="Times New Roman"/>
          <w:sz w:val="20"/>
          <w:szCs w:val="20"/>
        </w:rPr>
        <w:t>μm</w:t>
      </w:r>
      <w:proofErr w:type="spellEnd"/>
      <w:r w:rsidRPr="00FE1CDA">
        <w:rPr>
          <w:rFonts w:eastAsia="Times New Roman"/>
          <w:sz w:val="20"/>
          <w:szCs w:val="20"/>
        </w:rPr>
        <w:t>.</w:t>
      </w:r>
    </w:p>
    <w:p w14:paraId="47177299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699441C1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77AB71B6" w14:textId="6DAE775C" w:rsidR="00C63FFC" w:rsidRPr="00C57513" w:rsidRDefault="00C17AD7" w:rsidP="009135BF">
      <w:pPr>
        <w:jc w:val="both"/>
        <w:rPr>
          <w:rFonts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A49967E" wp14:editId="1A68FC27">
            <wp:extent cx="6208395" cy="4271645"/>
            <wp:effectExtent l="0" t="0" r="1905" b="0"/>
            <wp:docPr id="10177466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A35C" w14:textId="04D456DF" w:rsidR="004E325F" w:rsidRPr="00FE1CDA" w:rsidRDefault="004E325F" w:rsidP="009135BF">
      <w:pPr>
        <w:jc w:val="both"/>
        <w:rPr>
          <w:rFonts w:eastAsia="Times New Roman"/>
          <w:sz w:val="20"/>
          <w:szCs w:val="20"/>
        </w:rPr>
      </w:pPr>
      <w:r w:rsidRPr="00C57513">
        <w:rPr>
          <w:rFonts w:eastAsia="Times New Roman"/>
          <w:b/>
          <w:bCs/>
          <w:sz w:val="20"/>
          <w:szCs w:val="20"/>
        </w:rPr>
        <w:t>Fig</w:t>
      </w:r>
      <w:r w:rsidR="00FE1CDA">
        <w:rPr>
          <w:rFonts w:eastAsia="Times New Roman"/>
          <w:b/>
          <w:bCs/>
          <w:sz w:val="20"/>
          <w:szCs w:val="20"/>
        </w:rPr>
        <w:t>ure</w:t>
      </w:r>
      <w:r w:rsidRPr="00C57513">
        <w:rPr>
          <w:rFonts w:eastAsia="Times New Roman"/>
          <w:b/>
          <w:bCs/>
          <w:sz w:val="20"/>
          <w:szCs w:val="20"/>
        </w:rPr>
        <w:t xml:space="preserve"> S2 CTIP2-positive PNPs at differentiation day 50-60 in vitro.</w:t>
      </w:r>
      <w:r w:rsidRPr="00C57513">
        <w:rPr>
          <w:rFonts w:eastAsia="Times New Roman"/>
          <w:sz w:val="20"/>
          <w:szCs w:val="20"/>
        </w:rPr>
        <w:t xml:space="preserve"> </w:t>
      </w:r>
      <w:r w:rsidRPr="00FE1CDA">
        <w:rPr>
          <w:rFonts w:eastAsia="Times New Roman"/>
          <w:sz w:val="20"/>
          <w:szCs w:val="20"/>
        </w:rPr>
        <w:t>(</w:t>
      </w:r>
      <w:r w:rsidR="00FE1CDA" w:rsidRPr="00FE1CDA">
        <w:rPr>
          <w:rFonts w:eastAsia="Times New Roman"/>
          <w:sz w:val="20"/>
          <w:szCs w:val="20"/>
        </w:rPr>
        <w:t>a</w:t>
      </w:r>
      <w:r w:rsidRPr="00FE1CDA">
        <w:rPr>
          <w:rFonts w:eastAsia="Times New Roman"/>
          <w:sz w:val="20"/>
          <w:szCs w:val="20"/>
        </w:rPr>
        <w:t>-</w:t>
      </w:r>
      <w:r w:rsidR="00FE1CDA" w:rsidRPr="00FE1CDA">
        <w:rPr>
          <w:rFonts w:eastAsia="Times New Roman"/>
          <w:sz w:val="20"/>
          <w:szCs w:val="20"/>
        </w:rPr>
        <w:t>d</w:t>
      </w:r>
      <w:r w:rsidRPr="00FE1CDA">
        <w:rPr>
          <w:rFonts w:eastAsia="Times New Roman"/>
          <w:sz w:val="20"/>
          <w:szCs w:val="20"/>
        </w:rPr>
        <w:t xml:space="preserve">) CTIP2 and TBR1 staining at differentiation day </w:t>
      </w:r>
      <w:proofErr w:type="gramStart"/>
      <w:r w:rsidRPr="00FE1CDA">
        <w:rPr>
          <w:rFonts w:eastAsia="Times New Roman"/>
          <w:sz w:val="20"/>
          <w:szCs w:val="20"/>
        </w:rPr>
        <w:t>50</w:t>
      </w:r>
      <w:r w:rsidRPr="00FE1CDA">
        <w:rPr>
          <w:rFonts w:ascii="宋体" w:hAnsi="宋体" w:cs="宋体" w:hint="eastAsia"/>
          <w:sz w:val="20"/>
          <w:szCs w:val="20"/>
          <w:lang w:eastAsia="zh-CN"/>
        </w:rPr>
        <w:t>,</w:t>
      </w:r>
      <w:r w:rsidRPr="00FE1CDA">
        <w:rPr>
          <w:rFonts w:eastAsia="Times New Roman"/>
          <w:sz w:val="20"/>
          <w:szCs w:val="20"/>
        </w:rPr>
        <w:t>CTIP</w:t>
      </w:r>
      <w:proofErr w:type="gramEnd"/>
      <w:r w:rsidRPr="00FE1CDA">
        <w:rPr>
          <w:rFonts w:eastAsia="Times New Roman"/>
          <w:sz w:val="20"/>
          <w:szCs w:val="20"/>
        </w:rPr>
        <w:t>2+/TBR1- pyramidal neurons were showed in the white boxes. (</w:t>
      </w:r>
      <w:r w:rsidR="00FE1CDA" w:rsidRPr="00FE1CDA">
        <w:rPr>
          <w:rFonts w:eastAsia="Times New Roman"/>
          <w:sz w:val="20"/>
          <w:szCs w:val="20"/>
        </w:rPr>
        <w:t>e</w:t>
      </w:r>
      <w:r w:rsidRPr="00FE1CDA">
        <w:rPr>
          <w:rFonts w:eastAsia="Times New Roman"/>
          <w:sz w:val="20"/>
          <w:szCs w:val="20"/>
        </w:rPr>
        <w:t>-</w:t>
      </w:r>
      <w:r w:rsidR="00FE1CDA" w:rsidRPr="00FE1CDA">
        <w:rPr>
          <w:rFonts w:eastAsia="Times New Roman"/>
          <w:sz w:val="20"/>
          <w:szCs w:val="20"/>
        </w:rPr>
        <w:t>l</w:t>
      </w:r>
      <w:r w:rsidRPr="00FE1CDA">
        <w:rPr>
          <w:rFonts w:eastAsia="Times New Roman"/>
          <w:sz w:val="20"/>
          <w:szCs w:val="20"/>
        </w:rPr>
        <w:t xml:space="preserve">) Staining of the presynaptic marker VGLUT1 and the postsynaptic marker Homer1 on the CTIP2+ PNPs at differentiation day 60. bar, 50 </w:t>
      </w:r>
      <w:proofErr w:type="spellStart"/>
      <w:r w:rsidRPr="00FE1CDA">
        <w:rPr>
          <w:rFonts w:eastAsia="Times New Roman"/>
          <w:sz w:val="20"/>
          <w:szCs w:val="20"/>
        </w:rPr>
        <w:t>μm</w:t>
      </w:r>
      <w:proofErr w:type="spellEnd"/>
      <w:r w:rsidRPr="00FE1CDA">
        <w:rPr>
          <w:rFonts w:eastAsia="Times New Roman"/>
          <w:sz w:val="20"/>
          <w:szCs w:val="20"/>
        </w:rPr>
        <w:t>.</w:t>
      </w:r>
    </w:p>
    <w:p w14:paraId="47AEDEFD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1AAD622F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089C697D" w14:textId="479B127D" w:rsidR="00C63FFC" w:rsidRPr="00C57513" w:rsidRDefault="001F5289" w:rsidP="009135BF">
      <w:pPr>
        <w:jc w:val="both"/>
        <w:rPr>
          <w:rFonts w:eastAsia="宋体" w:cs="Times New Roman"/>
          <w:sz w:val="20"/>
          <w:szCs w:val="20"/>
        </w:rPr>
      </w:pPr>
      <w:r>
        <w:rPr>
          <w:rFonts w:eastAsia="宋体" w:cs="Times New Roman"/>
          <w:noProof/>
          <w:sz w:val="20"/>
          <w:szCs w:val="20"/>
        </w:rPr>
        <w:lastRenderedPageBreak/>
        <w:drawing>
          <wp:inline distT="0" distB="0" distL="0" distR="0" wp14:anchorId="4A0BE18D" wp14:editId="772E55B6">
            <wp:extent cx="6202680" cy="3802380"/>
            <wp:effectExtent l="0" t="0" r="7620" b="7620"/>
            <wp:docPr id="15381794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0CA8" w14:textId="5FDC4B7A" w:rsidR="004E325F" w:rsidRPr="00C57513" w:rsidRDefault="004E325F" w:rsidP="009135BF">
      <w:pPr>
        <w:jc w:val="both"/>
        <w:rPr>
          <w:rFonts w:eastAsia="Times New Roman"/>
          <w:sz w:val="20"/>
          <w:szCs w:val="20"/>
        </w:rPr>
      </w:pPr>
      <w:r w:rsidRPr="00C57513">
        <w:rPr>
          <w:rFonts w:eastAsia="Times New Roman"/>
          <w:b/>
          <w:bCs/>
          <w:sz w:val="20"/>
          <w:szCs w:val="20"/>
        </w:rPr>
        <w:t>Fig</w:t>
      </w:r>
      <w:r w:rsidR="00FE1CDA">
        <w:rPr>
          <w:rFonts w:eastAsia="Times New Roman"/>
          <w:b/>
          <w:bCs/>
          <w:sz w:val="20"/>
          <w:szCs w:val="20"/>
        </w:rPr>
        <w:t>ure</w:t>
      </w:r>
      <w:r w:rsidRPr="00C57513">
        <w:rPr>
          <w:rFonts w:eastAsia="Times New Roman"/>
          <w:b/>
          <w:bCs/>
          <w:sz w:val="20"/>
          <w:szCs w:val="20"/>
        </w:rPr>
        <w:t xml:space="preserve"> S3 Axons of rat neurons grow into the grafts 2 months following transplantation.</w:t>
      </w:r>
      <w:r w:rsidRPr="00C57513">
        <w:rPr>
          <w:rFonts w:eastAsia="Times New Roman"/>
          <w:sz w:val="20"/>
          <w:szCs w:val="20"/>
        </w:rPr>
        <w:t xml:space="preserve"> </w:t>
      </w:r>
      <w:r w:rsidRPr="00FE1CDA">
        <w:rPr>
          <w:rFonts w:eastAsia="Times New Roman"/>
          <w:sz w:val="20"/>
          <w:szCs w:val="20"/>
        </w:rPr>
        <w:t>(</w:t>
      </w:r>
      <w:r w:rsidR="00FE1CDA" w:rsidRPr="00FE1CDA">
        <w:rPr>
          <w:rFonts w:eastAsia="Times New Roman"/>
          <w:sz w:val="20"/>
          <w:szCs w:val="20"/>
        </w:rPr>
        <w:t>a-c</w:t>
      </w:r>
      <w:r w:rsidRPr="00FE1CDA">
        <w:rPr>
          <w:rFonts w:eastAsia="Times New Roman"/>
          <w:sz w:val="20"/>
          <w:szCs w:val="20"/>
        </w:rPr>
        <w:t>) The interface of grafts and rat tissue. (</w:t>
      </w:r>
      <w:r w:rsidR="00FE1CDA" w:rsidRPr="00FE1CDA">
        <w:rPr>
          <w:rFonts w:eastAsia="Times New Roman"/>
          <w:sz w:val="20"/>
          <w:szCs w:val="20"/>
        </w:rPr>
        <w:t>d-f</w:t>
      </w:r>
      <w:r w:rsidRPr="00FE1CDA">
        <w:rPr>
          <w:rFonts w:eastAsia="Times New Roman"/>
          <w:sz w:val="20"/>
          <w:szCs w:val="20"/>
        </w:rPr>
        <w:t xml:space="preserve">) The view in the white box in Figure A. GFP, green; NF, red; bar, 100 </w:t>
      </w:r>
      <w:proofErr w:type="spellStart"/>
      <w:r w:rsidRPr="00FE1CDA">
        <w:rPr>
          <w:rFonts w:eastAsia="Times New Roman"/>
          <w:sz w:val="20"/>
          <w:szCs w:val="20"/>
        </w:rPr>
        <w:t>μm</w:t>
      </w:r>
      <w:proofErr w:type="spellEnd"/>
      <w:r w:rsidRPr="00FE1CDA">
        <w:rPr>
          <w:rFonts w:eastAsia="Times New Roman"/>
          <w:sz w:val="20"/>
          <w:szCs w:val="20"/>
        </w:rPr>
        <w:t>.</w:t>
      </w:r>
    </w:p>
    <w:p w14:paraId="3252A7DF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27FEEC42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79BA5612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5BFAC6DE" w14:textId="0E0256F0" w:rsidR="004E325F" w:rsidRPr="00C17AD7" w:rsidRDefault="00C17AD7" w:rsidP="009135BF">
      <w:pPr>
        <w:jc w:val="both"/>
        <w:rPr>
          <w:rFonts w:cs="Times New Roman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5511324" wp14:editId="0ACDF627">
            <wp:extent cx="6208395" cy="5949950"/>
            <wp:effectExtent l="0" t="0" r="1905" b="0"/>
            <wp:docPr id="1676557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59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27403" w14:textId="77777777" w:rsidR="00B325FD" w:rsidRPr="00FE1CDA" w:rsidRDefault="00B325FD" w:rsidP="009135BF">
      <w:pPr>
        <w:jc w:val="both"/>
        <w:rPr>
          <w:rFonts w:eastAsia="Times New Roman"/>
          <w:sz w:val="20"/>
          <w:szCs w:val="20"/>
        </w:rPr>
      </w:pPr>
      <w:r w:rsidRPr="009135BF">
        <w:rPr>
          <w:rFonts w:eastAsia="Times New Roman"/>
          <w:b/>
          <w:bCs/>
          <w:sz w:val="20"/>
          <w:szCs w:val="20"/>
        </w:rPr>
        <w:t>Figure S4 IGF1- and TGF-β1- positive microglia/macrophages at the lesion site 2 w after transplantation.</w:t>
      </w:r>
      <w:r w:rsidRPr="009135BF">
        <w:rPr>
          <w:rFonts w:eastAsia="Times New Roman"/>
          <w:sz w:val="20"/>
          <w:szCs w:val="20"/>
        </w:rPr>
        <w:t xml:space="preserve"> (a-f) Some microglia/macrophages expressed IGF1 (a-c) and TGF-β1 (d-f) at the lesion site 2 w following transplantation. </w:t>
      </w:r>
      <w:r w:rsidRPr="009135BF">
        <w:rPr>
          <w:rFonts w:hint="eastAsia"/>
          <w:sz w:val="20"/>
          <w:szCs w:val="20"/>
          <w:lang w:eastAsia="zh-CN"/>
        </w:rPr>
        <w:t>(g)</w:t>
      </w:r>
      <w:r w:rsidRPr="009135BF">
        <w:t xml:space="preserve"> </w:t>
      </w:r>
      <w:r w:rsidRPr="009135BF">
        <w:rPr>
          <w:rFonts w:hint="eastAsia"/>
          <w:sz w:val="20"/>
          <w:szCs w:val="20"/>
          <w:lang w:eastAsia="zh-CN"/>
        </w:rPr>
        <w:t>T</w:t>
      </w:r>
      <w:r w:rsidRPr="009135BF">
        <w:rPr>
          <w:sz w:val="20"/>
          <w:szCs w:val="20"/>
          <w:lang w:eastAsia="zh-CN"/>
        </w:rPr>
        <w:t xml:space="preserve">he percentages of IGF1- </w:t>
      </w:r>
      <w:r w:rsidRPr="009135BF">
        <w:rPr>
          <w:rFonts w:hint="eastAsia"/>
          <w:sz w:val="20"/>
          <w:szCs w:val="20"/>
          <w:lang w:eastAsia="zh-CN"/>
        </w:rPr>
        <w:t>and</w:t>
      </w:r>
      <w:r w:rsidRPr="009135BF">
        <w:rPr>
          <w:sz w:val="20"/>
          <w:szCs w:val="20"/>
          <w:lang w:eastAsia="zh-CN"/>
        </w:rPr>
        <w:t xml:space="preserve"> TGF</w:t>
      </w:r>
      <w:r w:rsidRPr="009135BF">
        <w:rPr>
          <w:rFonts w:eastAsia="Times New Roman"/>
          <w:sz w:val="20"/>
          <w:szCs w:val="20"/>
        </w:rPr>
        <w:t xml:space="preserve"> β1-</w:t>
      </w:r>
      <w:r w:rsidRPr="009135BF">
        <w:rPr>
          <w:sz w:val="20"/>
          <w:szCs w:val="20"/>
          <w:lang w:eastAsia="zh-CN"/>
        </w:rPr>
        <w:t xml:space="preserve">positive microglia were quantified. </w:t>
      </w:r>
      <w:r w:rsidRPr="009135BF">
        <w:rPr>
          <w:rFonts w:hint="eastAsia"/>
          <w:sz w:val="20"/>
          <w:szCs w:val="20"/>
          <w:lang w:eastAsia="zh-CN"/>
        </w:rPr>
        <w:t>(n=3</w:t>
      </w:r>
      <w:r w:rsidRPr="009135BF">
        <w:rPr>
          <w:rFonts w:eastAsia="Times New Roman"/>
          <w:sz w:val="20"/>
          <w:szCs w:val="20"/>
        </w:rPr>
        <w:t>; * P &lt; 0.05; ** P &lt; 0.01; *** P &lt; 0.001</w:t>
      </w:r>
      <w:r w:rsidRPr="009135BF">
        <w:rPr>
          <w:rFonts w:hint="eastAsia"/>
          <w:sz w:val="20"/>
          <w:szCs w:val="20"/>
          <w:lang w:eastAsia="zh-CN"/>
        </w:rPr>
        <w:t xml:space="preserve">). </w:t>
      </w:r>
      <w:r w:rsidRPr="009135BF">
        <w:rPr>
          <w:rFonts w:eastAsia="Times New Roman"/>
          <w:sz w:val="20"/>
          <w:szCs w:val="20"/>
        </w:rPr>
        <w:t xml:space="preserve">Yellow arrows indicated the positive cells. IGF1 and TGF-β1, red; Iba1, white; bar, 50 </w:t>
      </w:r>
      <w:proofErr w:type="spellStart"/>
      <w:r w:rsidRPr="009135BF">
        <w:rPr>
          <w:rFonts w:eastAsia="Times New Roman"/>
          <w:sz w:val="20"/>
          <w:szCs w:val="20"/>
        </w:rPr>
        <w:t>μm</w:t>
      </w:r>
      <w:proofErr w:type="spellEnd"/>
      <w:r w:rsidRPr="009135BF">
        <w:rPr>
          <w:rFonts w:eastAsia="Times New Roman"/>
          <w:sz w:val="20"/>
          <w:szCs w:val="20"/>
        </w:rPr>
        <w:t>.</w:t>
      </w:r>
    </w:p>
    <w:p w14:paraId="13E93134" w14:textId="77777777" w:rsidR="00C63FFC" w:rsidRPr="00C57513" w:rsidRDefault="00C63FFC" w:rsidP="009135BF">
      <w:pPr>
        <w:jc w:val="both"/>
        <w:rPr>
          <w:rFonts w:cs="Times New Roman"/>
          <w:sz w:val="20"/>
          <w:szCs w:val="20"/>
        </w:rPr>
      </w:pPr>
    </w:p>
    <w:p w14:paraId="57CCD813" w14:textId="6EEECA17" w:rsidR="00C63FFC" w:rsidRPr="00C57513" w:rsidRDefault="001F5289" w:rsidP="009135BF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86CD073" wp14:editId="578A47BC">
            <wp:extent cx="6202680" cy="4632960"/>
            <wp:effectExtent l="0" t="0" r="7620" b="0"/>
            <wp:docPr id="13764891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6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A8BB" w14:textId="77777777" w:rsidR="00B325FD" w:rsidRPr="00C57513" w:rsidRDefault="00B325FD" w:rsidP="009135BF">
      <w:pPr>
        <w:jc w:val="both"/>
        <w:rPr>
          <w:rFonts w:eastAsia="Times New Roman"/>
          <w:sz w:val="20"/>
          <w:szCs w:val="20"/>
        </w:rPr>
      </w:pPr>
      <w:r w:rsidRPr="00C57513">
        <w:rPr>
          <w:rFonts w:eastAsia="Times New Roman"/>
          <w:b/>
          <w:sz w:val="20"/>
          <w:szCs w:val="20"/>
        </w:rPr>
        <w:t>Fig</w:t>
      </w:r>
      <w:r>
        <w:rPr>
          <w:rFonts w:eastAsia="Times New Roman"/>
          <w:b/>
          <w:sz w:val="20"/>
          <w:szCs w:val="20"/>
        </w:rPr>
        <w:t>ure</w:t>
      </w:r>
      <w:r w:rsidRPr="00C57513">
        <w:rPr>
          <w:rFonts w:eastAsia="Times New Roman"/>
          <w:b/>
          <w:sz w:val="20"/>
          <w:szCs w:val="20"/>
        </w:rPr>
        <w:t xml:space="preserve"> S5 Expression of the inflammatory factor TNFα, and neurotrophic factors IGF1 and BDNF at the lesion sites in SCI rats.</w:t>
      </w:r>
      <w:r w:rsidRPr="00C57513">
        <w:rPr>
          <w:rFonts w:eastAsia="Times New Roman"/>
          <w:sz w:val="20"/>
          <w:szCs w:val="20"/>
        </w:rPr>
        <w:t xml:space="preserve"> </w:t>
      </w:r>
      <w:r w:rsidRPr="00FE1CDA">
        <w:rPr>
          <w:rFonts w:eastAsia="Times New Roman"/>
          <w:sz w:val="20"/>
          <w:szCs w:val="20"/>
        </w:rPr>
        <w:t xml:space="preserve">(a) Staining of TNFα, IGF1 and BDNF at the lesion sites in PNP and vehicle groups at 2 w, 4 w and 8 w (TNFα and IGF1, red; BDNF, white; bar, 50 </w:t>
      </w:r>
      <w:proofErr w:type="spellStart"/>
      <w:r w:rsidRPr="00FE1CDA">
        <w:rPr>
          <w:rFonts w:eastAsia="Times New Roman"/>
          <w:sz w:val="20"/>
          <w:szCs w:val="20"/>
        </w:rPr>
        <w:t>μm</w:t>
      </w:r>
      <w:proofErr w:type="spellEnd"/>
      <w:r w:rsidRPr="00FE1CDA">
        <w:rPr>
          <w:rFonts w:eastAsia="Times New Roman"/>
          <w:sz w:val="20"/>
          <w:szCs w:val="20"/>
        </w:rPr>
        <w:t>). (b-d) The density of TNFα+ (b), IGF1+ (c) and BDNF+ (d) cells at the lesion sites (the number of positive cells divided by the area</w:t>
      </w:r>
      <w:bookmarkStart w:id="9" w:name="_Hlk49768640"/>
      <w:r w:rsidRPr="00FE1CDA">
        <w:rPr>
          <w:rFonts w:eastAsia="Times New Roman"/>
          <w:sz w:val="20"/>
          <w:szCs w:val="20"/>
        </w:rPr>
        <w:t xml:space="preserve">). </w:t>
      </w:r>
      <w:bookmarkStart w:id="10" w:name="_Hlk142659672"/>
      <w:r w:rsidRPr="00FE1CDA">
        <w:rPr>
          <w:rFonts w:eastAsia="Times New Roman" w:hint="eastAsia"/>
          <w:sz w:val="20"/>
          <w:szCs w:val="20"/>
        </w:rPr>
        <w:t>n</w:t>
      </w:r>
      <w:r w:rsidRPr="00FE1CDA">
        <w:rPr>
          <w:rFonts w:eastAsia="Times New Roman"/>
          <w:sz w:val="20"/>
          <w:szCs w:val="20"/>
        </w:rPr>
        <w:t xml:space="preserve"> </w:t>
      </w:r>
      <w:r w:rsidRPr="00FE1CDA">
        <w:rPr>
          <w:rFonts w:eastAsia="Times New Roman" w:hint="eastAsia"/>
          <w:sz w:val="20"/>
          <w:szCs w:val="20"/>
        </w:rPr>
        <w:t>=</w:t>
      </w:r>
      <w:r w:rsidRPr="00FE1CDA">
        <w:rPr>
          <w:rFonts w:eastAsia="Times New Roman"/>
          <w:sz w:val="20"/>
          <w:szCs w:val="20"/>
        </w:rPr>
        <w:t xml:space="preserve"> 5; * P &lt; 0.05; ** P &lt; 0.01; *** P &lt; 0.001.</w:t>
      </w:r>
      <w:bookmarkEnd w:id="9"/>
      <w:bookmarkEnd w:id="10"/>
    </w:p>
    <w:p w14:paraId="6CE67C52" w14:textId="77777777" w:rsidR="00C63FFC" w:rsidRPr="00C57513" w:rsidRDefault="00C63FFC" w:rsidP="009135BF">
      <w:pPr>
        <w:jc w:val="both"/>
        <w:rPr>
          <w:sz w:val="20"/>
          <w:szCs w:val="20"/>
        </w:rPr>
      </w:pPr>
    </w:p>
    <w:sectPr w:rsidR="00C63FFC" w:rsidRPr="00C57513" w:rsidSect="00342E66"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7109C" w14:textId="77777777" w:rsidR="00342E66" w:rsidRDefault="00342E66" w:rsidP="00117666">
      <w:pPr>
        <w:spacing w:after="0"/>
      </w:pPr>
      <w:r>
        <w:separator/>
      </w:r>
    </w:p>
  </w:endnote>
  <w:endnote w:type="continuationSeparator" w:id="0">
    <w:p w14:paraId="4B2EC879" w14:textId="77777777" w:rsidR="00342E66" w:rsidRDefault="00342E6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9934785"/>
      <w:docPartObj>
        <w:docPartGallery w:val="Page Numbers (Bottom of Page)"/>
        <w:docPartUnique/>
      </w:docPartObj>
    </w:sdtPr>
    <w:sdtContent>
      <w:p w14:paraId="0FF2EC4F" w14:textId="33DA2272" w:rsidR="00F45462" w:rsidRDefault="00F4546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2C93025F" w14:textId="420D368F" w:rsidR="000A0DA6" w:rsidRPr="00577C4C" w:rsidRDefault="000A0DA6">
    <w:pPr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0611347"/>
      <w:docPartObj>
        <w:docPartGallery w:val="Page Numbers (Bottom of Page)"/>
        <w:docPartUnique/>
      </w:docPartObj>
    </w:sdtPr>
    <w:sdtContent>
      <w:p w14:paraId="799BDDB3" w14:textId="6DCF6A15" w:rsidR="00F45462" w:rsidRDefault="00F45462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7B4D6A35" w14:textId="55DF7BC3" w:rsidR="000A0DA6" w:rsidRPr="00577C4C" w:rsidRDefault="000A0DA6">
    <w:pPr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217529"/>
      <w:docPartObj>
        <w:docPartGallery w:val="Page Numbers (Bottom of Page)"/>
        <w:docPartUnique/>
      </w:docPartObj>
    </w:sdtPr>
    <w:sdtContent>
      <w:p w14:paraId="79CA6042" w14:textId="4792110C" w:rsidR="00FE1CDA" w:rsidRDefault="00FE1CD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1FFE4C85" w14:textId="77777777" w:rsidR="00FE1CDA" w:rsidRDefault="00FE1CD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176FA" w14:textId="77777777" w:rsidR="00342E66" w:rsidRDefault="00342E66" w:rsidP="00117666">
      <w:pPr>
        <w:spacing w:after="0"/>
      </w:pPr>
      <w:r>
        <w:separator/>
      </w:r>
    </w:p>
  </w:footnote>
  <w:footnote w:type="continuationSeparator" w:id="0">
    <w:p w14:paraId="47ADDA17" w14:textId="77777777" w:rsidR="00342E66" w:rsidRDefault="00342E6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68C6" w14:textId="33115AC9" w:rsidR="000A0DA6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63486034">
    <w:abstractNumId w:val="0"/>
  </w:num>
  <w:num w:numId="2" w16cid:durableId="638730652">
    <w:abstractNumId w:val="4"/>
  </w:num>
  <w:num w:numId="3" w16cid:durableId="1236891070">
    <w:abstractNumId w:val="1"/>
  </w:num>
  <w:num w:numId="4" w16cid:durableId="1773864281">
    <w:abstractNumId w:val="5"/>
  </w:num>
  <w:num w:numId="5" w16cid:durableId="62994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799430">
    <w:abstractNumId w:val="3"/>
  </w:num>
  <w:num w:numId="7" w16cid:durableId="1912424880">
    <w:abstractNumId w:val="6"/>
  </w:num>
  <w:num w:numId="8" w16cid:durableId="1193306674">
    <w:abstractNumId w:val="6"/>
  </w:num>
  <w:num w:numId="9" w16cid:durableId="1230268535">
    <w:abstractNumId w:val="6"/>
  </w:num>
  <w:num w:numId="10" w16cid:durableId="1013611046">
    <w:abstractNumId w:val="6"/>
  </w:num>
  <w:num w:numId="11" w16cid:durableId="1191601409">
    <w:abstractNumId w:val="6"/>
  </w:num>
  <w:num w:numId="12" w16cid:durableId="1100292459">
    <w:abstractNumId w:val="6"/>
  </w:num>
  <w:num w:numId="13" w16cid:durableId="814705">
    <w:abstractNumId w:val="3"/>
  </w:num>
  <w:num w:numId="14" w16cid:durableId="1879196795">
    <w:abstractNumId w:val="2"/>
  </w:num>
  <w:num w:numId="15" w16cid:durableId="1301808546">
    <w:abstractNumId w:val="2"/>
  </w:num>
  <w:num w:numId="16" w16cid:durableId="404650548">
    <w:abstractNumId w:val="2"/>
  </w:num>
  <w:num w:numId="17" w16cid:durableId="1508641716">
    <w:abstractNumId w:val="2"/>
  </w:num>
  <w:num w:numId="18" w16cid:durableId="788233401">
    <w:abstractNumId w:val="2"/>
  </w:num>
  <w:num w:numId="19" w16cid:durableId="1590237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A0DA6"/>
    <w:rsid w:val="00105FD9"/>
    <w:rsid w:val="00117666"/>
    <w:rsid w:val="001549D3"/>
    <w:rsid w:val="00160065"/>
    <w:rsid w:val="00177D84"/>
    <w:rsid w:val="001D1577"/>
    <w:rsid w:val="001F5289"/>
    <w:rsid w:val="00267D18"/>
    <w:rsid w:val="00274347"/>
    <w:rsid w:val="002868E2"/>
    <w:rsid w:val="002869C3"/>
    <w:rsid w:val="002936E4"/>
    <w:rsid w:val="002B4A57"/>
    <w:rsid w:val="002C74CA"/>
    <w:rsid w:val="003123F4"/>
    <w:rsid w:val="00313511"/>
    <w:rsid w:val="00342E66"/>
    <w:rsid w:val="003544FB"/>
    <w:rsid w:val="00365FDC"/>
    <w:rsid w:val="003D2F2D"/>
    <w:rsid w:val="003D6BE9"/>
    <w:rsid w:val="003E3EC7"/>
    <w:rsid w:val="003E7A65"/>
    <w:rsid w:val="00401590"/>
    <w:rsid w:val="00447801"/>
    <w:rsid w:val="00452E9C"/>
    <w:rsid w:val="004735C8"/>
    <w:rsid w:val="004947A6"/>
    <w:rsid w:val="004961FF"/>
    <w:rsid w:val="004E325F"/>
    <w:rsid w:val="004E7A8A"/>
    <w:rsid w:val="00517A89"/>
    <w:rsid w:val="005250F2"/>
    <w:rsid w:val="00551DAC"/>
    <w:rsid w:val="00584341"/>
    <w:rsid w:val="00593EEA"/>
    <w:rsid w:val="005A58D7"/>
    <w:rsid w:val="005A5EEE"/>
    <w:rsid w:val="00601DB0"/>
    <w:rsid w:val="00614431"/>
    <w:rsid w:val="006375C7"/>
    <w:rsid w:val="00654E8F"/>
    <w:rsid w:val="00657B86"/>
    <w:rsid w:val="00660540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778CA"/>
    <w:rsid w:val="00885156"/>
    <w:rsid w:val="008A222D"/>
    <w:rsid w:val="009135BF"/>
    <w:rsid w:val="009151AA"/>
    <w:rsid w:val="0093429D"/>
    <w:rsid w:val="00943573"/>
    <w:rsid w:val="00964134"/>
    <w:rsid w:val="00970F7D"/>
    <w:rsid w:val="00994A3D"/>
    <w:rsid w:val="009C2B12"/>
    <w:rsid w:val="00A174D9"/>
    <w:rsid w:val="00A558E7"/>
    <w:rsid w:val="00AA4D24"/>
    <w:rsid w:val="00AB1A9A"/>
    <w:rsid w:val="00AB6257"/>
    <w:rsid w:val="00AB6715"/>
    <w:rsid w:val="00B1671E"/>
    <w:rsid w:val="00B25545"/>
    <w:rsid w:val="00B25EB8"/>
    <w:rsid w:val="00B325FD"/>
    <w:rsid w:val="00B37F4D"/>
    <w:rsid w:val="00BB4C5A"/>
    <w:rsid w:val="00C17AD7"/>
    <w:rsid w:val="00C52A7B"/>
    <w:rsid w:val="00C56BAF"/>
    <w:rsid w:val="00C57513"/>
    <w:rsid w:val="00C63FFC"/>
    <w:rsid w:val="00C679AA"/>
    <w:rsid w:val="00C75972"/>
    <w:rsid w:val="00CA77DD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EF7F35"/>
    <w:rsid w:val="00F242FE"/>
    <w:rsid w:val="00F45462"/>
    <w:rsid w:val="00F46900"/>
    <w:rsid w:val="00F61D89"/>
    <w:rsid w:val="00FB5BC6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313511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zhiguo@gmail.com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</TotalTime>
  <Pages>7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默 李</cp:lastModifiedBy>
  <cp:revision>5</cp:revision>
  <cp:lastPrinted>2013-10-03T12:51:00Z</cp:lastPrinted>
  <dcterms:created xsi:type="dcterms:W3CDTF">2024-04-10T10:50:00Z</dcterms:created>
  <dcterms:modified xsi:type="dcterms:W3CDTF">2024-04-10T11:13:00Z</dcterms:modified>
</cp:coreProperties>
</file>