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B57D" w14:textId="77777777" w:rsidR="002879C6" w:rsidRPr="00555743" w:rsidRDefault="002879C6" w:rsidP="00564000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555743">
        <w:rPr>
          <w:rFonts w:ascii="Times New Roman" w:hAnsi="Times New Roman" w:cs="Times New Roman"/>
          <w:b/>
          <w:bCs/>
          <w:sz w:val="24"/>
        </w:rPr>
        <w:t>Supplementary materials</w:t>
      </w:r>
    </w:p>
    <w:p w14:paraId="5E9C7C76" w14:textId="77777777" w:rsidR="00564000" w:rsidRPr="00555743" w:rsidRDefault="00564000" w:rsidP="0056400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5FA4F7" w14:textId="77777777" w:rsidR="00564000" w:rsidRPr="00555743" w:rsidRDefault="00564000" w:rsidP="00E0388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B64B242" w14:textId="68D06691" w:rsidR="00564000" w:rsidRPr="00555743" w:rsidRDefault="00555743" w:rsidP="0055574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55743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841CBAD" wp14:editId="6CFCE03D">
            <wp:extent cx="5274310" cy="533908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3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78722" w14:textId="0A5DFA8E" w:rsidR="009C7FBA" w:rsidRPr="00555743" w:rsidRDefault="009C7FBA" w:rsidP="009C7FBA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Figure </w:t>
      </w:r>
      <w:r w:rsidR="00564000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S1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IFN-γ induce β cells necroptosis in patients with LC and DM. (</w:t>
      </w:r>
      <w:r w:rsidR="00555743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) 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concentration of IL-6, IL-4, IL-2, and IL-10 in plasma from patients with LC and patients with LC and DM were detected by flow cytometry. n=37–43. 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="00555743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–</w:t>
      </w:r>
      <w:r w:rsidR="00555743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h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) 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Correlation analyses of inflammatory cytokines and glucose concentration, as determined by Spearman’s rank test. n=34–37. 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proofErr w:type="spellStart"/>
      <w:r w:rsidR="00555743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</w:t>
      </w:r>
      <w:proofErr w:type="spellEnd"/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) 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After stimulated by </w:t>
      </w:r>
      <w:r w:rsidR="00564000"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>IL-6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(100 </w:t>
      </w:r>
      <w:proofErr w:type="spellStart"/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>nM</w:t>
      </w:r>
      <w:proofErr w:type="spellEnd"/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), </w:t>
      </w:r>
      <w:r w:rsidR="00564000"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>IL-</w:t>
      </w:r>
      <w:r w:rsidR="00564000"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(100 </w:t>
      </w:r>
      <w:proofErr w:type="spellStart"/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>nM</w:t>
      </w:r>
      <w:proofErr w:type="spellEnd"/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for 24 hours, the 1.1B4 pancreatic β cells were stained with DAPI (blue) and insulin (red). Data are presented as means ± S.E.M.; </w:t>
      </w:r>
      <w:proofErr w:type="spellStart"/>
      <w:r w:rsidRPr="0055574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ns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>p</w:t>
      </w:r>
      <w:proofErr w:type="spellEnd"/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&gt; 0.05.  </w:t>
      </w:r>
    </w:p>
    <w:p w14:paraId="5EA8189D" w14:textId="3C336917" w:rsidR="002879C6" w:rsidRPr="00555743" w:rsidRDefault="002879C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1C52323" w14:textId="6947728F" w:rsidR="00E03881" w:rsidRPr="00555743" w:rsidRDefault="00555743" w:rsidP="0055574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55743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7502D97F" wp14:editId="0F9C9004">
            <wp:extent cx="5274310" cy="341884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1E955" w14:textId="0FE5498B" w:rsidR="002879C6" w:rsidRPr="00555743" w:rsidRDefault="009C7FB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Figure </w:t>
      </w:r>
      <w:r w:rsidR="00564000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S2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Increased IFN-γ was mainly from CD56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bright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127B0A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while not CD56</w:t>
      </w:r>
      <w:r w:rsidR="00127B0A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dim</w:t>
      </w:r>
      <w:r w:rsidR="00127B0A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NK cells 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in patients with LC and DM.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="00555743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–</w:t>
      </w:r>
      <w:r w:rsidR="00555743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55574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="00430E5F" w:rsidRPr="0055574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The percentages of CD56</w:t>
      </w:r>
      <w:r w:rsidR="00430E5F" w:rsidRPr="0055574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 xml:space="preserve">dim </w:t>
      </w:r>
      <w:r w:rsidR="00430E5F" w:rsidRPr="0055574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NK cells in IFN-γ</w:t>
      </w:r>
      <w:r w:rsidR="00430E5F" w:rsidRPr="0055574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 xml:space="preserve">+ </w:t>
      </w:r>
      <w:r w:rsidR="00430E5F" w:rsidRPr="0055574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subsets (</w:t>
      </w:r>
      <w:r w:rsidR="0055574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</w:t>
      </w:r>
      <w:r w:rsidR="00430E5F" w:rsidRPr="0055574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) and CD45</w:t>
      </w:r>
      <w:r w:rsidR="00430E5F" w:rsidRPr="0055574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+</w:t>
      </w:r>
      <w:r w:rsidR="00430E5F" w:rsidRPr="0055574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subsets (</w:t>
      </w:r>
      <w:r w:rsidR="0055574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b</w:t>
      </w:r>
      <w:r w:rsidR="00430E5F" w:rsidRPr="0055574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) 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>were detected by flow cytometry, n=22–63.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(</w:t>
      </w:r>
      <w:r w:rsidR="00555743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="00430E5F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–</w:t>
      </w:r>
      <w:r w:rsidR="00555743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) 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>Correlation analyses of NK</w:t>
      </w:r>
      <w:r w:rsidR="00564000"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subsets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percentages and glucose concentration, as determined by Spearman’s rank test. n=45. Data are presented as means ± S.E.M.; </w:t>
      </w:r>
      <w:proofErr w:type="spellStart"/>
      <w:r w:rsidRPr="0055574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ns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>p</w:t>
      </w:r>
      <w:proofErr w:type="spellEnd"/>
      <w:r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&gt; 0.05.</w:t>
      </w:r>
    </w:p>
    <w:p w14:paraId="1FC11FD9" w14:textId="044D9C2F" w:rsidR="002879C6" w:rsidRPr="00555743" w:rsidRDefault="002879C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EEF83A0" w14:textId="1894E949" w:rsidR="00E03881" w:rsidRPr="00555743" w:rsidRDefault="00BF2D9D" w:rsidP="0055574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23C65E6D" wp14:editId="3F827A92">
            <wp:extent cx="5274310" cy="62274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96904" w14:textId="738538B3" w:rsidR="002879C6" w:rsidRPr="00555743" w:rsidRDefault="009C7FB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Figure </w:t>
      </w:r>
      <w:r w:rsidR="009C12C9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S3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S100A8/A9 from neutrophils activate P38 MAPK signal pathway via binding with RAG</w:t>
      </w:r>
      <w:r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E. (</w:t>
      </w:r>
      <w:r w:rsidR="00555743"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After pretreated with SB203580 (10 </w:t>
      </w:r>
      <w:proofErr w:type="spellStart"/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μM</w:t>
      </w:r>
      <w:proofErr w:type="spellEnd"/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) or not for 30 min, the NK-92 MI cells were cultured with medium containing plasma from</w:t>
      </w:r>
      <w:r w:rsidR="00314E8E"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LC</w:t>
      </w:r>
      <w:r w:rsidR="00314E8E"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or LC+DM patients. The </w:t>
      </w:r>
      <w:r w:rsidR="009C12C9"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levels of p-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P</w:t>
      </w:r>
      <w:r w:rsidR="009C12C9"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65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C12C9"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proteins 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were detected by western blot. </w:t>
      </w:r>
      <w:r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="00555743"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proteins were divided into 4 groups according to fold changes. The heat maps of functional cluster analysis-based protein domain enrichment in the LC+DM group compared to the LC group. </w:t>
      </w:r>
      <w:r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="00555743"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After stimulated with S100A8/A9 (4 </w:t>
      </w:r>
      <w:proofErr w:type="spellStart"/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μg</w:t>
      </w:r>
      <w:proofErr w:type="spellEnd"/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/ml) for 24 hours, the percentages of PI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1.1B4 β cells were detected by flow cytometry. </w:t>
      </w:r>
      <w:r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="00555743"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</w:t>
      </w:r>
      <w:r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–</w:t>
      </w:r>
      <w:r w:rsidR="00555743"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</w:t>
      </w:r>
      <w:r w:rsidRPr="00A86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) 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After culturing with medium containing 20% plasma from LC patients for 40 hours, the NK-92 MI cells were stimulated with S100A8/A9 (4 </w:t>
      </w:r>
      <w:proofErr w:type="spellStart"/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μg</w:t>
      </w:r>
      <w:proofErr w:type="spellEnd"/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/ml) followed by PBS or FPS-ZM1 (1 </w:t>
      </w:r>
      <w:proofErr w:type="spellStart"/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μM</w:t>
      </w:r>
      <w:proofErr w:type="spellEnd"/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treatment. The </w:t>
      </w:r>
      <w:r w:rsidR="00314E8E"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levels of TNF-α in cell culture super</w:t>
      </w:r>
      <w:r w:rsidR="002145C0"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nata</w:t>
      </w:r>
      <w:r w:rsidR="00314E8E"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nt was detected by ELISA (</w:t>
      </w:r>
      <w:r w:rsidR="00555743"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="00314E8E"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). 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</w:t>
      </w:r>
      <w:r w:rsidR="00314E8E"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the RAGE</w:t>
      </w:r>
      <w:r w:rsidR="00314E8E" w:rsidRPr="00A86FE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="00314E8E"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NK cells 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were detected by flow cytometry (</w:t>
      </w:r>
      <w:r w:rsidR="00555743"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). Data are presented as means ± S.E.M.; </w:t>
      </w:r>
      <w:proofErr w:type="spellStart"/>
      <w:r w:rsidRPr="00A86FE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ns</w:t>
      </w:r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>p</w:t>
      </w:r>
      <w:proofErr w:type="spellEnd"/>
      <w:r w:rsidRPr="00A86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&gt; 0.05.</w:t>
      </w:r>
    </w:p>
    <w:p w14:paraId="795E9AC3" w14:textId="1F16323D" w:rsidR="002879C6" w:rsidRPr="00555743" w:rsidRDefault="002879C6" w:rsidP="00E0388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6422A7" w14:textId="4B89028A" w:rsidR="00E03881" w:rsidRPr="00555743" w:rsidRDefault="00555743" w:rsidP="0055574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55743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62333F6C" wp14:editId="38351E19">
            <wp:extent cx="3695700" cy="23749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2253A" w14:textId="4659763E" w:rsidR="009C7FBA" w:rsidRPr="00555743" w:rsidRDefault="009C7FBA" w:rsidP="009C7FB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55743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F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igure </w:t>
      </w:r>
      <w:r w:rsidR="00C24087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S4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S100A8/A9</w:t>
      </w:r>
      <w:r w:rsidRPr="00555743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="00C24087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did not affect the expression of CD107a on NK cells </w:t>
      </w:r>
      <w:r w:rsidR="00575F83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from livers and pancreas 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in CCl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bscript"/>
        </w:rPr>
        <w:t>4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-induced liver fibrosis model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.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The mice were injected with CCl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GB"/>
        </w:rPr>
        <w:t>4</w:t>
      </w:r>
      <w:r w:rsidRPr="0055574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intraperitoneally and S100A8/A9 intravenously for 3 weeks. The serum, livers and pancreas were collected. n=5.</w:t>
      </w:r>
      <w:r w:rsidRPr="0055574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555743">
        <w:rPr>
          <w:rFonts w:ascii="Times New Roman" w:hAnsi="Times New Roman" w:cs="Times New Roman"/>
          <w:b/>
          <w:bCs/>
          <w:sz w:val="20"/>
          <w:szCs w:val="20"/>
          <w:lang w:val="en-GB"/>
        </w:rPr>
        <w:t>(</w:t>
      </w:r>
      <w:r w:rsidR="00555743" w:rsidRPr="00555743">
        <w:rPr>
          <w:rFonts w:ascii="Times New Roman" w:hAnsi="Times New Roman" w:cs="Times New Roman"/>
          <w:b/>
          <w:bCs/>
          <w:sz w:val="20"/>
          <w:szCs w:val="20"/>
          <w:lang w:val="en-GB"/>
        </w:rPr>
        <w:t>a</w:t>
      </w:r>
      <w:r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–</w:t>
      </w:r>
      <w:r w:rsidR="00555743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="00C24087" w:rsidRPr="005557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Pr="00555743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555743">
        <w:rPr>
          <w:rFonts w:ascii="Times New Roman" w:hAnsi="Times New Roman" w:cs="Times New Roman"/>
          <w:sz w:val="20"/>
          <w:szCs w:val="20"/>
          <w:lang w:val="en-GB"/>
        </w:rPr>
        <w:t xml:space="preserve">The levels of </w:t>
      </w:r>
      <w:r w:rsidR="00C24087" w:rsidRPr="00555743">
        <w:rPr>
          <w:rFonts w:ascii="Times New Roman" w:hAnsi="Times New Roman" w:cs="Times New Roman"/>
          <w:sz w:val="20"/>
          <w:szCs w:val="20"/>
          <w:lang w:val="en-GB"/>
        </w:rPr>
        <w:t>CD107a</w:t>
      </w:r>
      <w:r w:rsidRPr="0055574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C24087" w:rsidRPr="00555743">
        <w:rPr>
          <w:rFonts w:ascii="Times New Roman" w:hAnsi="Times New Roman" w:cs="Times New Roman"/>
          <w:sz w:val="20"/>
          <w:szCs w:val="20"/>
          <w:lang w:val="en-GB"/>
        </w:rPr>
        <w:t>on</w:t>
      </w:r>
      <w:r w:rsidRPr="00555743">
        <w:rPr>
          <w:rFonts w:ascii="Times New Roman" w:hAnsi="Times New Roman" w:cs="Times New Roman"/>
          <w:sz w:val="20"/>
          <w:szCs w:val="20"/>
          <w:lang w:val="en-GB"/>
        </w:rPr>
        <w:t xml:space="preserve"> NK cells from livers (</w:t>
      </w:r>
      <w:r w:rsidR="00555743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555743">
        <w:rPr>
          <w:rFonts w:ascii="Times New Roman" w:hAnsi="Times New Roman" w:cs="Times New Roman"/>
          <w:sz w:val="20"/>
          <w:szCs w:val="20"/>
          <w:lang w:val="en-GB"/>
        </w:rPr>
        <w:t>) and pancreas (</w:t>
      </w:r>
      <w:r w:rsidR="00555743">
        <w:rPr>
          <w:rFonts w:ascii="Times New Roman" w:hAnsi="Times New Roman" w:cs="Times New Roman"/>
          <w:sz w:val="20"/>
          <w:szCs w:val="20"/>
          <w:lang w:val="en-GB"/>
        </w:rPr>
        <w:t>b</w:t>
      </w:r>
      <w:r w:rsidRPr="00555743">
        <w:rPr>
          <w:rFonts w:ascii="Times New Roman" w:hAnsi="Times New Roman" w:cs="Times New Roman"/>
          <w:sz w:val="20"/>
          <w:szCs w:val="20"/>
          <w:lang w:val="en-GB"/>
        </w:rPr>
        <w:t xml:space="preserve">) were detected by flowcytometry. </w:t>
      </w:r>
      <w:r w:rsidR="00C24087"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Data are presented as means ± S.E.M.; </w:t>
      </w:r>
      <w:proofErr w:type="spellStart"/>
      <w:r w:rsidR="00C24087" w:rsidRPr="0055574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ns</w:t>
      </w:r>
      <w:r w:rsidR="00C24087"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>p</w:t>
      </w:r>
      <w:proofErr w:type="spellEnd"/>
      <w:r w:rsidR="00C24087" w:rsidRPr="00555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&gt; 0.05.</w:t>
      </w:r>
    </w:p>
    <w:p w14:paraId="12AB03A1" w14:textId="77777777" w:rsidR="009C7FBA" w:rsidRPr="00555743" w:rsidRDefault="009C7FBA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sectPr w:rsidR="009C7FBA" w:rsidRPr="00555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C6"/>
    <w:rsid w:val="00011188"/>
    <w:rsid w:val="00025846"/>
    <w:rsid w:val="000316A6"/>
    <w:rsid w:val="0003421C"/>
    <w:rsid w:val="00035916"/>
    <w:rsid w:val="00056E6F"/>
    <w:rsid w:val="0007114D"/>
    <w:rsid w:val="000820EB"/>
    <w:rsid w:val="000B214B"/>
    <w:rsid w:val="000B5B2A"/>
    <w:rsid w:val="000C6CDC"/>
    <w:rsid w:val="00127B0A"/>
    <w:rsid w:val="00132F81"/>
    <w:rsid w:val="001762E5"/>
    <w:rsid w:val="00185060"/>
    <w:rsid w:val="00185BA3"/>
    <w:rsid w:val="001B0B81"/>
    <w:rsid w:val="001B3A0F"/>
    <w:rsid w:val="001B71F5"/>
    <w:rsid w:val="001E280B"/>
    <w:rsid w:val="001F08A0"/>
    <w:rsid w:val="002145C0"/>
    <w:rsid w:val="0023590C"/>
    <w:rsid w:val="00243649"/>
    <w:rsid w:val="002577BD"/>
    <w:rsid w:val="002879C6"/>
    <w:rsid w:val="003126FD"/>
    <w:rsid w:val="00314E8E"/>
    <w:rsid w:val="00330261"/>
    <w:rsid w:val="00337F0C"/>
    <w:rsid w:val="003507DB"/>
    <w:rsid w:val="003D61E3"/>
    <w:rsid w:val="00400C83"/>
    <w:rsid w:val="00427C3A"/>
    <w:rsid w:val="00430E5F"/>
    <w:rsid w:val="00433DDC"/>
    <w:rsid w:val="00476A07"/>
    <w:rsid w:val="004A7F52"/>
    <w:rsid w:val="004B0860"/>
    <w:rsid w:val="004C60DC"/>
    <w:rsid w:val="004C78C3"/>
    <w:rsid w:val="00506DA5"/>
    <w:rsid w:val="00512E3A"/>
    <w:rsid w:val="00526D72"/>
    <w:rsid w:val="005304D8"/>
    <w:rsid w:val="00534690"/>
    <w:rsid w:val="00555743"/>
    <w:rsid w:val="005615D6"/>
    <w:rsid w:val="00563419"/>
    <w:rsid w:val="00564000"/>
    <w:rsid w:val="005701B1"/>
    <w:rsid w:val="00575F83"/>
    <w:rsid w:val="005801CF"/>
    <w:rsid w:val="005A5F34"/>
    <w:rsid w:val="005D26A9"/>
    <w:rsid w:val="005E21D7"/>
    <w:rsid w:val="00611C38"/>
    <w:rsid w:val="00616F7E"/>
    <w:rsid w:val="006426B4"/>
    <w:rsid w:val="006524FB"/>
    <w:rsid w:val="00675CE4"/>
    <w:rsid w:val="00694970"/>
    <w:rsid w:val="006C03DF"/>
    <w:rsid w:val="007156D6"/>
    <w:rsid w:val="0074359C"/>
    <w:rsid w:val="007600FD"/>
    <w:rsid w:val="00785B26"/>
    <w:rsid w:val="007C2DE2"/>
    <w:rsid w:val="007E5CBD"/>
    <w:rsid w:val="00831133"/>
    <w:rsid w:val="00836E6F"/>
    <w:rsid w:val="00887AC6"/>
    <w:rsid w:val="008B0525"/>
    <w:rsid w:val="008E644A"/>
    <w:rsid w:val="008E730A"/>
    <w:rsid w:val="0091664B"/>
    <w:rsid w:val="00927ECB"/>
    <w:rsid w:val="00970AF3"/>
    <w:rsid w:val="009C12C9"/>
    <w:rsid w:val="009C7FBA"/>
    <w:rsid w:val="009F03B6"/>
    <w:rsid w:val="00A05C58"/>
    <w:rsid w:val="00A55085"/>
    <w:rsid w:val="00A86FED"/>
    <w:rsid w:val="00A925D8"/>
    <w:rsid w:val="00AB5B68"/>
    <w:rsid w:val="00B01085"/>
    <w:rsid w:val="00B1717C"/>
    <w:rsid w:val="00B26E74"/>
    <w:rsid w:val="00B53256"/>
    <w:rsid w:val="00B71CEA"/>
    <w:rsid w:val="00B91D73"/>
    <w:rsid w:val="00BA2F0B"/>
    <w:rsid w:val="00BB4F4E"/>
    <w:rsid w:val="00BF2D9D"/>
    <w:rsid w:val="00C061A4"/>
    <w:rsid w:val="00C0658F"/>
    <w:rsid w:val="00C24087"/>
    <w:rsid w:val="00C34D4C"/>
    <w:rsid w:val="00C41F9C"/>
    <w:rsid w:val="00C86394"/>
    <w:rsid w:val="00CC2674"/>
    <w:rsid w:val="00CE2233"/>
    <w:rsid w:val="00D03E04"/>
    <w:rsid w:val="00D17402"/>
    <w:rsid w:val="00D53317"/>
    <w:rsid w:val="00D82A70"/>
    <w:rsid w:val="00DC15DF"/>
    <w:rsid w:val="00DE020D"/>
    <w:rsid w:val="00DE2C8B"/>
    <w:rsid w:val="00E03881"/>
    <w:rsid w:val="00E243A4"/>
    <w:rsid w:val="00E5738C"/>
    <w:rsid w:val="00E6531F"/>
    <w:rsid w:val="00E8225C"/>
    <w:rsid w:val="00EA0B4E"/>
    <w:rsid w:val="00EC6395"/>
    <w:rsid w:val="00F245D6"/>
    <w:rsid w:val="00F81F7A"/>
    <w:rsid w:val="00F837D0"/>
    <w:rsid w:val="00F92CAA"/>
    <w:rsid w:val="00FB221A"/>
    <w:rsid w:val="00FE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2A01EE"/>
  <w15:chartTrackingRefBased/>
  <w15:docId w15:val="{F7E3619F-C8F8-8D41-8099-B11AF09F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学慧 李</dc:creator>
  <cp:keywords/>
  <dc:description/>
  <cp:lastModifiedBy>学慧 李</cp:lastModifiedBy>
  <cp:revision>5</cp:revision>
  <dcterms:created xsi:type="dcterms:W3CDTF">2024-03-03T05:58:00Z</dcterms:created>
  <dcterms:modified xsi:type="dcterms:W3CDTF">2024-06-19T08:36:00Z</dcterms:modified>
</cp:coreProperties>
</file>