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176F4" w14:textId="32D768C2" w:rsidR="007A7510" w:rsidRPr="00CE2E14" w:rsidRDefault="00744479" w:rsidP="00CE2E14">
      <w:pPr>
        <w:spacing w:line="480" w:lineRule="auto"/>
        <w:rPr>
          <w:rFonts w:ascii="Arial" w:hAnsi="Arial" w:cs="Arial"/>
          <w:sz w:val="24"/>
          <w:szCs w:val="28"/>
        </w:rPr>
      </w:pPr>
      <w:r w:rsidRPr="00CE2E14">
        <w:rPr>
          <w:rFonts w:ascii="Arial" w:hAnsi="Arial" w:cs="Arial"/>
          <w:b/>
          <w:bCs/>
          <w:sz w:val="24"/>
          <w:szCs w:val="28"/>
        </w:rPr>
        <w:t>Supplementary figure1.</w:t>
      </w:r>
      <w:r w:rsidRPr="00CE2E14">
        <w:rPr>
          <w:rFonts w:ascii="Arial" w:hAnsi="Arial" w:cs="Arial"/>
          <w:sz w:val="24"/>
          <w:szCs w:val="28"/>
        </w:rPr>
        <w:t xml:space="preserve"> </w:t>
      </w:r>
      <w:r w:rsidR="007A7510" w:rsidRPr="00CE2E14">
        <w:rPr>
          <w:rFonts w:ascii="Arial" w:hAnsi="Arial" w:cs="Arial"/>
          <w:sz w:val="24"/>
          <w:szCs w:val="28"/>
        </w:rPr>
        <w:t>Heterogeneity of subjects for bulk RNA sequencing analysis (a) PCA plot</w:t>
      </w:r>
      <w:r w:rsidR="007A7510" w:rsidRPr="00CE2E14">
        <w:rPr>
          <w:rFonts w:ascii="Arial" w:hAnsi="Arial" w:cs="Arial"/>
          <w:sz w:val="24"/>
          <w:szCs w:val="28"/>
        </w:rPr>
        <w:t xml:space="preserve"> illustrates the variability in gene expression profiles among subjects.</w:t>
      </w:r>
      <w:r w:rsidR="007A7510" w:rsidRPr="00CE2E14">
        <w:rPr>
          <w:rFonts w:ascii="Arial" w:hAnsi="Arial" w:cs="Arial"/>
          <w:sz w:val="24"/>
          <w:szCs w:val="28"/>
        </w:rPr>
        <w:t xml:space="preserve"> (b) </w:t>
      </w:r>
      <w:r w:rsidR="007A7510" w:rsidRPr="00CE2E14">
        <w:rPr>
          <w:rFonts w:ascii="Arial" w:hAnsi="Arial" w:cs="Arial"/>
          <w:sz w:val="24"/>
          <w:szCs w:val="28"/>
        </w:rPr>
        <w:t xml:space="preserve">The heatmap displays the expression levels of the top 35 upregulated and 35 downregulated genes in </w:t>
      </w:r>
      <w:r w:rsidR="00C30FD1">
        <w:rPr>
          <w:rFonts w:ascii="Arial" w:hAnsi="Arial" w:cs="Arial" w:hint="eastAsia"/>
          <w:sz w:val="24"/>
          <w:szCs w:val="28"/>
        </w:rPr>
        <w:t>CoV+</w:t>
      </w:r>
      <w:r w:rsidR="00C30FD1" w:rsidRPr="00FE6675">
        <w:rPr>
          <w:rFonts w:ascii="Arial" w:hAnsi="Arial" w:cs="Arial"/>
          <w:sz w:val="24"/>
          <w:szCs w:val="28"/>
        </w:rPr>
        <w:t xml:space="preserve"> </w:t>
      </w:r>
      <w:r w:rsidR="007A7510" w:rsidRPr="00CE2E14">
        <w:rPr>
          <w:rFonts w:ascii="Arial" w:hAnsi="Arial" w:cs="Arial"/>
          <w:sz w:val="24"/>
          <w:szCs w:val="28"/>
        </w:rPr>
        <w:t>patients compared to controls. Gene expression levels are presented as z-scores and log fold changes.</w:t>
      </w:r>
      <w:r w:rsidR="007A7510" w:rsidRPr="00CE2E14">
        <w:rPr>
          <w:rFonts w:ascii="Arial" w:hAnsi="Arial" w:cs="Arial"/>
          <w:sz w:val="24"/>
          <w:szCs w:val="28"/>
        </w:rPr>
        <w:t xml:space="preserve"> </w:t>
      </w:r>
      <w:r w:rsidR="007A7510" w:rsidRPr="00CE2E14">
        <w:rPr>
          <w:rFonts w:ascii="Arial" w:hAnsi="Arial" w:cs="Arial"/>
          <w:sz w:val="24"/>
          <w:szCs w:val="28"/>
        </w:rPr>
        <w:t>Each row corresponds to a gene, and each column represents a subject. The color gradient indicates the magnitude of gene expression changes, providing a visual representation of the heterogeneity among subjects in response to COVID-19 infection.</w:t>
      </w:r>
    </w:p>
    <w:p w14:paraId="1B994BB2" w14:textId="7D5A9635" w:rsidR="0066596E" w:rsidRPr="00CE2E14" w:rsidRDefault="007A7510" w:rsidP="00CE2E14">
      <w:pPr>
        <w:spacing w:line="480" w:lineRule="auto"/>
        <w:rPr>
          <w:sz w:val="24"/>
          <w:szCs w:val="28"/>
        </w:rPr>
      </w:pPr>
      <w:r w:rsidRPr="00CE2E14">
        <w:rPr>
          <w:noProof/>
          <w:sz w:val="24"/>
          <w:szCs w:val="28"/>
        </w:rPr>
        <w:drawing>
          <wp:inline distT="0" distB="0" distL="0" distR="0" wp14:anchorId="2C0E6C04" wp14:editId="69EB48EC">
            <wp:extent cx="5811520" cy="4663464"/>
            <wp:effectExtent l="0" t="0" r="0" b="3810"/>
            <wp:docPr id="177890872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649" cy="4673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F4189" w14:textId="58181C88" w:rsidR="007D4BE9" w:rsidRPr="00CE2E14" w:rsidRDefault="007D4BE9" w:rsidP="00CE2E14">
      <w:pPr>
        <w:widowControl/>
        <w:wordWrap/>
        <w:autoSpaceDE/>
        <w:autoSpaceDN/>
        <w:spacing w:line="480" w:lineRule="auto"/>
        <w:rPr>
          <w:sz w:val="24"/>
          <w:szCs w:val="28"/>
        </w:rPr>
      </w:pPr>
      <w:r w:rsidRPr="00CE2E14">
        <w:rPr>
          <w:sz w:val="24"/>
          <w:szCs w:val="28"/>
        </w:rPr>
        <w:br w:type="page"/>
      </w:r>
    </w:p>
    <w:p w14:paraId="300B7735" w14:textId="1279F750" w:rsidR="007D4BE9" w:rsidRPr="00CE2E14" w:rsidRDefault="007D4BE9" w:rsidP="00CE2E14">
      <w:pPr>
        <w:spacing w:line="480" w:lineRule="auto"/>
        <w:rPr>
          <w:rFonts w:ascii="Arial" w:hAnsi="Arial" w:cs="Arial" w:hint="eastAsia"/>
          <w:sz w:val="24"/>
          <w:szCs w:val="28"/>
        </w:rPr>
      </w:pPr>
      <w:r w:rsidRPr="00CE2E14">
        <w:rPr>
          <w:rFonts w:ascii="Arial" w:hAnsi="Arial" w:cs="Arial"/>
          <w:b/>
          <w:bCs/>
          <w:sz w:val="24"/>
          <w:szCs w:val="28"/>
        </w:rPr>
        <w:lastRenderedPageBreak/>
        <w:t xml:space="preserve">Supplementary figure 2. </w:t>
      </w:r>
      <w:r w:rsidR="007D272B" w:rsidRPr="00CE2E14">
        <w:rPr>
          <w:rFonts w:ascii="Arial" w:hAnsi="Arial" w:cs="Arial"/>
          <w:sz w:val="24"/>
          <w:szCs w:val="28"/>
        </w:rPr>
        <w:t xml:space="preserve">Enrichment analysis </w:t>
      </w:r>
      <w:r w:rsidR="004746A1">
        <w:rPr>
          <w:rFonts w:ascii="Arial" w:hAnsi="Arial" w:cs="Arial" w:hint="eastAsia"/>
          <w:sz w:val="24"/>
          <w:szCs w:val="28"/>
        </w:rPr>
        <w:t>of</w:t>
      </w:r>
      <w:r w:rsidR="00CE2E14" w:rsidRPr="00CE2E14">
        <w:rPr>
          <w:rFonts w:ascii="Arial" w:hAnsi="Arial" w:cs="Arial"/>
          <w:sz w:val="24"/>
          <w:szCs w:val="28"/>
        </w:rPr>
        <w:t xml:space="preserve"> </w:t>
      </w:r>
      <w:r w:rsidR="00CE2E14" w:rsidRPr="00CE2E14">
        <w:rPr>
          <w:rFonts w:ascii="Arial" w:hAnsi="Arial" w:cs="Arial"/>
          <w:sz w:val="24"/>
          <w:szCs w:val="28"/>
        </w:rPr>
        <w:t xml:space="preserve">downregulated genes </w:t>
      </w:r>
      <w:r w:rsidR="00AD2DCD">
        <w:rPr>
          <w:rFonts w:ascii="Arial" w:hAnsi="Arial" w:cs="Arial" w:hint="eastAsia"/>
          <w:sz w:val="24"/>
          <w:szCs w:val="28"/>
        </w:rPr>
        <w:t xml:space="preserve">based on </w:t>
      </w:r>
      <w:r w:rsidR="00CE2E14" w:rsidRPr="00CE2E14">
        <w:rPr>
          <w:rFonts w:ascii="Arial" w:hAnsi="Arial" w:cs="Arial"/>
          <w:sz w:val="24"/>
          <w:szCs w:val="28"/>
        </w:rPr>
        <w:t>gene ontology</w:t>
      </w:r>
      <w:r w:rsidR="006A0DF8">
        <w:rPr>
          <w:rFonts w:ascii="Arial" w:hAnsi="Arial" w:cs="Arial" w:hint="eastAsia"/>
          <w:sz w:val="24"/>
          <w:szCs w:val="28"/>
        </w:rPr>
        <w:t>(GO)</w:t>
      </w:r>
      <w:r w:rsidR="00CE2E14" w:rsidRPr="00CE2E14">
        <w:rPr>
          <w:rFonts w:ascii="Arial" w:hAnsi="Arial" w:cs="Arial"/>
          <w:sz w:val="24"/>
          <w:szCs w:val="28"/>
        </w:rPr>
        <w:t xml:space="preserve">–biological process </w:t>
      </w:r>
      <w:r w:rsidR="00AD2DCD">
        <w:rPr>
          <w:rFonts w:ascii="Arial" w:hAnsi="Arial" w:cs="Arial" w:hint="eastAsia"/>
          <w:sz w:val="24"/>
          <w:szCs w:val="28"/>
        </w:rPr>
        <w:t>ana</w:t>
      </w:r>
      <w:r w:rsidR="006A0DF8">
        <w:rPr>
          <w:rFonts w:ascii="Arial" w:hAnsi="Arial" w:cs="Arial" w:hint="eastAsia"/>
          <w:sz w:val="24"/>
          <w:szCs w:val="28"/>
        </w:rPr>
        <w:t>lyses</w:t>
      </w:r>
      <w:r w:rsidR="00FE6675">
        <w:rPr>
          <w:rFonts w:ascii="Arial" w:hAnsi="Arial" w:cs="Arial" w:hint="eastAsia"/>
          <w:sz w:val="24"/>
          <w:szCs w:val="28"/>
        </w:rPr>
        <w:t>. The</w:t>
      </w:r>
      <w:r w:rsidR="00FE6675" w:rsidRPr="00FE6675">
        <w:t xml:space="preserve"> </w:t>
      </w:r>
      <w:r w:rsidR="00FE6675" w:rsidRPr="00FE6675">
        <w:rPr>
          <w:rFonts w:ascii="Arial" w:hAnsi="Arial" w:cs="Arial"/>
          <w:sz w:val="24"/>
          <w:szCs w:val="28"/>
        </w:rPr>
        <w:t xml:space="preserve">figure presents </w:t>
      </w:r>
      <w:r w:rsidR="00401220">
        <w:rPr>
          <w:rFonts w:ascii="Arial" w:hAnsi="Arial" w:cs="Arial" w:hint="eastAsia"/>
          <w:sz w:val="24"/>
          <w:szCs w:val="28"/>
        </w:rPr>
        <w:t xml:space="preserve">the </w:t>
      </w:r>
      <w:r w:rsidR="00676724">
        <w:rPr>
          <w:rFonts w:ascii="Arial" w:hAnsi="Arial" w:cs="Arial" w:hint="eastAsia"/>
          <w:sz w:val="24"/>
          <w:szCs w:val="28"/>
        </w:rPr>
        <w:t>top 10 GO categories</w:t>
      </w:r>
      <w:r w:rsidR="00401220">
        <w:rPr>
          <w:rFonts w:ascii="Arial" w:hAnsi="Arial" w:cs="Arial" w:hint="eastAsia"/>
          <w:sz w:val="24"/>
          <w:szCs w:val="28"/>
        </w:rPr>
        <w:t xml:space="preserve"> from</w:t>
      </w:r>
      <w:r w:rsidR="00FE6675" w:rsidRPr="00FE6675">
        <w:rPr>
          <w:rFonts w:ascii="Arial" w:hAnsi="Arial" w:cs="Arial"/>
          <w:sz w:val="24"/>
          <w:szCs w:val="28"/>
        </w:rPr>
        <w:t xml:space="preserve"> an enrichment analysis </w:t>
      </w:r>
      <w:r w:rsidR="00401220">
        <w:rPr>
          <w:rFonts w:ascii="Arial" w:hAnsi="Arial" w:cs="Arial" w:hint="eastAsia"/>
          <w:sz w:val="24"/>
          <w:szCs w:val="28"/>
        </w:rPr>
        <w:t>of</w:t>
      </w:r>
      <w:r w:rsidR="00FE6675" w:rsidRPr="00FE6675">
        <w:rPr>
          <w:rFonts w:ascii="Arial" w:hAnsi="Arial" w:cs="Arial"/>
          <w:sz w:val="24"/>
          <w:szCs w:val="28"/>
        </w:rPr>
        <w:t xml:space="preserve"> downregulated genes in </w:t>
      </w:r>
      <w:r w:rsidR="00C30FD1">
        <w:rPr>
          <w:rFonts w:ascii="Arial" w:hAnsi="Arial" w:cs="Arial" w:hint="eastAsia"/>
          <w:sz w:val="24"/>
          <w:szCs w:val="28"/>
        </w:rPr>
        <w:t>CoV+</w:t>
      </w:r>
      <w:r w:rsidR="00FE6675" w:rsidRPr="00FE6675">
        <w:rPr>
          <w:rFonts w:ascii="Arial" w:hAnsi="Arial" w:cs="Arial"/>
          <w:sz w:val="24"/>
          <w:szCs w:val="28"/>
        </w:rPr>
        <w:t xml:space="preserve"> patients compared to healthy controls (n=3 for each group).</w:t>
      </w:r>
    </w:p>
    <w:p w14:paraId="1D7BBCEE" w14:textId="63C38AB0" w:rsidR="007D4BE9" w:rsidRPr="00CE2E14" w:rsidRDefault="008A79A5" w:rsidP="00CE2E14">
      <w:pPr>
        <w:spacing w:line="480" w:lineRule="auto"/>
        <w:rPr>
          <w:sz w:val="24"/>
          <w:szCs w:val="28"/>
        </w:rPr>
      </w:pPr>
      <w:r w:rsidRPr="00CE2E14">
        <w:rPr>
          <w:rFonts w:ascii="Arial" w:hAnsi="Arial" w:cs="Arial"/>
          <w:b/>
          <w:noProof/>
          <w:sz w:val="32"/>
          <w:szCs w:val="28"/>
        </w:rPr>
        <w:drawing>
          <wp:inline distT="0" distB="0" distL="0" distR="0" wp14:anchorId="4656149C" wp14:editId="5FAC6B0F">
            <wp:extent cx="4170045" cy="2682240"/>
            <wp:effectExtent l="0" t="0" r="1905" b="3810"/>
            <wp:docPr id="1925027087" name="그림 5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027087" name="그림 5" descr="텍스트, 스크린샷, 폰트, 번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045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CFE57" w14:textId="6C2B7E8A" w:rsidR="00744479" w:rsidRPr="00CE2E14" w:rsidRDefault="00744479" w:rsidP="00CE2E14">
      <w:pPr>
        <w:spacing w:line="480" w:lineRule="auto"/>
        <w:rPr>
          <w:rFonts w:hint="eastAsia"/>
          <w:sz w:val="24"/>
          <w:szCs w:val="28"/>
        </w:rPr>
      </w:pPr>
    </w:p>
    <w:sectPr w:rsidR="00744479" w:rsidRPr="00CE2E1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79"/>
    <w:rsid w:val="001C00CE"/>
    <w:rsid w:val="00401220"/>
    <w:rsid w:val="004746A1"/>
    <w:rsid w:val="005C25A8"/>
    <w:rsid w:val="0066596E"/>
    <w:rsid w:val="00676724"/>
    <w:rsid w:val="006A0DF8"/>
    <w:rsid w:val="00711335"/>
    <w:rsid w:val="00744479"/>
    <w:rsid w:val="007A7510"/>
    <w:rsid w:val="007D272B"/>
    <w:rsid w:val="007D4BE9"/>
    <w:rsid w:val="00824BF0"/>
    <w:rsid w:val="00860B5B"/>
    <w:rsid w:val="008A79A5"/>
    <w:rsid w:val="00AD2DCD"/>
    <w:rsid w:val="00B94BE9"/>
    <w:rsid w:val="00C30FD1"/>
    <w:rsid w:val="00CB1D8D"/>
    <w:rsid w:val="00CE2E14"/>
    <w:rsid w:val="00FE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DE40617"/>
  <w15:chartTrackingRefBased/>
  <w15:docId w15:val="{2717D126-9FCE-483F-9198-0D9B5231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444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4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444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44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444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44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444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444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444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444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444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4447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7444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444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444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444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444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444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444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44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444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444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44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444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4447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4447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44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4447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444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HYUNKYUNG CHA</dc:creator>
  <cp:keywords/>
  <dc:description/>
  <cp:lastModifiedBy>CHA HYUNKYUNG</cp:lastModifiedBy>
  <cp:revision>17</cp:revision>
  <dcterms:created xsi:type="dcterms:W3CDTF">2024-07-02T02:42:00Z</dcterms:created>
  <dcterms:modified xsi:type="dcterms:W3CDTF">2024-07-02T13:35:00Z</dcterms:modified>
</cp:coreProperties>
</file>