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59D4F" w14:textId="3346EDA9" w:rsidR="005B259E" w:rsidRPr="005B259E" w:rsidRDefault="005B259E" w:rsidP="005B259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4671BF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Cellular and Molecular Life Sciences</w:t>
      </w:r>
    </w:p>
    <w:p w14:paraId="5610DB14" w14:textId="75833DC5" w:rsidR="00244CFD" w:rsidRPr="00824D41" w:rsidRDefault="00244CFD" w:rsidP="00244CF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The splicing machinery is dysregulated and represents a therapeutic vulnerability in breast cancer.</w:t>
      </w:r>
    </w:p>
    <w:p w14:paraId="5FB16E9F" w14:textId="77777777" w:rsidR="00244CFD" w:rsidRPr="00824D41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F0E3590" w14:textId="112A0CF2" w:rsidR="00244CFD" w:rsidRPr="005B259E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24D41">
        <w:rPr>
          <w:rFonts w:ascii="Times New Roman" w:hAnsi="Times New Roman" w:cs="Times New Roman"/>
          <w:b/>
          <w:bCs/>
          <w:sz w:val="20"/>
          <w:szCs w:val="20"/>
        </w:rPr>
        <w:t>Authors</w:t>
      </w:r>
      <w:proofErr w:type="spellEnd"/>
      <w:r w:rsidRPr="00824D41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824D41">
        <w:rPr>
          <w:rFonts w:ascii="Times New Roman" w:hAnsi="Times New Roman" w:cs="Times New Roman"/>
          <w:sz w:val="20"/>
          <w:szCs w:val="20"/>
        </w:rPr>
        <w:t>Natalia Herm</w:t>
      </w:r>
      <w:r w:rsidR="005879A1">
        <w:rPr>
          <w:rFonts w:ascii="Times New Roman" w:hAnsi="Times New Roman" w:cs="Times New Roman"/>
          <w:sz w:val="20"/>
          <w:szCs w:val="20"/>
        </w:rPr>
        <w:t>á</w:t>
      </w:r>
      <w:r w:rsidRPr="00824D41">
        <w:rPr>
          <w:rFonts w:ascii="Times New Roman" w:hAnsi="Times New Roman" w:cs="Times New Roman"/>
          <w:sz w:val="20"/>
          <w:szCs w:val="20"/>
        </w:rPr>
        <w:t>n-S</w:t>
      </w:r>
      <w:r w:rsidR="005879A1">
        <w:rPr>
          <w:rFonts w:ascii="Times New Roman" w:hAnsi="Times New Roman" w:cs="Times New Roman"/>
          <w:sz w:val="20"/>
          <w:szCs w:val="20"/>
        </w:rPr>
        <w:t>á</w:t>
      </w:r>
      <w:r w:rsidRPr="00824D41">
        <w:rPr>
          <w:rFonts w:ascii="Times New Roman" w:hAnsi="Times New Roman" w:cs="Times New Roman"/>
          <w:sz w:val="20"/>
          <w:szCs w:val="20"/>
        </w:rPr>
        <w:t>nchez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3"/>
      </w:r>
      <w:r w:rsidRPr="00824D41">
        <w:rPr>
          <w:rFonts w:ascii="Times New Roman" w:hAnsi="Times New Roman" w:cs="Times New Roman"/>
          <w:sz w:val="20"/>
          <w:szCs w:val="20"/>
        </w:rPr>
        <w:t>, Miguel E. G-Garc</w:t>
      </w:r>
      <w:r w:rsidR="005879A1">
        <w:rPr>
          <w:rFonts w:ascii="Times New Roman" w:hAnsi="Times New Roman" w:cs="Times New Roman"/>
          <w:sz w:val="20"/>
          <w:szCs w:val="20"/>
        </w:rPr>
        <w:t>í</w:t>
      </w:r>
      <w:r w:rsidRPr="00824D41">
        <w:rPr>
          <w:rFonts w:ascii="Times New Roman" w:hAnsi="Times New Roman" w:cs="Times New Roman"/>
          <w:sz w:val="20"/>
          <w:szCs w:val="20"/>
        </w:rPr>
        <w:t>a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3"/>
      </w:r>
      <w:r w:rsidRPr="00824D41">
        <w:rPr>
          <w:rFonts w:ascii="Times New Roman" w:hAnsi="Times New Roman" w:cs="Times New Roman"/>
          <w:sz w:val="20"/>
          <w:szCs w:val="20"/>
        </w:rPr>
        <w:t>, Juan M. Jim</w:t>
      </w:r>
      <w:r w:rsidR="005879A1">
        <w:rPr>
          <w:rFonts w:ascii="Times New Roman" w:hAnsi="Times New Roman" w:cs="Times New Roman"/>
          <w:sz w:val="20"/>
          <w:szCs w:val="20"/>
        </w:rPr>
        <w:t>é</w:t>
      </w:r>
      <w:r w:rsidRPr="00824D41">
        <w:rPr>
          <w:rFonts w:ascii="Times New Roman" w:hAnsi="Times New Roman" w:cs="Times New Roman"/>
          <w:sz w:val="20"/>
          <w:szCs w:val="20"/>
        </w:rPr>
        <w:t>nez-Vacas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</w:rPr>
        <w:t>, Elena M. Yubero-Serrano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1,3,4,5</w:t>
      </w:r>
      <w:r w:rsidRPr="00824D41">
        <w:rPr>
          <w:rFonts w:ascii="Times New Roman" w:hAnsi="Times New Roman" w:cs="Times New Roman"/>
          <w:sz w:val="20"/>
          <w:szCs w:val="20"/>
        </w:rPr>
        <w:t>, Laura M. L</w:t>
      </w:r>
      <w:r w:rsidR="005879A1">
        <w:rPr>
          <w:rFonts w:ascii="Times New Roman" w:hAnsi="Times New Roman" w:cs="Times New Roman"/>
          <w:sz w:val="20"/>
          <w:szCs w:val="20"/>
        </w:rPr>
        <w:t>ó</w:t>
      </w:r>
      <w:r w:rsidRPr="00824D41">
        <w:rPr>
          <w:rFonts w:ascii="Times New Roman" w:hAnsi="Times New Roman" w:cs="Times New Roman"/>
          <w:sz w:val="20"/>
          <w:szCs w:val="20"/>
        </w:rPr>
        <w:t>pez-S</w:t>
      </w:r>
      <w:r w:rsidR="005879A1">
        <w:rPr>
          <w:rFonts w:ascii="Times New Roman" w:hAnsi="Times New Roman" w:cs="Times New Roman"/>
          <w:sz w:val="20"/>
          <w:szCs w:val="20"/>
        </w:rPr>
        <w:t>á</w:t>
      </w:r>
      <w:r w:rsidRPr="00824D41">
        <w:rPr>
          <w:rFonts w:ascii="Times New Roman" w:hAnsi="Times New Roman" w:cs="Times New Roman"/>
          <w:sz w:val="20"/>
          <w:szCs w:val="20"/>
        </w:rPr>
        <w:t>nchez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</w:rPr>
        <w:t>, Sara Romero-Mart</w:t>
      </w:r>
      <w:r w:rsidR="005879A1">
        <w:rPr>
          <w:rFonts w:ascii="Times New Roman" w:hAnsi="Times New Roman" w:cs="Times New Roman"/>
          <w:sz w:val="20"/>
          <w:szCs w:val="20"/>
        </w:rPr>
        <w:t>í</w:t>
      </w:r>
      <w:r w:rsidRPr="00824D41">
        <w:rPr>
          <w:rFonts w:ascii="Times New Roman" w:hAnsi="Times New Roman" w:cs="Times New Roman"/>
          <w:sz w:val="20"/>
          <w:szCs w:val="20"/>
        </w:rPr>
        <w:t>n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1,3,6</w:t>
      </w:r>
      <w:r w:rsidRPr="00824D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24D41">
        <w:rPr>
          <w:rFonts w:ascii="Times New Roman" w:hAnsi="Times New Roman" w:cs="Times New Roman"/>
          <w:sz w:val="20"/>
          <w:szCs w:val="20"/>
        </w:rPr>
        <w:t>Jose</w:t>
      </w:r>
      <w:proofErr w:type="spellEnd"/>
      <w:r w:rsidRPr="00824D41">
        <w:rPr>
          <w:rFonts w:ascii="Times New Roman" w:hAnsi="Times New Roman" w:cs="Times New Roman"/>
          <w:sz w:val="20"/>
          <w:szCs w:val="20"/>
        </w:rPr>
        <w:t xml:space="preserve"> L Raya-Povedano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1,3,6</w:t>
      </w:r>
      <w:r w:rsidRPr="00824D41">
        <w:rPr>
          <w:rFonts w:ascii="Times New Roman" w:hAnsi="Times New Roman" w:cs="Times New Roman"/>
          <w:sz w:val="20"/>
          <w:szCs w:val="20"/>
        </w:rPr>
        <w:t>, Marina Álvarez-Benito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1,3,6</w:t>
      </w:r>
      <w:r w:rsidRPr="00824D41">
        <w:rPr>
          <w:rFonts w:ascii="Times New Roman" w:hAnsi="Times New Roman" w:cs="Times New Roman"/>
          <w:sz w:val="20"/>
          <w:szCs w:val="20"/>
        </w:rPr>
        <w:t>, Justo P. Castaño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A"/>
      </w:r>
      <w:r w:rsidRPr="00824D41">
        <w:rPr>
          <w:rFonts w:ascii="Times New Roman" w:hAnsi="Times New Roman" w:cs="Times New Roman"/>
          <w:sz w:val="20"/>
          <w:szCs w:val="20"/>
        </w:rPr>
        <w:t>, Raúl M. Luque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A"/>
      </w:r>
      <w:r w:rsidRPr="00824D41">
        <w:rPr>
          <w:rFonts w:ascii="Times New Roman" w:hAnsi="Times New Roman" w:cs="Times New Roman"/>
          <w:sz w:val="20"/>
          <w:szCs w:val="20"/>
        </w:rPr>
        <w:t>, Manuel D. Gahete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t>1,2,3,4</w:t>
      </w: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A"/>
      </w:r>
      <w:r w:rsidRPr="00824D41">
        <w:rPr>
          <w:rFonts w:ascii="Times New Roman" w:hAnsi="Times New Roman" w:cs="Times New Roman"/>
          <w:sz w:val="20"/>
          <w:szCs w:val="20"/>
        </w:rPr>
        <w:t>.</w:t>
      </w:r>
    </w:p>
    <w:p w14:paraId="7F299DC4" w14:textId="5F748268" w:rsidR="00244CFD" w:rsidRPr="00824D41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Affiliations: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Maimónides Institute of Biomedical Research of Córdoba (IMIBIC), 14004-Córdoba, Spain;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>Department of Cell Biology, Physiology</w:t>
      </w:r>
      <w:r w:rsidR="005879A1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 and Immunology, University of Córdoba, 14004-Córdoba, Spain;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Reina Sofía University Hospital, 14004-Córdoba, Spain;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>CIBER Pathophysiology of Obesity and Nutrition (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US"/>
        </w:rPr>
        <w:t>CIBERobn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), 14004-Córdoba, Spain;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Lipids and Atherosclerosis Unit, </w:t>
      </w:r>
      <w:r w:rsidR="005879A1"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5879A1" w:rsidRPr="00824D41">
        <w:rPr>
          <w:rFonts w:ascii="Times New Roman" w:hAnsi="Times New Roman" w:cs="Times New Roman"/>
          <w:sz w:val="20"/>
          <w:szCs w:val="20"/>
          <w:lang w:val="en-US"/>
        </w:rPr>
        <w:t>Reina Sofía University Hospital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, Córdoba, Spain; </w:t>
      </w:r>
      <w:r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 xml:space="preserve">Mammary Gland Unit, </w:t>
      </w:r>
      <w:r w:rsidR="005879A1" w:rsidRPr="00824D4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5879A1" w:rsidRPr="00824D41">
        <w:rPr>
          <w:rFonts w:ascii="Times New Roman" w:hAnsi="Times New Roman" w:cs="Times New Roman"/>
          <w:sz w:val="20"/>
          <w:szCs w:val="20"/>
          <w:lang w:val="en-US"/>
        </w:rPr>
        <w:t>Reina Sofía University Hospital</w:t>
      </w:r>
      <w:r w:rsidRPr="00824D41">
        <w:rPr>
          <w:rFonts w:ascii="Times New Roman" w:hAnsi="Times New Roman" w:cs="Times New Roman"/>
          <w:sz w:val="20"/>
          <w:szCs w:val="20"/>
          <w:lang w:val="en-US"/>
        </w:rPr>
        <w:t>, Córdoba, Spain.</w:t>
      </w:r>
    </w:p>
    <w:p w14:paraId="7A965AD7" w14:textId="77777777" w:rsidR="00244CFD" w:rsidRPr="00824D41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3"/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These authors equally contributed to the study and should be considered as co-first authors.</w:t>
      </w:r>
    </w:p>
    <w:p w14:paraId="7527E702" w14:textId="77777777" w:rsidR="00244CFD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sz w:val="20"/>
          <w:szCs w:val="20"/>
          <w:vertAlign w:val="superscript"/>
        </w:rPr>
        <w:sym w:font="Symbol" w:char="F02A"/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These authors equally contributed to the study and should be considered as co-corresponding authors.</w:t>
      </w:r>
    </w:p>
    <w:p w14:paraId="31001A97" w14:textId="77777777" w:rsidR="005B259E" w:rsidRPr="00824D41" w:rsidRDefault="005B259E" w:rsidP="005B259E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E2D3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Correspondence: </w:t>
      </w:r>
      <w:r w:rsidRPr="00FE2D31">
        <w:rPr>
          <w:rFonts w:ascii="Times New Roman" w:hAnsi="Times New Roman" w:cs="Times New Roman"/>
          <w:sz w:val="20"/>
          <w:szCs w:val="20"/>
          <w:lang w:val="en-GB"/>
        </w:rPr>
        <w:t xml:space="preserve">Address correspondence to Justo P. Castaño, Raul M. Luque or Manuel D. </w:t>
      </w:r>
      <w:proofErr w:type="spellStart"/>
      <w:r w:rsidRPr="00FE2D31">
        <w:rPr>
          <w:rFonts w:ascii="Times New Roman" w:hAnsi="Times New Roman" w:cs="Times New Roman"/>
          <w:sz w:val="20"/>
          <w:szCs w:val="20"/>
          <w:lang w:val="en-GB"/>
        </w:rPr>
        <w:t>Gahete</w:t>
      </w:r>
      <w:proofErr w:type="spellEnd"/>
      <w:r w:rsidRPr="00FE2D31">
        <w:rPr>
          <w:rFonts w:ascii="Times New Roman" w:hAnsi="Times New Roman" w:cs="Times New Roman"/>
          <w:sz w:val="20"/>
          <w:szCs w:val="20"/>
          <w:lang w:val="en-GB"/>
        </w:rPr>
        <w:t xml:space="preserve">. IMIBIC building. Av. Menéndez </w:t>
      </w:r>
      <w:proofErr w:type="spellStart"/>
      <w:r w:rsidRPr="00FE2D31">
        <w:rPr>
          <w:rFonts w:ascii="Times New Roman" w:hAnsi="Times New Roman" w:cs="Times New Roman"/>
          <w:sz w:val="20"/>
          <w:szCs w:val="20"/>
          <w:lang w:val="en-GB"/>
        </w:rPr>
        <w:t>Pidal</w:t>
      </w:r>
      <w:proofErr w:type="spellEnd"/>
      <w:r w:rsidRPr="00FE2D31">
        <w:rPr>
          <w:rFonts w:ascii="Times New Roman" w:hAnsi="Times New Roman" w:cs="Times New Roman"/>
          <w:sz w:val="20"/>
          <w:szCs w:val="20"/>
          <w:lang w:val="en-GB"/>
        </w:rPr>
        <w:t xml:space="preserve"> s/n. 14004-Córdoba, Spain. Email: </w:t>
      </w:r>
      <w:r w:rsidRPr="00FE2D31">
        <w:rPr>
          <w:rStyle w:val="Hipervnculo"/>
          <w:rFonts w:ascii="Times New Roman" w:hAnsi="Times New Roman" w:cs="Times New Roman"/>
          <w:sz w:val="20"/>
          <w:szCs w:val="20"/>
          <w:lang w:val="en-GB"/>
        </w:rPr>
        <w:t>justo@uco.es</w:t>
      </w:r>
      <w:r w:rsidRPr="00FE2D31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hyperlink r:id="rId4" w:history="1">
        <w:r w:rsidRPr="00FE2D31">
          <w:rPr>
            <w:rStyle w:val="Hipervnculo"/>
            <w:rFonts w:ascii="Times New Roman" w:hAnsi="Times New Roman" w:cs="Times New Roman"/>
            <w:sz w:val="20"/>
            <w:szCs w:val="20"/>
            <w:lang w:val="en-GB"/>
          </w:rPr>
          <w:t>bc2luhur@uco.es</w:t>
        </w:r>
      </w:hyperlink>
      <w:r w:rsidRPr="00FE2D31">
        <w:rPr>
          <w:rStyle w:val="Hipervnculo"/>
          <w:rFonts w:ascii="Times New Roman" w:hAnsi="Times New Roman" w:cs="Times New Roman"/>
          <w:sz w:val="20"/>
          <w:szCs w:val="20"/>
          <w:lang w:val="en-GB"/>
        </w:rPr>
        <w:t>;</w:t>
      </w:r>
      <w:r w:rsidRPr="00FE2D3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hyperlink r:id="rId5" w:history="1">
        <w:r w:rsidRPr="00FE2D31">
          <w:rPr>
            <w:rStyle w:val="Hipervnculo"/>
            <w:rFonts w:ascii="Times New Roman" w:hAnsi="Times New Roman" w:cs="Times New Roman"/>
            <w:sz w:val="20"/>
            <w:szCs w:val="20"/>
            <w:lang w:val="en-GB"/>
          </w:rPr>
          <w:t>bc2gaorm@uco.es</w:t>
        </w:r>
      </w:hyperlink>
      <w:r w:rsidRPr="00FE2D31">
        <w:rPr>
          <w:rFonts w:ascii="Times New Roman" w:hAnsi="Times New Roman" w:cs="Times New Roman"/>
          <w:sz w:val="20"/>
          <w:szCs w:val="20"/>
          <w:lang w:val="en-GB"/>
        </w:rPr>
        <w:t>. Phone number: +34957213737.</w:t>
      </w:r>
    </w:p>
    <w:p w14:paraId="7936E9EB" w14:textId="77777777" w:rsidR="005B259E" w:rsidRPr="00824D41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6D63024" w14:textId="77777777" w:rsidR="00244CFD" w:rsidRDefault="00244CFD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BAEB726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667BE6B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268BC39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BE33A9D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CD2BA3A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2508234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ABF1AFC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514059C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CD5025F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CABB883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521B2C4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9D02970" w14:textId="77777777" w:rsidR="005B259E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A995729" w14:textId="77777777" w:rsidR="005B259E" w:rsidRPr="00824D41" w:rsidRDefault="005B259E" w:rsidP="00244CFD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8E8BC23" w14:textId="7C18F82F" w:rsidR="00244CFD" w:rsidRPr="007A0336" w:rsidRDefault="00244CFD" w:rsidP="00244CFD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7A0336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lastRenderedPageBreak/>
        <w:t>Supplemental Figures</w:t>
      </w:r>
    </w:p>
    <w:p w14:paraId="2F05B193" w14:textId="2238E065" w:rsidR="00AC4919" w:rsidRPr="007A0336" w:rsidRDefault="007A0336" w:rsidP="007A03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u w:val="single"/>
          <w:lang w:val="en-GB"/>
        </w:rPr>
        <w:drawing>
          <wp:inline distT="0" distB="0" distL="0" distR="0" wp14:anchorId="4770ABD8" wp14:editId="74420954">
            <wp:extent cx="5780966" cy="7858125"/>
            <wp:effectExtent l="0" t="0" r="0" b="0"/>
            <wp:docPr id="7358378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37869" name="Imagen 73583786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2"/>
                    <a:stretch/>
                  </pic:blipFill>
                  <pic:spPr bwMode="auto">
                    <a:xfrm>
                      <a:off x="0" y="0"/>
                      <a:ext cx="5791612" cy="7872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D3C60" w14:textId="67F0E9C7" w:rsidR="00AC4919" w:rsidRPr="00AC4919" w:rsidRDefault="00AC4919" w:rsidP="00AC491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C491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Supplemental Figure 1. Antibodies validation and uncropped </w:t>
      </w:r>
      <w:r w:rsidR="005879A1">
        <w:rPr>
          <w:rFonts w:ascii="Times New Roman" w:hAnsi="Times New Roman" w:cs="Times New Roman"/>
          <w:b/>
          <w:bCs/>
          <w:sz w:val="20"/>
          <w:szCs w:val="20"/>
          <w:lang w:val="en-GB"/>
        </w:rPr>
        <w:t>w</w:t>
      </w:r>
      <w:r w:rsidRPr="00AC491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estern </w:t>
      </w:r>
      <w:r w:rsidR="005879A1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  <w:r w:rsidRPr="00AC491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lots. 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(A) Western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b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lot showing NOVA1 protein levels in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-silenced BT-549 cells. (B) Western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b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lot showing SF3B1 protein levels in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SF3B1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-silenced BT-549 cells. (C) Uncropped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w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>estern blot images. Basal protein expression of NOVA1 in MCF7, MDA-MB-231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 and BT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549 cell lines (corresponding to Figure 3C). </w:t>
      </w:r>
      <w:r w:rsidR="007B3E25">
        <w:rPr>
          <w:rFonts w:ascii="Times New Roman" w:hAnsi="Times New Roman" w:cs="Times New Roman"/>
          <w:sz w:val="20"/>
          <w:szCs w:val="20"/>
          <w:lang w:val="en-GB"/>
        </w:rPr>
        <w:t xml:space="preserve">(D) </w:t>
      </w:r>
      <w:r w:rsidR="007B3E25"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Uncropped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7B3E25"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estern blot images. 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>Basal protein expression of SF3B1 in MCF7, MDA-MB-231 and BT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549 cell lines (corresponding to Figure 4C). </w:t>
      </w:r>
      <w:r w:rsidR="007B3E25">
        <w:rPr>
          <w:rFonts w:ascii="Times New Roman" w:hAnsi="Times New Roman" w:cs="Times New Roman"/>
          <w:sz w:val="20"/>
          <w:szCs w:val="20"/>
          <w:lang w:val="en-GB"/>
        </w:rPr>
        <w:t xml:space="preserve">(E) </w:t>
      </w:r>
      <w:r w:rsidR="007B3E25"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Uncropped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w</w:t>
      </w:r>
      <w:r w:rsidR="007B3E25"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estern blot images. 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>Validation of NOVA1 overexpression in MCF7, MDA-MB-231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 xml:space="preserve"> and BT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AC4919">
        <w:rPr>
          <w:rFonts w:ascii="Times New Roman" w:hAnsi="Times New Roman" w:cs="Times New Roman"/>
          <w:sz w:val="20"/>
          <w:szCs w:val="20"/>
          <w:lang w:val="en-GB"/>
        </w:rPr>
        <w:t>549 cell lines (corresponding to Supplemental Figure 6G).</w:t>
      </w:r>
    </w:p>
    <w:p w14:paraId="238664DB" w14:textId="77777777" w:rsidR="00244CFD" w:rsidRPr="00824D41" w:rsidRDefault="00244CFD" w:rsidP="00244CFD">
      <w:pPr>
        <w:jc w:val="center"/>
        <w:rPr>
          <w:rFonts w:ascii="Times New Roman" w:hAnsi="Times New Roman" w:cs="Times New Roman"/>
          <w:sz w:val="20"/>
          <w:szCs w:val="20"/>
        </w:rPr>
      </w:pPr>
      <w:r w:rsidRPr="00824D41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0956045" wp14:editId="13912543">
            <wp:extent cx="5315803" cy="7130945"/>
            <wp:effectExtent l="0" t="0" r="0" b="0"/>
            <wp:docPr id="478872660" name="Imagen 1" descr="Diagra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72660" name="Imagen 1" descr="Diagrama&#10;&#10;Descripción generada automáticamente con confianza media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41"/>
                    <a:stretch/>
                  </pic:blipFill>
                  <pic:spPr bwMode="auto">
                    <a:xfrm>
                      <a:off x="0" y="0"/>
                      <a:ext cx="5348495" cy="717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7ECBD" w14:textId="659EC091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The expression of the splicing machinery is dysregulated in </w:t>
      </w:r>
      <w:proofErr w:type="spellStart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with a non-complete correspondence to genomic alterations.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Volcano Plots showing expression changes [represented as the log2 of the fold change (FC)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. the -log10 (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-value)] of the splicing machinery between tumour and control samples, for the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(A-left)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Retrospective cohort and the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(B-left)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TCGA-BRCA cohort. Gene name labels are represented for genes with a significant expression change between conditions (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&lt;0.05). Upregulated, downregulated, and unchanged genes are coloured as indicated in the graphic legend. Partial Least Squares Discriminant Analyses (PLS-DAs) are also represented from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(A-right)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Retrospective cohort and the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(B-right)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TCGA-BRCA cohort.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(C)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Schematic representation of the mutational and genomic alterations of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ESRP1, PRPF8,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NOVA1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cohorts [TCGA-BRCA (top) and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Metabric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(bottom)].</w:t>
      </w:r>
    </w:p>
    <w:p w14:paraId="77A1FDED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23068D62" wp14:editId="1882FD74">
            <wp:extent cx="5247662" cy="7478973"/>
            <wp:effectExtent l="0" t="0" r="0" b="0"/>
            <wp:docPr id="911842033" name="Imagen 2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42033" name="Imagen 2" descr="Diagrama, Esquemático&#10;&#10;Descripción generada automá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" t="1797" r="6919" b="7834"/>
                    <a:stretch/>
                  </pic:blipFill>
                  <pic:spPr bwMode="auto">
                    <a:xfrm>
                      <a:off x="0" y="0"/>
                      <a:ext cx="5296473" cy="7548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76343" w14:textId="05F53EED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ESRP1 expression is associated to tumour subtype and clinical aggressiveness in </w:t>
      </w:r>
      <w:proofErr w:type="spellStart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(A)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ESRP1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histopathological or molecular tumour subtype, based on the availability of clinical data in each cohort.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(B)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ESRP1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ER/PR/HER2 status. N: negative. P: positive. TNBC: Triple Negative Breast Cancer.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(C)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ESRP1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clinical aggressiveness parameters: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g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rade and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verall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urvival [patients with highest expression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lowest expression group (cut-off=median)]. Data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(SEM). For quantitative variables (Stromal Score, Cell Stromal Score, and Stemness Score), a linear regression analysis with ESRP1 expression is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presented together with the statistics and the Pearson correlation coefficient (r).  The asterisks (*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&lt;0.05; 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&lt;0.01; ***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&lt;0.001; ****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&lt;0.0001) indicate statistically significant differences. Other non-significant correlations are not included.</w:t>
      </w:r>
    </w:p>
    <w:p w14:paraId="76C7C60C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14556A9" wp14:editId="0E59EE3F">
            <wp:extent cx="6509982" cy="8169536"/>
            <wp:effectExtent l="0" t="0" r="0" b="0"/>
            <wp:docPr id="1646998632" name="Imagen 3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998632" name="Imagen 3" descr="Diagrama, Esquemático&#10;&#10;Descripción generada automá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4" r="4691" b="14380"/>
                    <a:stretch/>
                  </pic:blipFill>
                  <pic:spPr bwMode="auto">
                    <a:xfrm>
                      <a:off x="0" y="0"/>
                      <a:ext cx="6526577" cy="8190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5A9DA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951F4D4" w14:textId="4EBA9923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4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. PRPF8 expression associations with clinical variables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(A)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histopathological or molecular tumour subclass, based on the availability of clinical data in each cohort.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(B)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ER/PR/HER2 status. N: negative. P: positive. TNBC: Triple Negative Breast Cancer.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(C)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clinical parameters of aggressiveness. Overall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urvival is compared between patients with highest expression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lowest expression group (cut-off=median)]. Data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(SEM). The asterisks (*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&lt;0.05; 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&lt;0.01; ***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&lt;0.001; ****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&lt;0.0001) indicate statistically significant differences. For quantitative variables (Stromal Score, Cell Stromal Score, and Chromosomal Instability), a linear regression analysis with PRPF8 expression is presented together with the statistics and the Pearson correlation coefficient (r). Other non-significant correlations are not included. </w:t>
      </w:r>
    </w:p>
    <w:p w14:paraId="782A1A51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2408333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FF5F30C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97A040E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8FA5ED4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814F1BD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68AA9EB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0A55012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0FDA91E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E4DB0EC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5894372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DED53F7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4BB059E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5D364E6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9D2B7FA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3E8C54B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3E58F10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8AE10DB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8C99CAA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98C104E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D5A6591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FF72E5C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07EAA403" wp14:editId="13B7E739">
            <wp:extent cx="6476870" cy="8802806"/>
            <wp:effectExtent l="0" t="0" r="0" b="0"/>
            <wp:docPr id="1811677646" name="Imagen 4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77646" name="Imagen 4" descr="Diagrama, Esquemático&#10;&#10;Descripción generada automáticament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6" b="3220"/>
                    <a:stretch/>
                  </pic:blipFill>
                  <pic:spPr bwMode="auto">
                    <a:xfrm>
                      <a:off x="0" y="0"/>
                      <a:ext cx="6489612" cy="8820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7296" w14:textId="487DE23A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. PRPF8 expression has a modest relationship with clinical and functional aggressiveness. (A)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histopathological or molecular tumour subclass, based on the availability of clinical data in each cohort.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(B)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ER/PR/HER2 status. N: negative. P: positive.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(C)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PRPF8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clinical parameters of aggressiveness. Overall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urvival and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ecurrence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compared between patients with highest expression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. lowest expression group (cut-off=median)]. For qualitative variables (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d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ifferentiation,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g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rade,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t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umour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tage), data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(SEM). For quantitative variables (Estimate Immune Score, Cell Immune Score, Stemness Score), a linear regression analysis with PRPF8 expression is presented together with the statistics and the Pearson correlation coefficient (r).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(D)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PRPF8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mRNA expression data obtained from the Cancer Cell Line Encyclopaedia (CCLE) for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-derived cell lines, grouped by ER and HER2 status.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(E)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Proliferation assay in MCF7, MDA-MB-231, and BT-549 cell lines after transient overexpression of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PRPF8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using 3 different doses of plasmid (500, 1000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and 1500 ng/mL). Proliferation after 24, 48, and 72 h is represented as a percentage of the control (Mock).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(F)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PRPF8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mRNA expression levels in the MCF7, MDA-MB-231, and BT-549 cell lines after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PRPF8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overexpression (1000 ng/mL plasmid). Data </w:t>
      </w:r>
      <w:r w:rsidR="005879A1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 of the percentage of the control (Mock). The asterisks (*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&lt;0.05; *** </w:t>
      </w:r>
      <w:r w:rsidRPr="005879A1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&lt;0.001) indicate statistically significant differences.</w:t>
      </w:r>
    </w:p>
    <w:p w14:paraId="03CAC54E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4FFE887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8883672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C9D7E1E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0FC2269" w14:textId="1D371D95" w:rsidR="00244CFD" w:rsidRPr="00824D41" w:rsidRDefault="00BE7913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66768FEE" wp14:editId="0C32EB8B">
            <wp:extent cx="6082748" cy="8786996"/>
            <wp:effectExtent l="0" t="0" r="0" b="0"/>
            <wp:docPr id="1981851358" name="Imagen 3" descr="Diagrama, Esquemá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851358" name="Imagen 3" descr="Diagrama, Esquemático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508" cy="878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0E400" w14:textId="77777777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9F77CEA" w14:textId="3B3BC6A6" w:rsidR="00244CFD" w:rsidRPr="00824D41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6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NOVA1 clinical associations and plasmid dose selection for </w:t>
      </w:r>
      <w:r w:rsidRPr="00851740">
        <w:rPr>
          <w:rFonts w:ascii="Times New Roman" w:hAnsi="Times New Roman" w:cs="Times New Roman"/>
          <w:b/>
          <w:bCs/>
          <w:sz w:val="20"/>
          <w:szCs w:val="20"/>
          <w:lang w:val="en-GB"/>
        </w:rPr>
        <w:t>in vitro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experiments.</w:t>
      </w:r>
      <w:r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80540" w:rsidRP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>(A)</w:t>
      </w:r>
      <w:r w:rsidR="005805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>Multivariate Cox regression analysis considering independent variables (</w:t>
      </w:r>
      <w:r w:rsidR="00A44E7E" w:rsidRPr="00A44E7E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 mRNA level status, type of surgery, chemotherapy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 and radiotherapy) and the dependent variable (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urvival). Coefficients represent the hazard ratio of each variable with its corresponding confidence interval. Statistical score assessed was the Log-Rank test. Patients with </w:t>
      </w:r>
      <w:proofErr w:type="spellStart"/>
      <w:r w:rsidR="00851740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 from </w:t>
      </w:r>
      <w:proofErr w:type="spellStart"/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>Metabric</w:t>
      </w:r>
      <w:proofErr w:type="spellEnd"/>
      <w:r w:rsidR="00A44E7E" w:rsidRPr="00A44E7E">
        <w:rPr>
          <w:rFonts w:ascii="Times New Roman" w:hAnsi="Times New Roman" w:cs="Times New Roman"/>
          <w:sz w:val="20"/>
          <w:szCs w:val="20"/>
          <w:lang w:val="en-GB"/>
        </w:rPr>
        <w:t xml:space="preserve"> cohort with a survival/following of maximum 125 months.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NOVA1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histopathological or molecular tumour subclass, based on the availability of clinical data in each cohort.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E23B5E">
        <w:rPr>
          <w:rFonts w:ascii="Times New Roman" w:hAnsi="Times New Roman" w:cs="Times New Roman"/>
          <w:b/>
          <w:bCs/>
          <w:sz w:val="20"/>
          <w:szCs w:val="20"/>
          <w:lang w:val="en-GB"/>
        </w:rPr>
        <w:t>C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NOVA1 expression (mRNA or protein)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ER/PR/HER2 status. N: negative. P: positive.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E23B5E">
        <w:rPr>
          <w:rFonts w:ascii="Times New Roman" w:hAnsi="Times New Roman" w:cs="Times New Roman"/>
          <w:b/>
          <w:bCs/>
          <w:sz w:val="20"/>
          <w:szCs w:val="20"/>
          <w:lang w:val="en-GB"/>
        </w:rPr>
        <w:t>D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NOVA1 expression (mRNA or protein) in </w:t>
      </w:r>
      <w:proofErr w:type="spellStart"/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</w:t>
      </w:r>
      <w:r w:rsidR="00580540">
        <w:rPr>
          <w:rFonts w:ascii="Times New Roman" w:hAnsi="Times New Roman" w:cs="Times New Roman"/>
          <w:sz w:val="20"/>
          <w:szCs w:val="20"/>
          <w:lang w:val="en-GB"/>
        </w:rPr>
        <w:t>prognosis</w:t>
      </w:r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Overall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urvival and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r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ecurrence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compared between patients with highest expression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lowest expression group (cut-off=median)]. </w:t>
      </w:r>
      <w:r w:rsidR="00580540" w:rsidRP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>(E)</w:t>
      </w:r>
      <w:r w:rsidR="005805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NOVA1 expression (mRNA or protein) in </w:t>
      </w:r>
      <w:proofErr w:type="spellStart"/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patients grouped by </w:t>
      </w:r>
      <w:r w:rsidR="00580540">
        <w:rPr>
          <w:rFonts w:ascii="Times New Roman" w:hAnsi="Times New Roman" w:cs="Times New Roman"/>
          <w:sz w:val="20"/>
          <w:szCs w:val="20"/>
          <w:lang w:val="en-GB"/>
        </w:rPr>
        <w:t>clinical parameters of aggressiveness</w:t>
      </w:r>
      <w:r w:rsidR="00580540" w:rsidRPr="00824D41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5805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For qualitative variables (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g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rade,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t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umour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tage), data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(SEM). For quantitative variables (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t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umour size, Stromal Score, Cell Stromal Score, Cell Immune Score, Estimate Immune Score, Stemness Score, and Chromosomal Instability), a linear regression analysis with NOVA1 expression is presented together with the statistics and the Pearson correlation coefficient (r).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>F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mRNA expression levels in the MCF7, MDA-MB-231, and BT-549 cell lines after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overexpression (1000 ng/mL plasmid). Data are presented as mean ± the standard error of the median (SEM) of the percentage of the control (Mock).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>G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NOVA1 protein expression levels in the MCF7, MDA-MB-231, and BT-549 cell lines after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overexpression (1000 ng/mL plasmid). Representative images of </w:t>
      </w:r>
      <w:r w:rsidR="0040169E" w:rsidRPr="0089349E">
        <w:rPr>
          <w:rFonts w:ascii="Times New Roman" w:hAnsi="Times New Roman" w:cs="Times New Roman"/>
          <w:sz w:val="20"/>
          <w:szCs w:val="20"/>
          <w:lang w:val="en-GB"/>
        </w:rPr>
        <w:t>NOVA1, GAPDH (used for normalization)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,</w:t>
      </w:r>
      <w:r w:rsidR="0040169E" w:rsidRPr="0089349E">
        <w:rPr>
          <w:rFonts w:ascii="Times New Roman" w:hAnsi="Times New Roman" w:cs="Times New Roman"/>
          <w:sz w:val="20"/>
          <w:szCs w:val="20"/>
          <w:lang w:val="en-GB"/>
        </w:rPr>
        <w:t xml:space="preserve"> and Ponceau</w:t>
      </w:r>
      <w:r w:rsidRPr="0089349E">
        <w:rPr>
          <w:rFonts w:ascii="Times New Roman" w:hAnsi="Times New Roman" w:cs="Times New Roman"/>
          <w:sz w:val="20"/>
          <w:szCs w:val="20"/>
          <w:lang w:val="en-GB"/>
        </w:rPr>
        <w:t xml:space="preserve"> 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shown. Data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 of the percentage of the control (Mock).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 w:rsidR="00580540">
        <w:rPr>
          <w:rFonts w:ascii="Times New Roman" w:hAnsi="Times New Roman" w:cs="Times New Roman"/>
          <w:b/>
          <w:bCs/>
          <w:sz w:val="20"/>
          <w:szCs w:val="20"/>
          <w:lang w:val="en-GB"/>
        </w:rPr>
        <w:t>H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Proliferation assay in MCF7, MDA-MB-231, and BT-549 cell lines after transient overexpression of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NOVA1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using 3 different doses of plasmid (500, 1000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and 1500 ng/mL). Proliferation after 24, 48, and 72 h is represented as a percentage of the control (Mock). The asterisks (* </w:t>
      </w:r>
      <w:r w:rsidRPr="00851740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&lt;0.05; ** </w:t>
      </w:r>
      <w:r w:rsidRPr="00851740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&lt;0.01; *** </w:t>
      </w:r>
      <w:r w:rsidRPr="00851740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>&lt;0.001) indicate statistically significant differences.</w:t>
      </w:r>
    </w:p>
    <w:p w14:paraId="467FD73A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170AB15" w14:textId="77777777" w:rsidR="00244CFD" w:rsidRPr="00824D41" w:rsidRDefault="00244CFD" w:rsidP="00244CFD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21F9184A" wp14:editId="505CCAD9">
            <wp:extent cx="6380328" cy="4850387"/>
            <wp:effectExtent l="0" t="0" r="0" b="0"/>
            <wp:docPr id="222981597" name="Imagen 6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81597" name="Imagen 6" descr="Interfaz de usuario gráfica, Texto, Aplicación, Correo electrónico&#10;&#10;Descripción generada automáticament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3" b="43652"/>
                    <a:stretch/>
                  </pic:blipFill>
                  <pic:spPr bwMode="auto">
                    <a:xfrm>
                      <a:off x="0" y="0"/>
                      <a:ext cx="6394259" cy="4860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4559D" w14:textId="65A41C64" w:rsidR="006D1C44" w:rsidRPr="00244CFD" w:rsidRDefault="00244CFD" w:rsidP="00244CF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Supplemental Figure </w:t>
      </w:r>
      <w:r w:rsidR="00A44E7E">
        <w:rPr>
          <w:rFonts w:ascii="Times New Roman" w:hAnsi="Times New Roman" w:cs="Times New Roman"/>
          <w:b/>
          <w:bCs/>
          <w:sz w:val="20"/>
          <w:szCs w:val="20"/>
          <w:lang w:val="en-GB"/>
        </w:rPr>
        <w:t>7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851740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SF3B1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expression and mutational burden in </w:t>
      </w:r>
      <w:proofErr w:type="spellStart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(A)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SF3B1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expression (mRNA) in the Retrospective and TCGA-BRCA cohorts. C: Control. T: Tumour. Data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are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presented as mean ± the standard error of the median (SEM). The asterisk (* </w:t>
      </w:r>
      <w:r w:rsidRPr="00851740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&lt;0.05) indicates statistically significant differences, while ns means no significant differences.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(B) 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Receiver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perating </w:t>
      </w:r>
      <w:r w:rsidR="00851740">
        <w:rPr>
          <w:rFonts w:ascii="Times New Roman" w:hAnsi="Times New Roman" w:cs="Times New Roman"/>
          <w:sz w:val="20"/>
          <w:szCs w:val="20"/>
          <w:lang w:val="en-GB"/>
        </w:rPr>
        <w:t>C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haracteristic (ROC) curves showing the discriminatory capacity (tumour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vs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. control samples) of </w:t>
      </w:r>
      <w:r w:rsidRPr="00824D41">
        <w:rPr>
          <w:rFonts w:ascii="Times New Roman" w:hAnsi="Times New Roman" w:cs="Times New Roman"/>
          <w:i/>
          <w:iCs/>
          <w:sz w:val="20"/>
          <w:szCs w:val="20"/>
          <w:lang w:val="en-GB"/>
        </w:rPr>
        <w:t>SF3B1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expression levels (mRNA) in the Retrospective and TCGA-BRCA cohorts. AUC: Area Under the Curve. </w:t>
      </w:r>
      <w:r w:rsidRPr="00824D41">
        <w:rPr>
          <w:rFonts w:ascii="Times New Roman" w:hAnsi="Times New Roman" w:cs="Times New Roman"/>
          <w:b/>
          <w:bCs/>
          <w:sz w:val="20"/>
          <w:szCs w:val="20"/>
          <w:lang w:val="en-GB"/>
        </w:rPr>
        <w:t>(C)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Schematic representation of the mutational and genomic alterations of </w:t>
      </w:r>
      <w:r w:rsidRPr="00851740">
        <w:rPr>
          <w:rFonts w:ascii="Times New Roman" w:hAnsi="Times New Roman" w:cs="Times New Roman"/>
          <w:i/>
          <w:iCs/>
          <w:sz w:val="20"/>
          <w:szCs w:val="20"/>
          <w:lang w:val="en-GB"/>
        </w:rPr>
        <w:t>SF3B1</w:t>
      </w:r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in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BCa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cohorts [TCGA-BRCA (top) and </w:t>
      </w:r>
      <w:proofErr w:type="spellStart"/>
      <w:r w:rsidRPr="00824D41">
        <w:rPr>
          <w:rFonts w:ascii="Times New Roman" w:hAnsi="Times New Roman" w:cs="Times New Roman"/>
          <w:sz w:val="20"/>
          <w:szCs w:val="20"/>
          <w:lang w:val="en-GB"/>
        </w:rPr>
        <w:t>Metabric</w:t>
      </w:r>
      <w:proofErr w:type="spellEnd"/>
      <w:r w:rsidRPr="00824D41">
        <w:rPr>
          <w:rFonts w:ascii="Times New Roman" w:hAnsi="Times New Roman" w:cs="Times New Roman"/>
          <w:sz w:val="20"/>
          <w:szCs w:val="20"/>
          <w:lang w:val="en-GB"/>
        </w:rPr>
        <w:t xml:space="preserve"> (bottom)].</w:t>
      </w:r>
    </w:p>
    <w:sectPr w:rsidR="006D1C44" w:rsidRPr="00244CFD" w:rsidSect="00244CFD">
      <w:pgSz w:w="11906" w:h="16838"/>
      <w:pgMar w:top="1134" w:right="851" w:bottom="1134" w:left="85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177"/>
    <w:rsid w:val="00045542"/>
    <w:rsid w:val="001615F9"/>
    <w:rsid w:val="00244CFD"/>
    <w:rsid w:val="0040169E"/>
    <w:rsid w:val="00482DA3"/>
    <w:rsid w:val="004860F7"/>
    <w:rsid w:val="00580540"/>
    <w:rsid w:val="005879A1"/>
    <w:rsid w:val="005B259E"/>
    <w:rsid w:val="00602B1A"/>
    <w:rsid w:val="006D1C44"/>
    <w:rsid w:val="007A0336"/>
    <w:rsid w:val="007B3E25"/>
    <w:rsid w:val="00851740"/>
    <w:rsid w:val="0089349E"/>
    <w:rsid w:val="00A44E7E"/>
    <w:rsid w:val="00AC4919"/>
    <w:rsid w:val="00B20350"/>
    <w:rsid w:val="00BE7913"/>
    <w:rsid w:val="00D47177"/>
    <w:rsid w:val="00D6234E"/>
    <w:rsid w:val="00E2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5855"/>
  <w15:chartTrackingRefBased/>
  <w15:docId w15:val="{5C1FBBFB-E76C-4435-A4C5-95A9784A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CFD"/>
  </w:style>
  <w:style w:type="paragraph" w:styleId="Ttulo1">
    <w:name w:val="heading 1"/>
    <w:basedOn w:val="Normal"/>
    <w:next w:val="Normal"/>
    <w:link w:val="Ttulo1Car"/>
    <w:uiPriority w:val="9"/>
    <w:qFormat/>
    <w:rsid w:val="00D47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7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7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7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7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7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7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7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7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7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7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7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71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717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71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71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71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71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7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7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7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7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7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71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71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71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7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71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7177"/>
    <w:rPr>
      <w:b/>
      <w:bCs/>
      <w:smallCaps/>
      <w:color w:val="0F4761" w:themeColor="accent1" w:themeShade="BF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244CFD"/>
  </w:style>
  <w:style w:type="character" w:styleId="Hipervnculo">
    <w:name w:val="Hyperlink"/>
    <w:basedOn w:val="Fuentedeprrafopredeter"/>
    <w:uiPriority w:val="99"/>
    <w:unhideWhenUsed/>
    <w:rsid w:val="005B25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hyperlink" Target="mailto:bc2gaorm@uco.es" TargetMode="External"/><Relationship Id="rId10" Type="http://schemas.openxmlformats.org/officeDocument/2006/relationships/image" Target="media/image5.tiff"/><Relationship Id="rId4" Type="http://schemas.openxmlformats.org/officeDocument/2006/relationships/hyperlink" Target="mailto:bc2luhur@uco.es" TargetMode="Externa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11</Pages>
  <Words>1570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Herman Sánchez</dc:creator>
  <cp:keywords/>
  <dc:description/>
  <cp:lastModifiedBy>Natalia Herman Sánchez</cp:lastModifiedBy>
  <cp:revision>14</cp:revision>
  <dcterms:created xsi:type="dcterms:W3CDTF">2024-07-01T18:30:00Z</dcterms:created>
  <dcterms:modified xsi:type="dcterms:W3CDTF">2024-11-21T19:30:00Z</dcterms:modified>
</cp:coreProperties>
</file>