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5DD" w:rsidRPr="001D60DE" w:rsidRDefault="00187B50">
      <w:pPr>
        <w:rPr>
          <w:rFonts w:ascii="Arial" w:hAnsi="Arial" w:cs="Arial"/>
          <w:sz w:val="24"/>
          <w:szCs w:val="24"/>
          <w:lang w:val="en-US"/>
        </w:rPr>
      </w:pPr>
      <w:r>
        <w:rPr>
          <w:rStyle w:val="table-captionlabel"/>
          <w:rFonts w:ascii="Arial" w:hAnsi="Arial" w:cs="Arial"/>
          <w:b/>
          <w:sz w:val="24"/>
          <w:szCs w:val="24"/>
          <w:lang w:val="en-US"/>
        </w:rPr>
        <w:t>Table S1</w:t>
      </w:r>
      <w:r w:rsidR="008A07E7" w:rsidRPr="008A07E7">
        <w:rPr>
          <w:rStyle w:val="table-captionlabel"/>
          <w:rFonts w:ascii="Arial" w:hAnsi="Arial" w:cs="Arial"/>
          <w:b/>
          <w:sz w:val="24"/>
          <w:szCs w:val="24"/>
          <w:lang w:val="en-US"/>
        </w:rPr>
        <w:t>.</w:t>
      </w:r>
      <w:r w:rsidR="008A07E7" w:rsidRPr="008A07E7">
        <w:rPr>
          <w:rStyle w:val="table-captionlabel"/>
          <w:rFonts w:ascii="Arial" w:hAnsi="Arial" w:cs="Arial"/>
          <w:sz w:val="24"/>
          <w:szCs w:val="24"/>
          <w:lang w:val="en-US"/>
        </w:rPr>
        <w:t xml:space="preserve"> </w:t>
      </w:r>
      <w:r>
        <w:rPr>
          <w:rStyle w:val="table-captionlabel"/>
          <w:rFonts w:ascii="Arial" w:hAnsi="Arial" w:cs="Arial"/>
          <w:sz w:val="24"/>
          <w:szCs w:val="24"/>
          <w:lang w:val="en-US"/>
        </w:rPr>
        <w:t xml:space="preserve">List of the </w:t>
      </w:r>
      <w:r>
        <w:rPr>
          <w:rFonts w:ascii="Arial" w:hAnsi="Arial" w:cs="Arial"/>
          <w:sz w:val="24"/>
          <w:szCs w:val="24"/>
          <w:lang w:val="en-US"/>
        </w:rPr>
        <w:t>antibodies used in this study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62"/>
        <w:gridCol w:w="2529"/>
        <w:gridCol w:w="3785"/>
      </w:tblGrid>
      <w:tr w:rsidR="009240AD" w:rsidRPr="009240AD" w:rsidTr="00846F4A">
        <w:tc>
          <w:tcPr>
            <w:tcW w:w="0" w:type="auto"/>
            <w:shd w:val="clear" w:color="auto" w:fill="F2F2F2" w:themeFill="background1" w:themeFillShade="F2"/>
          </w:tcPr>
          <w:p w:rsidR="00846F4A" w:rsidRPr="009240AD" w:rsidRDefault="005A1B9A" w:rsidP="008A07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0AD">
              <w:rPr>
                <w:rFonts w:ascii="Arial" w:hAnsi="Arial" w:cs="Arial"/>
                <w:b/>
                <w:sz w:val="20"/>
                <w:szCs w:val="20"/>
              </w:rPr>
              <w:t>Antibodies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46F4A" w:rsidRPr="009240AD" w:rsidRDefault="005A1B9A" w:rsidP="008A07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0AD">
              <w:rPr>
                <w:rFonts w:ascii="Arial" w:hAnsi="Arial" w:cs="Arial"/>
                <w:b/>
                <w:sz w:val="20"/>
                <w:szCs w:val="20"/>
              </w:rPr>
              <w:t>Source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846F4A" w:rsidRPr="009240AD" w:rsidRDefault="005A1B9A" w:rsidP="008A07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0AD">
              <w:rPr>
                <w:rFonts w:ascii="Arial" w:hAnsi="Arial" w:cs="Arial"/>
                <w:b/>
                <w:sz w:val="20"/>
                <w:szCs w:val="20"/>
              </w:rPr>
              <w:t>Identifier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846F4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TfR1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Abcam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ab84036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FPN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Alpha-Diagnostics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#MTP11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FPN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Novus Biologicals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NBP1-21502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B925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FTL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Abcam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ab69090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B925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FTH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#3998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Myoglobin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Santacruz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sc-8080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HIF2</w:t>
            </w:r>
            <w:r w:rsidRPr="009240AD">
              <w:rPr>
                <w:rFonts w:ascii="Symbol" w:eastAsia="Calibri" w:hAnsi="Symbol" w:cs="Arial"/>
                <w:sz w:val="20"/>
                <w:szCs w:val="20"/>
              </w:rPr>
              <w:t>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Abcam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ab109616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 xml:space="preserve">NRF2 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Abcam</w:t>
            </w:r>
          </w:p>
        </w:tc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ab137550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0B2A02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NQO1</w:t>
            </w:r>
          </w:p>
        </w:tc>
        <w:tc>
          <w:tcPr>
            <w:tcW w:w="0" w:type="auto"/>
          </w:tcPr>
          <w:p w:rsidR="00846F4A" w:rsidRPr="009240AD" w:rsidRDefault="000B2A02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Abcam</w:t>
            </w:r>
          </w:p>
        </w:tc>
        <w:tc>
          <w:tcPr>
            <w:tcW w:w="0" w:type="auto"/>
          </w:tcPr>
          <w:p w:rsidR="00846F4A" w:rsidRPr="009240AD" w:rsidRDefault="005A1B9A" w:rsidP="000B2A02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ab80588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FBXL5</w:t>
            </w:r>
          </w:p>
        </w:tc>
        <w:tc>
          <w:tcPr>
            <w:tcW w:w="0" w:type="auto"/>
          </w:tcPr>
          <w:p w:rsidR="00846F4A" w:rsidRPr="009240AD" w:rsidRDefault="005A1B9A" w:rsidP="000B2A0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 xml:space="preserve">Biolegend </w:t>
            </w:r>
          </w:p>
        </w:tc>
        <w:tc>
          <w:tcPr>
            <w:tcW w:w="0" w:type="auto"/>
          </w:tcPr>
          <w:p w:rsidR="00846F4A" w:rsidRPr="009240AD" w:rsidRDefault="000B2A02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#672703</w:t>
            </w:r>
          </w:p>
        </w:tc>
      </w:tr>
      <w:tr w:rsidR="009240AD" w:rsidRPr="009240AD" w:rsidTr="00846F4A">
        <w:tc>
          <w:tcPr>
            <w:tcW w:w="0" w:type="auto"/>
          </w:tcPr>
          <w:p w:rsidR="00846F4A" w:rsidRPr="009240AD" w:rsidRDefault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FBXL5</w:t>
            </w:r>
          </w:p>
        </w:tc>
        <w:tc>
          <w:tcPr>
            <w:tcW w:w="0" w:type="auto"/>
          </w:tcPr>
          <w:p w:rsidR="00846F4A" w:rsidRPr="00560E02" w:rsidRDefault="000B2A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E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Invitrogen</w:t>
            </w:r>
          </w:p>
        </w:tc>
        <w:tc>
          <w:tcPr>
            <w:tcW w:w="0" w:type="auto"/>
          </w:tcPr>
          <w:p w:rsidR="00846F4A" w:rsidRPr="009240AD" w:rsidRDefault="000B2A0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#PA5-113529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5A1B9A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IRP1</w:t>
            </w:r>
          </w:p>
        </w:tc>
        <w:tc>
          <w:tcPr>
            <w:tcW w:w="0" w:type="auto"/>
          </w:tcPr>
          <w:p w:rsidR="005A1B9A" w:rsidRPr="00560E02" w:rsidRDefault="001B7D2D" w:rsidP="001B7D2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ADDIN EN.CITE &lt;EndNote&gt;&lt;Cite&gt;&lt;Author&gt;Nadimpalli&lt;/Author&gt;&lt;Year&gt;2024&lt;/Year&gt;&lt;RecNum&gt;2021&lt;/RecNum&gt;&lt;DisplayText&gt;[1]&lt;/DisplayText&gt;&lt;record&gt;&lt;rec-number&gt;2021&lt;/rec-number&gt;&lt;foreign-keys&gt;&lt;key app="EN" db-id="9wwfxr2vx9vvxeesev6pt22o2fetae5sesda" timestamp="1716295178"&gt;2021&lt;/key&gt;&lt;/foreign-keys&gt;&lt;ref-type name="Journal Article"&gt;17&lt;/ref-type&gt;&lt;contributors&gt;&lt;authors&gt;&lt;author&gt;Nadimpalli, Hima Priyanka&lt;/author&gt;&lt;author&gt;Katsioudi, Georgia&lt;/author&gt;&lt;author&gt;Arpa, Enes Salih&lt;/author&gt;&lt;author&gt;Chikhaoui, Lies&lt;/author&gt;&lt;author&gt;Arpat, Alaaddin Bulak&lt;/author&gt;&lt;author&gt;Liechti, Angelica&lt;/author&gt;&lt;author&gt;Palais, Gaël&lt;/author&gt;&lt;author&gt;Tessmer, Claudia&lt;/author&gt;&lt;author&gt;Hofmann, Ilse&lt;/author&gt;&lt;author&gt;Galy, Bruno&lt;/author&gt;&lt;author&gt;Gatfield, David&lt;/author&gt;&lt;/authors&gt;&lt;/contributors&gt;&lt;titles&gt;&lt;title&gt;Diurnal control of iron responsive element containing mRNAs through iron regulatory proteins IRP1 and IRP2 is mediated by feeding rhythms&lt;/title&gt;&lt;secondary-title&gt;Genome Biology&lt;/secondary-title&gt;&lt;/titles&gt;&lt;periodical&gt;&lt;full-title&gt;Genome Biology&lt;/full-title&gt;&lt;/periodical&gt;&lt;pages&gt;128&lt;/pages&gt;&lt;volume&gt;25&lt;/volume&gt;&lt;number&gt;1&lt;/number&gt;&lt;dates&gt;&lt;year&gt;2024&lt;/year&gt;&lt;pub-dates&gt;&lt;date&gt;2024/05/21&lt;/date&gt;&lt;/pub-dates&gt;&lt;/dates&gt;&lt;isbn&gt;1474-760X&lt;/isbn&gt;&lt;urls&gt;&lt;related-urls&gt;&lt;url&gt;https://doi.org/10.1186/s13059-024-03270-2&lt;/url&gt;&lt;/related-urls&gt;&lt;/urls&gt;&lt;electronic-resource-num&gt;10.1186/s13059-024-03270-2&lt;/electronic-resource-num&gt;&lt;/record&gt;&lt;/Cite&gt;&lt;/EndNote&gt;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[1]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undiluted crude hybridoma supernatants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5A1B9A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IRP2</w:t>
            </w:r>
          </w:p>
        </w:tc>
        <w:tc>
          <w:tcPr>
            <w:tcW w:w="0" w:type="auto"/>
          </w:tcPr>
          <w:p w:rsidR="005A1B9A" w:rsidRPr="00560E02" w:rsidRDefault="001B7D2D" w:rsidP="001B7D2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instrText xml:space="preserve"> ADDIN EN.CITE &lt;EndNote&gt;&lt;Cite&gt;&lt;Author&gt;Nadimpalli&lt;/Author&gt;&lt;Year&gt;2024&lt;/Year&gt;&lt;RecNum&gt;2021&lt;/RecNum&gt;&lt;DisplayText&gt;[1]&lt;/DisplayText&gt;&lt;record&gt;&lt;rec-number&gt;2021&lt;/rec-number&gt;&lt;foreign-keys&gt;&lt;key app="EN" db-id="9wwfxr2vx9vvxeesev6pt22o2fetae5sesda" timestamp="1716295178"&gt;2021&lt;/key&gt;&lt;/foreign-keys&gt;&lt;ref-type name="Journal Article"&gt;17&lt;/ref-type&gt;&lt;contributors&gt;&lt;authors&gt;&lt;author&gt;Nadimpalli, Hima Priyanka&lt;/author&gt;&lt;author&gt;Katsioudi, Georgia&lt;/author&gt;&lt;author&gt;Arpa, Enes Salih&lt;/author&gt;&lt;author&gt;Chikhaoui, Lies&lt;/author&gt;&lt;author&gt;Arpat, Alaaddin Bulak&lt;/author&gt;&lt;author&gt;Liechti, Angelica&lt;/author&gt;&lt;author&gt;Palais, Gaël&lt;/author&gt;&lt;author&gt;Tessmer, Claudia&lt;/author&gt;&lt;author&gt;Hofmann, Ilse&lt;/author&gt;&lt;author&gt;Galy, Bruno&lt;/author&gt;&lt;author&gt;Gatfield, David&lt;/author&gt;&lt;/authors&gt;&lt;/contributors&gt;&lt;titles&gt;&lt;title&gt;Diurnal control of iron responsive element containing mRNAs through iron regulatory proteins IRP1 and IRP2 is mediated by feeding rhythms&lt;/title&gt;&lt;secondary-title&gt;Genome Biology&lt;/secondary-title&gt;&lt;/titles&gt;&lt;periodical&gt;&lt;full-title&gt;Genome Biology&lt;/full-title&gt;&lt;/periodical&gt;&lt;pages&gt;128&lt;/pages&gt;&lt;volume&gt;25&lt;/volume&gt;&lt;number&gt;1&lt;/number&gt;&lt;dates&gt;&lt;year&gt;2024&lt;/year&gt;&lt;pub-dates&gt;&lt;date&gt;2024/05/21&lt;/date&gt;&lt;/pub-dates&gt;&lt;/dates&gt;&lt;isbn&gt;1474-760X&lt;/isbn&gt;&lt;urls&gt;&lt;related-urls&gt;&lt;url&gt;https://doi.org/10.1186/s13059-024-03270-2&lt;/url&gt;&lt;/related-urls&gt;&lt;/urls&gt;&lt;electronic-resource-num&gt;10.1186/s13059-024-03270-2&lt;/electronic-resource-num&gt;&lt;/record&gt;&lt;/Cite&gt;&lt;/EndNote&gt;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[1]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undiluted crude hybridoma supernatants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5A1B9A" w:rsidP="000B2A02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 xml:space="preserve">p62 </w:t>
            </w:r>
          </w:p>
        </w:tc>
        <w:tc>
          <w:tcPr>
            <w:tcW w:w="0" w:type="auto"/>
          </w:tcPr>
          <w:p w:rsidR="005A1B9A" w:rsidRPr="00560E02" w:rsidRDefault="000B2A02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60E0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Progen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GP62-C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5A1B9A" w:rsidP="000B2A02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 xml:space="preserve">NCOA4 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Santacruz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sc-373739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LC3B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#2775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LAMP1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Santacruz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sc-19992</w:t>
            </w:r>
          </w:p>
        </w:tc>
      </w:tr>
      <w:tr w:rsidR="00E1303D" w:rsidRPr="009240AD" w:rsidTr="00846F4A">
        <w:tc>
          <w:tcPr>
            <w:tcW w:w="0" w:type="auto"/>
          </w:tcPr>
          <w:p w:rsidR="00E1303D" w:rsidRPr="009240AD" w:rsidRDefault="00E1303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pAKT1-S473</w:t>
            </w:r>
          </w:p>
        </w:tc>
        <w:tc>
          <w:tcPr>
            <w:tcW w:w="0" w:type="auto"/>
          </w:tcPr>
          <w:p w:rsidR="00E1303D" w:rsidRPr="009240AD" w:rsidRDefault="00E1303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E1303D" w:rsidRPr="009240AD" w:rsidRDefault="00E1303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t>#9018</w:t>
            </w:r>
          </w:p>
        </w:tc>
      </w:tr>
      <w:tr w:rsidR="00E1303D" w:rsidRPr="009240AD" w:rsidTr="00846F4A">
        <w:tc>
          <w:tcPr>
            <w:tcW w:w="0" w:type="auto"/>
          </w:tcPr>
          <w:p w:rsidR="00E1303D" w:rsidRPr="009240AD" w:rsidRDefault="00E1303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AKT</w:t>
            </w:r>
          </w:p>
        </w:tc>
        <w:tc>
          <w:tcPr>
            <w:tcW w:w="0" w:type="auto"/>
          </w:tcPr>
          <w:p w:rsidR="00E1303D" w:rsidRPr="009240AD" w:rsidRDefault="00E1303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E1303D" w:rsidRPr="009240AD" w:rsidRDefault="00E1303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t>#9272</w:t>
            </w:r>
          </w:p>
        </w:tc>
      </w:tr>
      <w:tr w:rsidR="00E1303D" w:rsidRPr="009240AD" w:rsidTr="00846F4A">
        <w:tc>
          <w:tcPr>
            <w:tcW w:w="0" w:type="auto"/>
          </w:tcPr>
          <w:p w:rsidR="00E1303D" w:rsidRPr="00B21B77" w:rsidRDefault="00E1303D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pFOXO1-S256</w:t>
            </w:r>
          </w:p>
        </w:tc>
        <w:tc>
          <w:tcPr>
            <w:tcW w:w="0" w:type="auto"/>
          </w:tcPr>
          <w:p w:rsidR="00E1303D" w:rsidRPr="00B21B77" w:rsidRDefault="00E1303D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E1303D" w:rsidRPr="00B21B77" w:rsidRDefault="00980C97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#84192</w:t>
            </w:r>
          </w:p>
        </w:tc>
      </w:tr>
      <w:tr w:rsidR="00E1303D" w:rsidRPr="009240AD" w:rsidTr="00846F4A">
        <w:tc>
          <w:tcPr>
            <w:tcW w:w="0" w:type="auto"/>
          </w:tcPr>
          <w:p w:rsidR="00E1303D" w:rsidRPr="00B21B77" w:rsidRDefault="00E1303D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FOXO1</w:t>
            </w:r>
          </w:p>
        </w:tc>
        <w:tc>
          <w:tcPr>
            <w:tcW w:w="0" w:type="auto"/>
          </w:tcPr>
          <w:p w:rsidR="00E1303D" w:rsidRPr="00B21B77" w:rsidRDefault="00E1303D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E1303D" w:rsidRPr="00B21B77" w:rsidRDefault="00980C97" w:rsidP="005A1B9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#2880</w:t>
            </w:r>
          </w:p>
        </w:tc>
      </w:tr>
      <w:tr w:rsidR="001D60DE" w:rsidRPr="009240AD" w:rsidTr="00846F4A">
        <w:tc>
          <w:tcPr>
            <w:tcW w:w="0" w:type="auto"/>
          </w:tcPr>
          <w:p w:rsidR="001D60DE" w:rsidRPr="009240AD" w:rsidRDefault="001D60DE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FOXO3</w:t>
            </w:r>
          </w:p>
        </w:tc>
        <w:tc>
          <w:tcPr>
            <w:tcW w:w="0" w:type="auto"/>
          </w:tcPr>
          <w:p w:rsidR="001D60DE" w:rsidRPr="009240AD" w:rsidRDefault="001D60DE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1B77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1D60DE" w:rsidRPr="009240AD" w:rsidRDefault="001D60DE" w:rsidP="001D60D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#2497</w:t>
            </w:r>
          </w:p>
        </w:tc>
      </w:tr>
      <w:tr w:rsidR="001D60DE" w:rsidRPr="009240AD" w:rsidTr="00846F4A">
        <w:tc>
          <w:tcPr>
            <w:tcW w:w="0" w:type="auto"/>
          </w:tcPr>
          <w:p w:rsidR="001D60DE" w:rsidRPr="009240AD" w:rsidRDefault="001D60DE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LAMININ</w:t>
            </w:r>
          </w:p>
        </w:tc>
        <w:tc>
          <w:tcPr>
            <w:tcW w:w="0" w:type="auto"/>
          </w:tcPr>
          <w:p w:rsidR="001D60DE" w:rsidRPr="009240AD" w:rsidRDefault="001D60DE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Sigma</w:t>
            </w:r>
          </w:p>
        </w:tc>
        <w:tc>
          <w:tcPr>
            <w:tcW w:w="0" w:type="auto"/>
          </w:tcPr>
          <w:p w:rsidR="001D60DE" w:rsidRPr="009240AD" w:rsidRDefault="001D60DE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L9393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ISCU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Proteintech</w:t>
            </w:r>
            <w:proofErr w:type="spellEnd"/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14812-AP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</w:rPr>
              <w:t>Frataxin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</w:rPr>
              <w:t>Dr H. Puccio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</w:rPr>
              <w:t>4F9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NDUFS3</w:t>
            </w:r>
          </w:p>
        </w:tc>
        <w:tc>
          <w:tcPr>
            <w:tcW w:w="0" w:type="auto"/>
          </w:tcPr>
          <w:p w:rsidR="005A1B9A" w:rsidRPr="009240AD" w:rsidRDefault="005A1B9A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Invitrogen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#43-9200</w:t>
            </w:r>
          </w:p>
        </w:tc>
      </w:tr>
      <w:tr w:rsidR="009240AD" w:rsidRPr="009240AD" w:rsidTr="00846F4A">
        <w:tc>
          <w:tcPr>
            <w:tcW w:w="0" w:type="auto"/>
          </w:tcPr>
          <w:p w:rsidR="005A1B9A" w:rsidRPr="009240AD" w:rsidRDefault="00E1303D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SDHB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Abcam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ab14714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Ferrochelatase</w:t>
            </w:r>
          </w:p>
        </w:tc>
        <w:tc>
          <w:tcPr>
            <w:tcW w:w="0" w:type="auto"/>
          </w:tcPr>
          <w:p w:rsidR="005A1B9A" w:rsidRPr="009240AD" w:rsidRDefault="005A1B9A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Santacruz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sc-377377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E1303D" w:rsidP="005A1B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ACO2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#6922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LA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Calbiochem®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#437695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PDH-E2</w:t>
            </w:r>
          </w:p>
        </w:tc>
        <w:tc>
          <w:tcPr>
            <w:tcW w:w="0" w:type="auto"/>
          </w:tcPr>
          <w:p w:rsidR="005A1B9A" w:rsidRPr="009240AD" w:rsidRDefault="009240AD" w:rsidP="009240AD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Santacruz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sc-271352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GAPDH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Cell Signaling Technology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#2118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HRP-anti mouse IgG</w:t>
            </w:r>
          </w:p>
        </w:tc>
        <w:tc>
          <w:tcPr>
            <w:tcW w:w="0" w:type="auto"/>
          </w:tcPr>
          <w:p w:rsidR="005A1B9A" w:rsidRPr="009240AD" w:rsidRDefault="005A1B9A" w:rsidP="009240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 xml:space="preserve">Bio-rad 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170-6516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HRP-anti rabbit IgG</w:t>
            </w:r>
          </w:p>
        </w:tc>
        <w:tc>
          <w:tcPr>
            <w:tcW w:w="0" w:type="auto"/>
          </w:tcPr>
          <w:p w:rsidR="005A1B9A" w:rsidRPr="009240AD" w:rsidRDefault="009240AD" w:rsidP="009240A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Bio-rad</w:t>
            </w:r>
            <w:proofErr w:type="spellEnd"/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170-6515</w:t>
            </w:r>
          </w:p>
        </w:tc>
      </w:tr>
      <w:tr w:rsidR="009240AD" w:rsidRPr="009240AD" w:rsidTr="005B09B7"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HRP-anti rat IgG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Santacruz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US"/>
              </w:rPr>
              <w:t>sc-2956</w:t>
            </w:r>
          </w:p>
        </w:tc>
      </w:tr>
      <w:tr w:rsidR="009240AD" w:rsidRPr="009240AD" w:rsidTr="00327934"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TrueBlot® ULTRA</w:t>
            </w:r>
          </w:p>
        </w:tc>
        <w:tc>
          <w:tcPr>
            <w:tcW w:w="0" w:type="auto"/>
          </w:tcPr>
          <w:p w:rsidR="005A1B9A" w:rsidRPr="009240AD" w:rsidRDefault="000B2A02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Rockland</w:t>
            </w:r>
          </w:p>
        </w:tc>
        <w:tc>
          <w:tcPr>
            <w:tcW w:w="0" w:type="auto"/>
          </w:tcPr>
          <w:p w:rsidR="005A1B9A" w:rsidRPr="009240AD" w:rsidRDefault="009240AD" w:rsidP="005A1B9A">
            <w:pPr>
              <w:rPr>
                <w:rFonts w:ascii="Arial" w:hAnsi="Arial" w:cs="Arial"/>
                <w:sz w:val="20"/>
                <w:szCs w:val="20"/>
              </w:rPr>
            </w:pPr>
            <w:r w:rsidRPr="009240AD">
              <w:rPr>
                <w:rFonts w:ascii="Arial" w:hAnsi="Arial" w:cs="Arial"/>
                <w:sz w:val="20"/>
                <w:szCs w:val="20"/>
                <w:lang w:val="en-GB"/>
              </w:rPr>
              <w:t>ROCK18-8817-31</w:t>
            </w:r>
          </w:p>
        </w:tc>
      </w:tr>
    </w:tbl>
    <w:p w:rsidR="001B7D2D" w:rsidRDefault="001B7D2D" w:rsidP="00C251A7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B7D2D" w:rsidRDefault="0010568E" w:rsidP="00C251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</w:t>
      </w:r>
    </w:p>
    <w:p w:rsidR="001B7D2D" w:rsidRPr="001B7D2D" w:rsidRDefault="001B7D2D" w:rsidP="001B7D2D">
      <w:pPr>
        <w:pStyle w:val="EndNoteBibliography"/>
      </w:pPr>
      <w:r>
        <w:rPr>
          <w:rFonts w:ascii="Arial" w:hAnsi="Arial" w:cs="Arial"/>
          <w:sz w:val="20"/>
          <w:szCs w:val="20"/>
        </w:rPr>
        <w:fldChar w:fldCharType="begin"/>
      </w:r>
      <w:r w:rsidRPr="0010568E">
        <w:rPr>
          <w:rFonts w:ascii="Arial" w:hAnsi="Arial" w:cs="Arial"/>
          <w:sz w:val="20"/>
          <w:szCs w:val="20"/>
          <w:lang w:val="fr-FR"/>
        </w:rPr>
        <w:instrText xml:space="preserve"> ADDIN EN.REFLIST </w:instrText>
      </w:r>
      <w:r>
        <w:rPr>
          <w:rFonts w:ascii="Arial" w:hAnsi="Arial" w:cs="Arial"/>
          <w:sz w:val="20"/>
          <w:szCs w:val="20"/>
        </w:rPr>
        <w:fldChar w:fldCharType="separate"/>
      </w:r>
      <w:r w:rsidRPr="0010568E">
        <w:rPr>
          <w:lang w:val="fr-FR"/>
        </w:rPr>
        <w:t>1.</w:t>
      </w:r>
      <w:r w:rsidRPr="0010568E">
        <w:rPr>
          <w:lang w:val="fr-FR"/>
        </w:rPr>
        <w:tab/>
        <w:t xml:space="preserve">Nadimpalli HP, Katsioudi G, Arpa ES, Chikhaoui L, Arpat AB, Liechti A, et al. </w:t>
      </w:r>
      <w:r w:rsidRPr="001B7D2D">
        <w:t>Diurnal control of iron responsive element containing mRNAs through iron regulatory proteins IRP1 and IRP2 is mediated by feeding rhythms. Genome Biology. 2024;25:128. doi:10.1186/s13059-024-03270-2</w:t>
      </w:r>
    </w:p>
    <w:p w:rsidR="00BA4F6D" w:rsidRDefault="001B7D2D" w:rsidP="00C251A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</w:p>
    <w:sectPr w:rsidR="00BA4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J Cachexia Sarc Muscl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wfxr2vx9vvxeesev6pt22o2fetae5sesda&quot;&gt;ENDNOTE XL1Gael Aout 2018-Converted&lt;record-ids&gt;&lt;item&gt;2021&lt;/item&gt;&lt;/record-ids&gt;&lt;/item&gt;&lt;/Libraries&gt;"/>
  </w:docVars>
  <w:rsids>
    <w:rsidRoot w:val="00846F4A"/>
    <w:rsid w:val="000B2A02"/>
    <w:rsid w:val="0010568E"/>
    <w:rsid w:val="00187B50"/>
    <w:rsid w:val="00192C98"/>
    <w:rsid w:val="001B7D2D"/>
    <w:rsid w:val="001D60DE"/>
    <w:rsid w:val="00327934"/>
    <w:rsid w:val="00560E02"/>
    <w:rsid w:val="00563DD3"/>
    <w:rsid w:val="005905DD"/>
    <w:rsid w:val="005A1B9A"/>
    <w:rsid w:val="005B09B7"/>
    <w:rsid w:val="00846F4A"/>
    <w:rsid w:val="008A07E7"/>
    <w:rsid w:val="009240AD"/>
    <w:rsid w:val="00980C97"/>
    <w:rsid w:val="00A93F13"/>
    <w:rsid w:val="00B21B77"/>
    <w:rsid w:val="00B9251A"/>
    <w:rsid w:val="00BA4F6D"/>
    <w:rsid w:val="00BD40F1"/>
    <w:rsid w:val="00C251A7"/>
    <w:rsid w:val="00E1303D"/>
    <w:rsid w:val="00E45874"/>
    <w:rsid w:val="00EF271B"/>
    <w:rsid w:val="00F1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BC6E"/>
  <w15:chartTrackingRefBased/>
  <w15:docId w15:val="{4599A5E8-2017-491F-A3EE-EED0B7D8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46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-captionlabel">
    <w:name w:val="table-caption__label"/>
    <w:basedOn w:val="Policepardfaut"/>
    <w:rsid w:val="008A07E7"/>
  </w:style>
  <w:style w:type="paragraph" w:customStyle="1" w:styleId="EndNoteBibliographyTitle">
    <w:name w:val="EndNote Bibliography Title"/>
    <w:basedOn w:val="Normal"/>
    <w:link w:val="EndNoteBibliographyTitleCar"/>
    <w:rsid w:val="00EF271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EF271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EF271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EF271B"/>
    <w:rPr>
      <w:rFonts w:ascii="Calibri" w:hAnsi="Calibri" w:cs="Calibri"/>
      <w:noProof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yann-gael.gangloff</dc:creator>
  <cp:keywords/>
  <dc:description/>
  <cp:lastModifiedBy>yann-gael.gangloff</cp:lastModifiedBy>
  <cp:revision>6</cp:revision>
  <cp:lastPrinted>2024-05-02T08:35:00Z</cp:lastPrinted>
  <dcterms:created xsi:type="dcterms:W3CDTF">2025-01-21T14:55:00Z</dcterms:created>
  <dcterms:modified xsi:type="dcterms:W3CDTF">2025-02-28T13:38:00Z</dcterms:modified>
</cp:coreProperties>
</file>