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7D777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Figure 1</w:t>
      </w:r>
    </w:p>
    <w:p w14:paraId="22B0DE77">
      <w:pPr>
        <w:adjustRightInd w:val="0"/>
        <w:snapToGrid w:val="0"/>
        <w:spacing w:line="480" w:lineRule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692775" cy="6610350"/>
            <wp:effectExtent l="0" t="0" r="3175" b="0"/>
            <wp:docPr id="1" name="图片 1" descr="Fig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39620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Supplementary Figure 1 </w:t>
      </w:r>
      <w:r>
        <w:rPr>
          <w:rFonts w:ascii="Times New Roman" w:hAnsi="Times New Roman" w:cs="Times New Roman"/>
          <w:sz w:val="24"/>
          <w:szCs w:val="24"/>
        </w:rPr>
        <w:t>Screening of SR-related targets in HCC</w:t>
      </w:r>
      <w:r>
        <w:rPr>
          <w:rFonts w:hint="eastAsia" w:ascii="Times New Roman" w:hAnsi="Times New Roman" w:cs="Times New Roman"/>
          <w:sz w:val="24"/>
          <w:szCs w:val="24"/>
        </w:rPr>
        <w:t xml:space="preserve">. (A) The </w:t>
      </w:r>
      <w:r>
        <w:rPr>
          <w:rFonts w:ascii="Times New Roman" w:hAnsi="Times New Roman" w:cs="Times New Roman"/>
          <w:sz w:val="24"/>
          <w:szCs w:val="24"/>
        </w:rPr>
        <w:t>volcano</w:t>
      </w:r>
      <w:r>
        <w:rPr>
          <w:rFonts w:hint="eastAsia" w:ascii="Times New Roman" w:hAnsi="Times New Roman" w:cs="Times New Roman"/>
          <w:sz w:val="24"/>
          <w:szCs w:val="24"/>
        </w:rPr>
        <w:t xml:space="preserve"> maps of DEGs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GSE248769</w:t>
      </w:r>
      <w:r>
        <w:rPr>
          <w:rFonts w:hint="eastAsia"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GSE182593 </w:t>
      </w:r>
      <w:r>
        <w:rPr>
          <w:rFonts w:hint="eastAsia" w:ascii="Times New Roman" w:hAnsi="Times New Roman" w:cs="Times New Roman"/>
          <w:sz w:val="24"/>
          <w:szCs w:val="24"/>
        </w:rPr>
        <w:t xml:space="preserve">datasets were filtered </w:t>
      </w:r>
      <w:r>
        <w:rPr>
          <w:rFonts w:ascii="Times New Roman" w:hAnsi="Times New Roman" w:cs="Times New Roman"/>
          <w:sz w:val="24"/>
          <w:szCs w:val="24"/>
        </w:rPr>
        <w:t xml:space="preserve">with a screening threshold of </w:t>
      </w:r>
      <w:r>
        <w:rPr>
          <w:rFonts w:hint="eastAsia" w:ascii="Times New Roman" w:hAnsi="Times New Roman" w:cs="Times New Roman"/>
          <w:sz w:val="24"/>
          <w:szCs w:val="24"/>
        </w:rPr>
        <w:t>adjusted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&lt;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0.01</w:t>
      </w:r>
      <w:r>
        <w:rPr>
          <w:rFonts w:hint="eastAsia"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sz w:val="24"/>
          <w:szCs w:val="24"/>
        </w:rPr>
        <w:t xml:space="preserve"> |Log2FoldChange|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&gt;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hint="eastAsia" w:ascii="Times New Roman" w:hAnsi="Times New Roman" w:cs="Times New Roman"/>
          <w:sz w:val="24"/>
          <w:szCs w:val="24"/>
        </w:rPr>
        <w:t>. (B) The Venn map of DEGs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in the </w:t>
      </w:r>
      <w:r>
        <w:rPr>
          <w:rFonts w:ascii="Times New Roman" w:hAnsi="Times New Roman" w:cs="Times New Roman"/>
          <w:sz w:val="24"/>
          <w:szCs w:val="24"/>
        </w:rPr>
        <w:t>GSE248769</w:t>
      </w:r>
      <w:r>
        <w:rPr>
          <w:rFonts w:hint="eastAsia"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GSE182593 </w:t>
      </w:r>
      <w:r>
        <w:rPr>
          <w:rFonts w:hint="eastAsia" w:ascii="Times New Roman" w:hAnsi="Times New Roman" w:cs="Times New Roman"/>
          <w:sz w:val="24"/>
          <w:szCs w:val="24"/>
        </w:rPr>
        <w:t xml:space="preserve">datasets. (C) </w:t>
      </w:r>
      <w:r>
        <w:rPr>
          <w:rFonts w:ascii="Times New Roman" w:hAnsi="Times New Roman" w:cs="Times New Roman"/>
          <w:sz w:val="24"/>
          <w:szCs w:val="24"/>
        </w:rPr>
        <w:t xml:space="preserve">KEGG pathway enrichment analysis of </w:t>
      </w:r>
      <w:r>
        <w:rPr>
          <w:rFonts w:hint="eastAsia" w:ascii="Times New Roman" w:hAnsi="Times New Roman" w:cs="Times New Roman"/>
          <w:sz w:val="24"/>
          <w:szCs w:val="24"/>
        </w:rPr>
        <w:t xml:space="preserve">47 </w:t>
      </w:r>
      <w:r>
        <w:rPr>
          <w:rFonts w:ascii="Times New Roman" w:hAnsi="Times New Roman" w:cs="Times New Roman"/>
          <w:sz w:val="24"/>
          <w:szCs w:val="24"/>
        </w:rPr>
        <w:t xml:space="preserve">intersecting </w:t>
      </w:r>
      <w:r>
        <w:rPr>
          <w:rFonts w:hint="eastAsia" w:ascii="Times New Roman" w:hAnsi="Times New Roman" w:cs="Times New Roman"/>
          <w:sz w:val="24"/>
          <w:szCs w:val="24"/>
        </w:rPr>
        <w:t>DEGs. T</w:t>
      </w:r>
      <w:r>
        <w:rPr>
          <w:rFonts w:ascii="Times New Roman" w:hAnsi="Times New Roman" w:cs="Times New Roman"/>
          <w:sz w:val="24"/>
          <w:szCs w:val="24"/>
        </w:rPr>
        <w:t>he prognostic significance of AQP7</w:t>
      </w:r>
      <w:r>
        <w:rPr>
          <w:rFonts w:hint="eastAsia" w:ascii="Times New Roman" w:hAnsi="Times New Roman" w:cs="Times New Roman"/>
          <w:sz w:val="24"/>
          <w:szCs w:val="24"/>
        </w:rPr>
        <w:t xml:space="preserve"> (D) and </w:t>
      </w:r>
      <w:r>
        <w:rPr>
          <w:rFonts w:ascii="Times New Roman" w:hAnsi="Times New Roman" w:cs="Times New Roman"/>
          <w:sz w:val="24"/>
          <w:szCs w:val="24"/>
        </w:rPr>
        <w:t>SORBS1</w:t>
      </w:r>
      <w:r>
        <w:rPr>
          <w:rFonts w:hint="eastAsia" w:ascii="Times New Roman" w:hAnsi="Times New Roman" w:cs="Times New Roman"/>
          <w:sz w:val="24"/>
          <w:szCs w:val="24"/>
        </w:rPr>
        <w:t xml:space="preserve"> (E)</w:t>
      </w:r>
      <w:r>
        <w:rPr>
          <w:rFonts w:ascii="Times New Roman" w:hAnsi="Times New Roman" w:cs="Times New Roman"/>
          <w:sz w:val="24"/>
          <w:szCs w:val="24"/>
        </w:rPr>
        <w:t xml:space="preserve"> expression on the </w:t>
      </w:r>
      <w:r>
        <w:rPr>
          <w:rFonts w:hint="eastAsia" w:ascii="Times New Roman" w:hAnsi="Times New Roman" w:cs="Times New Roman"/>
          <w:sz w:val="24"/>
          <w:szCs w:val="24"/>
        </w:rPr>
        <w:t>OS and RFS</w:t>
      </w:r>
      <w:r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hint="eastAsia" w:ascii="Times New Roman" w:hAnsi="Times New Roman" w:cs="Times New Roman"/>
          <w:sz w:val="24"/>
          <w:szCs w:val="24"/>
        </w:rPr>
        <w:t>HCC</w:t>
      </w:r>
      <w:r>
        <w:rPr>
          <w:rFonts w:ascii="Times New Roman" w:hAnsi="Times New Roman" w:cs="Times New Roman"/>
          <w:sz w:val="24"/>
          <w:szCs w:val="24"/>
        </w:rPr>
        <w:t xml:space="preserve"> patients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hint="eastAsia" w:ascii="Times New Roman" w:hAnsi="Times New Roman" w:cs="Times New Roman"/>
          <w:sz w:val="24"/>
          <w:szCs w:val="24"/>
        </w:rPr>
        <w:t xml:space="preserve">predicted in the </w:t>
      </w:r>
      <w:r>
        <w:rPr>
          <w:rFonts w:ascii="Times New Roman" w:hAnsi="Times New Roman" w:cs="Times New Roman"/>
          <w:sz w:val="24"/>
          <w:szCs w:val="24"/>
        </w:rPr>
        <w:t>Kaplan-Meier Plotter</w:t>
      </w:r>
      <w:r>
        <w:rPr>
          <w:rFonts w:hint="eastAsia" w:ascii="Times New Roman" w:hAnsi="Times New Roman" w:cs="Times New Roman"/>
          <w:sz w:val="24"/>
          <w:szCs w:val="24"/>
        </w:rPr>
        <w:t xml:space="preserve"> database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</w:rPr>
        <w:t xml:space="preserve">  </w:t>
      </w:r>
    </w:p>
    <w:p w14:paraId="35F739B3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Figure 2</w:t>
      </w:r>
    </w:p>
    <w:p w14:paraId="3316823B">
      <w:pPr>
        <w:adjustRightInd w:val="0"/>
        <w:snapToGrid w:val="0"/>
        <w:spacing w:line="480" w:lineRule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692775" cy="5782310"/>
            <wp:effectExtent l="0" t="0" r="3175" b="8890"/>
            <wp:docPr id="2" name="图片 2" descr="Fig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578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86739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Supplementary Figure 2 </w:t>
      </w:r>
      <w:r>
        <w:rPr>
          <w:rFonts w:hint="eastAsia"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efficiency of genetic interventions</w:t>
      </w:r>
      <w:r>
        <w:rPr>
          <w:rFonts w:hint="eastAsia" w:ascii="Times New Roman" w:hAnsi="Times New Roman" w:cs="Times New Roman"/>
          <w:sz w:val="24"/>
          <w:szCs w:val="24"/>
        </w:rPr>
        <w:t xml:space="preserve"> in different cell lines. (A) </w:t>
      </w:r>
      <w:r>
        <w:rPr>
          <w:rFonts w:ascii="Times New Roman" w:hAnsi="Times New Roman" w:cs="Times New Roman"/>
          <w:sz w:val="24"/>
          <w:szCs w:val="24"/>
        </w:rPr>
        <w:t xml:space="preserve">The overexpression efficiency of AQP7 in </w:t>
      </w:r>
      <w:r>
        <w:rPr>
          <w:rFonts w:hint="eastAsia" w:ascii="Times New Roman" w:hAnsi="Times New Roman" w:cs="Times New Roman"/>
          <w:sz w:val="24"/>
          <w:szCs w:val="24"/>
        </w:rPr>
        <w:t>HCC-</w:t>
      </w:r>
      <w:r>
        <w:rPr>
          <w:rFonts w:ascii="Times New Roman" w:hAnsi="Times New Roman" w:cs="Times New Roman"/>
          <w:sz w:val="24"/>
          <w:szCs w:val="24"/>
        </w:rPr>
        <w:t>SR cells</w:t>
      </w:r>
      <w:r>
        <w:rPr>
          <w:rFonts w:hint="eastAsia" w:ascii="Times New Roman" w:hAnsi="Times New Roman" w:cs="Times New Roman"/>
          <w:sz w:val="24"/>
          <w:szCs w:val="24"/>
        </w:rPr>
        <w:t xml:space="preserve"> was examined using </w:t>
      </w:r>
      <w:r>
        <w:rPr>
          <w:rFonts w:ascii="Times New Roman" w:hAnsi="Times New Roman" w:cs="Times New Roman"/>
          <w:sz w:val="24"/>
          <w:szCs w:val="24"/>
        </w:rPr>
        <w:t>RT-qPCR assay</w:t>
      </w:r>
      <w:r>
        <w:rPr>
          <w:rFonts w:hint="eastAsia" w:ascii="Times New Roman" w:hAnsi="Times New Roman" w:cs="Times New Roman"/>
          <w:sz w:val="24"/>
          <w:szCs w:val="24"/>
        </w:rPr>
        <w:t xml:space="preserve"> (n = 5). (B) </w:t>
      </w:r>
      <w:r>
        <w:rPr>
          <w:rFonts w:ascii="Times New Roman" w:hAnsi="Times New Roman" w:cs="Times New Roman"/>
          <w:sz w:val="24"/>
          <w:szCs w:val="24"/>
        </w:rPr>
        <w:t>The efficiency of the knockdown of AQP7 in HCC cells</w:t>
      </w:r>
      <w:r>
        <w:rPr>
          <w:rFonts w:hint="eastAsia" w:ascii="Times New Roman" w:hAnsi="Times New Roman" w:cs="Times New Roman"/>
          <w:sz w:val="24"/>
          <w:szCs w:val="24"/>
        </w:rPr>
        <w:t xml:space="preserve"> was examined using</w:t>
      </w:r>
      <w:r>
        <w:rPr>
          <w:rFonts w:ascii="Times New Roman" w:hAnsi="Times New Roman" w:cs="Times New Roman"/>
          <w:sz w:val="24"/>
          <w:szCs w:val="24"/>
        </w:rPr>
        <w:t xml:space="preserve"> RT-qPCR assay</w:t>
      </w:r>
      <w:r>
        <w:rPr>
          <w:rFonts w:hint="eastAsia" w:ascii="Times New Roman" w:hAnsi="Times New Roman" w:cs="Times New Roman"/>
          <w:sz w:val="24"/>
          <w:szCs w:val="24"/>
        </w:rPr>
        <w:t xml:space="preserve"> (n = 5). (C) </w:t>
      </w:r>
      <w:r>
        <w:rPr>
          <w:rFonts w:ascii="Times New Roman" w:hAnsi="Times New Roman" w:cs="Times New Roman"/>
          <w:sz w:val="24"/>
          <w:szCs w:val="24"/>
        </w:rPr>
        <w:t>The efficiency of knockdown of AQP7 in Hepa1-6-Luc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cells</w:t>
      </w:r>
      <w:r>
        <w:rPr>
          <w:rFonts w:hint="eastAsia" w:ascii="Times New Roman" w:hAnsi="Times New Roman" w:cs="Times New Roman"/>
          <w:sz w:val="24"/>
          <w:szCs w:val="24"/>
        </w:rPr>
        <w:t xml:space="preserve"> was examined using</w:t>
      </w:r>
      <w:r>
        <w:rPr>
          <w:rFonts w:ascii="Times New Roman" w:hAnsi="Times New Roman" w:cs="Times New Roman"/>
          <w:sz w:val="24"/>
          <w:szCs w:val="24"/>
        </w:rPr>
        <w:t xml:space="preserve"> RT-qPCR assay</w:t>
      </w:r>
      <w:r>
        <w:rPr>
          <w:rFonts w:hint="eastAsia" w:ascii="Times New Roman" w:hAnsi="Times New Roman" w:cs="Times New Roman"/>
          <w:sz w:val="24"/>
          <w:szCs w:val="24"/>
        </w:rPr>
        <w:t xml:space="preserve"> (n = 5). (D) The </w:t>
      </w:r>
      <w:r>
        <w:rPr>
          <w:rFonts w:ascii="Times New Roman" w:hAnsi="Times New Roman" w:cs="Times New Roman"/>
          <w:sz w:val="24"/>
          <w:szCs w:val="24"/>
        </w:rPr>
        <w:t xml:space="preserve">TBX19 </w:t>
      </w:r>
      <w:r>
        <w:rPr>
          <w:rFonts w:hint="eastAsia" w:ascii="Times New Roman" w:hAnsi="Times New Roman" w:cs="Times New Roman"/>
          <w:sz w:val="24"/>
          <w:szCs w:val="24"/>
        </w:rPr>
        <w:t>protein expression</w:t>
      </w:r>
      <w:r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hint="eastAsia" w:ascii="Times New Roman" w:hAnsi="Times New Roman" w:cs="Times New Roman"/>
          <w:sz w:val="24"/>
          <w:szCs w:val="24"/>
        </w:rPr>
        <w:t>HCC-</w:t>
      </w:r>
      <w:r>
        <w:rPr>
          <w:rFonts w:ascii="Times New Roman" w:hAnsi="Times New Roman" w:cs="Times New Roman"/>
          <w:sz w:val="24"/>
          <w:szCs w:val="24"/>
        </w:rPr>
        <w:t xml:space="preserve">SR cells </w:t>
      </w:r>
      <w:r>
        <w:rPr>
          <w:rFonts w:hint="eastAsia" w:ascii="Times New Roman" w:hAnsi="Times New Roman" w:cs="Times New Roman"/>
          <w:sz w:val="24"/>
          <w:szCs w:val="24"/>
        </w:rPr>
        <w:t>infected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LV-</w:t>
      </w:r>
      <w:r>
        <w:rPr>
          <w:rFonts w:ascii="Times New Roman" w:hAnsi="Times New Roman" w:cs="Times New Roman"/>
          <w:sz w:val="24"/>
          <w:szCs w:val="24"/>
        </w:rPr>
        <w:t>MGRN1</w:t>
      </w:r>
      <w:r>
        <w:rPr>
          <w:rFonts w:hint="eastAsia" w:ascii="Times New Roman" w:hAnsi="Times New Roman" w:cs="Times New Roman"/>
          <w:sz w:val="24"/>
          <w:szCs w:val="24"/>
        </w:rPr>
        <w:t xml:space="preserve"> + LV-NC or LV-</w:t>
      </w:r>
      <w:r>
        <w:rPr>
          <w:rFonts w:ascii="Times New Roman" w:hAnsi="Times New Roman" w:cs="Times New Roman"/>
          <w:sz w:val="24"/>
          <w:szCs w:val="24"/>
        </w:rPr>
        <w:t>TBX19</w:t>
      </w:r>
      <w:r>
        <w:rPr>
          <w:rFonts w:hint="eastAsia" w:ascii="Times New Roman" w:hAnsi="Times New Roman" w:cs="Times New Roman"/>
          <w:sz w:val="24"/>
          <w:szCs w:val="24"/>
        </w:rPr>
        <w:t xml:space="preserve"> using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western blot</w:t>
      </w:r>
      <w:r>
        <w:rPr>
          <w:rFonts w:ascii="Times New Roman" w:hAnsi="Times New Roman" w:cs="Times New Roman"/>
          <w:sz w:val="24"/>
          <w:szCs w:val="24"/>
        </w:rPr>
        <w:t xml:space="preserve"> assay</w:t>
      </w:r>
      <w:r>
        <w:rPr>
          <w:rFonts w:hint="eastAsia" w:ascii="Times New Roman" w:hAnsi="Times New Roman" w:cs="Times New Roman"/>
          <w:sz w:val="24"/>
          <w:szCs w:val="24"/>
        </w:rPr>
        <w:t xml:space="preserve"> (n = 3). (E) </w:t>
      </w:r>
      <w:r>
        <w:rPr>
          <w:rFonts w:ascii="Times New Roman" w:hAnsi="Times New Roman" w:cs="Times New Roman"/>
          <w:sz w:val="24"/>
          <w:szCs w:val="24"/>
        </w:rPr>
        <w:t>The MGRN1</w:t>
      </w:r>
      <w:r>
        <w:rPr>
          <w:rFonts w:hint="eastAsia" w:ascii="Times New Roman" w:hAnsi="Times New Roman" w:cs="Times New Roman"/>
          <w:sz w:val="24"/>
          <w:szCs w:val="24"/>
        </w:rPr>
        <w:t xml:space="preserve"> mRNA expression</w:t>
      </w:r>
      <w:r>
        <w:rPr>
          <w:rFonts w:ascii="Times New Roman" w:hAnsi="Times New Roman" w:cs="Times New Roman"/>
          <w:sz w:val="24"/>
          <w:szCs w:val="24"/>
        </w:rPr>
        <w:t xml:space="preserve"> in Hepa1-6-Luc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cells</w:t>
      </w:r>
      <w:r>
        <w:rPr>
          <w:rFonts w:hint="eastAsia" w:ascii="Times New Roman" w:hAnsi="Times New Roman" w:cs="Times New Roman"/>
          <w:sz w:val="24"/>
          <w:szCs w:val="24"/>
        </w:rPr>
        <w:t xml:space="preserve"> infected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LV-shNC, LV-sh</w:t>
      </w:r>
      <w:r>
        <w:rPr>
          <w:rFonts w:ascii="Times New Roman" w:hAnsi="Times New Roman" w:cs="Times New Roman"/>
          <w:sz w:val="24"/>
          <w:szCs w:val="24"/>
        </w:rPr>
        <w:t>MGRN1</w:t>
      </w:r>
      <w:r>
        <w:rPr>
          <w:rFonts w:hint="eastAsia" w:ascii="Times New Roman" w:hAnsi="Times New Roman" w:cs="Times New Roman"/>
          <w:sz w:val="24"/>
          <w:szCs w:val="24"/>
        </w:rPr>
        <w:t xml:space="preserve"> 1# and 2# and </w:t>
      </w:r>
      <w:r>
        <w:rPr>
          <w:rFonts w:ascii="Times New Roman" w:hAnsi="Times New Roman" w:cs="Times New Roman"/>
          <w:sz w:val="24"/>
          <w:szCs w:val="24"/>
        </w:rPr>
        <w:t>AQP7</w:t>
      </w:r>
      <w:r>
        <w:rPr>
          <w:rFonts w:hint="eastAsia" w:ascii="Times New Roman" w:hAnsi="Times New Roman" w:cs="Times New Roman"/>
          <w:sz w:val="24"/>
          <w:szCs w:val="24"/>
        </w:rPr>
        <w:t xml:space="preserve"> mRNA expression</w:t>
      </w:r>
      <w:r>
        <w:rPr>
          <w:rFonts w:ascii="Times New Roman" w:hAnsi="Times New Roman" w:cs="Times New Roman"/>
          <w:sz w:val="24"/>
          <w:szCs w:val="24"/>
        </w:rPr>
        <w:t xml:space="preserve"> in Hepa1-6-Luc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cells</w:t>
      </w:r>
      <w:r>
        <w:rPr>
          <w:rFonts w:hint="eastAsia" w:ascii="Times New Roman" w:hAnsi="Times New Roman" w:cs="Times New Roman"/>
          <w:sz w:val="24"/>
          <w:szCs w:val="24"/>
        </w:rPr>
        <w:t xml:space="preserve"> infected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LV-sh</w:t>
      </w:r>
      <w:r>
        <w:rPr>
          <w:rFonts w:ascii="Times New Roman" w:hAnsi="Times New Roman" w:cs="Times New Roman"/>
          <w:sz w:val="24"/>
          <w:szCs w:val="24"/>
        </w:rPr>
        <w:t>MGRN1</w:t>
      </w:r>
      <w:r>
        <w:rPr>
          <w:rFonts w:hint="eastAsia" w:ascii="Times New Roman" w:hAnsi="Times New Roman" w:cs="Times New Roman"/>
          <w:sz w:val="24"/>
          <w:szCs w:val="24"/>
        </w:rPr>
        <w:t xml:space="preserve"> 1# + LV-NC or LV-AQP7 was examined using</w:t>
      </w:r>
      <w:r>
        <w:rPr>
          <w:rFonts w:ascii="Times New Roman" w:hAnsi="Times New Roman" w:cs="Times New Roman"/>
          <w:sz w:val="24"/>
          <w:szCs w:val="24"/>
        </w:rPr>
        <w:t xml:space="preserve"> RT-qPCR assay</w:t>
      </w:r>
      <w:r>
        <w:rPr>
          <w:rFonts w:hint="eastAsia" w:ascii="Times New Roman" w:hAnsi="Times New Roman" w:cs="Times New Roman"/>
          <w:sz w:val="24"/>
          <w:szCs w:val="24"/>
        </w:rPr>
        <w:t xml:space="preserve"> (n = 5).</w:t>
      </w:r>
      <w:r>
        <w:rPr>
          <w:rFonts w:ascii="Times New Roman" w:hAnsi="Times New Roman" w:cs="Times New Roman"/>
          <w:sz w:val="24"/>
          <w:szCs w:val="24"/>
        </w:rPr>
        <w:t xml:space="preserve"> An unpaired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t-test was used to assess the differences between </w:t>
      </w:r>
      <w:r>
        <w:rPr>
          <w:rFonts w:hint="eastAsia"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two groups</w:t>
      </w:r>
      <w:r>
        <w:rPr>
          <w:rFonts w:hint="eastAsia" w:ascii="Times New Roman" w:hAnsi="Times New Roman" w:cs="Times New Roman"/>
          <w:sz w:val="24"/>
          <w:szCs w:val="24"/>
        </w:rPr>
        <w:t xml:space="preserve"> (A, D, Eb)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One-way</w:t>
      </w:r>
      <w:r>
        <w:rPr>
          <w:rFonts w:hint="eastAsia" w:ascii="Times New Roman" w:hAnsi="Times New Roman" w:cs="Times New Roman"/>
          <w:sz w:val="24"/>
          <w:szCs w:val="24"/>
        </w:rPr>
        <w:t xml:space="preserve"> (B, C, Ea) </w:t>
      </w:r>
      <w:r>
        <w:rPr>
          <w:rFonts w:ascii="Times New Roman" w:hAnsi="Times New Roman" w:cs="Times New Roman"/>
          <w:sz w:val="24"/>
          <w:szCs w:val="24"/>
        </w:rPr>
        <w:t>analysis of variance (ANOVA) was used to compare more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than two groups. **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***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 and ****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0.0001.</w:t>
      </w:r>
    </w:p>
    <w:p w14:paraId="0A8F1E1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450250E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0CAF1B2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0AA011C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940ED30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7B344D91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1F57E7A3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E81267D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75541C3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729C91D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5898933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604BDB4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1765FD8F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2141D38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1000A1DC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67103F4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727F25D0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2A4500D6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344EDE9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15A62D47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35FFC7DA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FC4FCC1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10972B3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>Supplementary Figure 3</w:t>
      </w:r>
    </w:p>
    <w:p w14:paraId="532F49CC">
      <w:pPr>
        <w:adjustRightInd w:val="0"/>
        <w:snapToGrid w:val="0"/>
        <w:spacing w:line="480" w:lineRule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692775" cy="6610350"/>
            <wp:effectExtent l="0" t="0" r="3175" b="0"/>
            <wp:docPr id="3" name="图片 3" descr="Fig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661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DDE46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Supplementary Figure 3 </w:t>
      </w:r>
      <w:r>
        <w:rPr>
          <w:rFonts w:ascii="Times New Roman" w:hAnsi="Times New Roman" w:cs="Times New Roman"/>
          <w:sz w:val="24"/>
          <w:szCs w:val="24"/>
        </w:rPr>
        <w:t>AQP7 low expression induces immune e</w:t>
      </w:r>
      <w:r>
        <w:rPr>
          <w:rFonts w:hint="eastAsia" w:ascii="Times New Roman" w:hAnsi="Times New Roman" w:cs="Times New Roman"/>
          <w:sz w:val="24"/>
          <w:szCs w:val="24"/>
        </w:rPr>
        <w:t>vasion</w:t>
      </w:r>
      <w:r>
        <w:rPr>
          <w:rFonts w:ascii="Times New Roman" w:hAnsi="Times New Roman" w:cs="Times New Roman"/>
          <w:sz w:val="24"/>
          <w:szCs w:val="24"/>
        </w:rPr>
        <w:t xml:space="preserve"> in HCC through lipid metabolic pathways.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Correlation of AQP7 expression with NK cell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(A) </w:t>
      </w:r>
      <w:r>
        <w:rPr>
          <w:rFonts w:ascii="Times New Roman" w:hAnsi="Times New Roman" w:cs="Times New Roman"/>
          <w:sz w:val="24"/>
          <w:szCs w:val="24"/>
        </w:rPr>
        <w:t xml:space="preserve">and M2 type macrophage </w:t>
      </w:r>
      <w:r>
        <w:rPr>
          <w:rFonts w:hint="eastAsia" w:ascii="Times New Roman" w:hAnsi="Times New Roman" w:cs="Times New Roman"/>
          <w:sz w:val="24"/>
          <w:szCs w:val="24"/>
        </w:rPr>
        <w:t xml:space="preserve">(B) </w:t>
      </w:r>
      <w:r>
        <w:rPr>
          <w:rFonts w:ascii="Times New Roman" w:hAnsi="Times New Roman" w:cs="Times New Roman"/>
          <w:sz w:val="24"/>
          <w:szCs w:val="24"/>
        </w:rPr>
        <w:t>infiltration in HCC tumor tissues</w:t>
      </w:r>
      <w:r>
        <w:rPr>
          <w:rFonts w:hint="eastAsia" w:ascii="Times New Roman" w:hAnsi="Times New Roman" w:cs="Times New Roman"/>
          <w:sz w:val="24"/>
          <w:szCs w:val="24"/>
        </w:rPr>
        <w:t>. (C) T</w:t>
      </w:r>
      <w:r>
        <w:rPr>
          <w:rFonts w:ascii="Times New Roman" w:hAnsi="Times New Roman" w:cs="Times New Roman"/>
          <w:sz w:val="24"/>
          <w:szCs w:val="24"/>
        </w:rPr>
        <w:t>he effect of knockdown of AQP7 in HCC parental cells and combined Fatostatin (1 μM) treatment on NK cell-mediated cytotoxic effects</w:t>
      </w:r>
      <w:r>
        <w:rPr>
          <w:rFonts w:hint="eastAsia" w:ascii="Times New Roman" w:hAnsi="Times New Roman" w:cs="Times New Roman"/>
          <w:sz w:val="24"/>
          <w:szCs w:val="24"/>
        </w:rPr>
        <w:t xml:space="preserve"> was examined using </w:t>
      </w:r>
      <w:r>
        <w:rPr>
          <w:rFonts w:ascii="Times New Roman" w:hAnsi="Times New Roman" w:cs="Times New Roman"/>
          <w:sz w:val="24"/>
          <w:szCs w:val="24"/>
        </w:rPr>
        <w:t>LDH activity assay</w:t>
      </w:r>
      <w:r>
        <w:rPr>
          <w:rFonts w:hint="eastAsia" w:ascii="Times New Roman" w:hAnsi="Times New Roman" w:cs="Times New Roman"/>
          <w:sz w:val="24"/>
          <w:szCs w:val="24"/>
        </w:rPr>
        <w:t xml:space="preserve"> (n = 5). (D) </w:t>
      </w:r>
      <w:r>
        <w:rPr>
          <w:rFonts w:ascii="Times New Roman" w:hAnsi="Times New Roman" w:cs="Times New Roman"/>
          <w:sz w:val="24"/>
          <w:szCs w:val="24"/>
        </w:rPr>
        <w:t>IFN-γ and GzmB released by NK cells co-cultured with HCC cells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examined</w:t>
      </w:r>
      <w:r>
        <w:rPr>
          <w:rFonts w:hint="eastAsia" w:ascii="Times New Roman" w:hAnsi="Times New Roman" w:cs="Times New Roman"/>
          <w:sz w:val="24"/>
          <w:szCs w:val="24"/>
        </w:rPr>
        <w:t xml:space="preserve"> using ELISA (n = 5). T</w:t>
      </w:r>
      <w:r>
        <w:rPr>
          <w:rFonts w:ascii="Times New Roman" w:hAnsi="Times New Roman" w:cs="Times New Roman"/>
          <w:sz w:val="24"/>
          <w:szCs w:val="24"/>
        </w:rPr>
        <w:t>he effects of knockdown of AQP7 in HCC parental cells and combined Fatostatin (1 μM) treatment on CD206</w:t>
      </w:r>
      <w:r>
        <w:rPr>
          <w:rFonts w:hint="eastAsia" w:ascii="Times New Roman" w:hAnsi="Times New Roman" w:cs="Times New Roman"/>
          <w:sz w:val="24"/>
          <w:szCs w:val="24"/>
        </w:rPr>
        <w:t xml:space="preserve"> (E) and</w:t>
      </w:r>
      <w:r>
        <w:rPr>
          <w:rFonts w:ascii="Times New Roman" w:hAnsi="Times New Roman" w:cs="Times New Roman"/>
          <w:sz w:val="24"/>
          <w:szCs w:val="24"/>
        </w:rPr>
        <w:t xml:space="preserve"> CD86 expression</w:t>
      </w:r>
      <w:r>
        <w:rPr>
          <w:rFonts w:hint="eastAsia" w:ascii="Times New Roman" w:hAnsi="Times New Roman" w:cs="Times New Roman"/>
          <w:sz w:val="24"/>
          <w:szCs w:val="24"/>
        </w:rPr>
        <w:t xml:space="preserve"> (F)</w:t>
      </w:r>
      <w:r>
        <w:rPr>
          <w:rFonts w:ascii="Times New Roman" w:hAnsi="Times New Roman" w:cs="Times New Roman"/>
          <w:sz w:val="24"/>
          <w:szCs w:val="24"/>
        </w:rPr>
        <w:t xml:space="preserve"> on macrophages co-cultured with HCC</w:t>
      </w:r>
      <w:r>
        <w:rPr>
          <w:rFonts w:hint="eastAsia" w:ascii="Times New Roman" w:hAnsi="Times New Roman" w:cs="Times New Roman"/>
          <w:sz w:val="24"/>
          <w:szCs w:val="24"/>
        </w:rPr>
        <w:t xml:space="preserve"> were analyzed using flow </w:t>
      </w:r>
      <w:r>
        <w:rPr>
          <w:rFonts w:ascii="Times New Roman" w:hAnsi="Times New Roman" w:cs="Times New Roman"/>
          <w:sz w:val="24"/>
          <w:szCs w:val="24"/>
        </w:rPr>
        <w:t>cytometry</w:t>
      </w:r>
      <w:r>
        <w:rPr>
          <w:rFonts w:hint="eastAsia" w:ascii="Times New Roman" w:hAnsi="Times New Roman" w:cs="Times New Roman"/>
          <w:sz w:val="24"/>
          <w:szCs w:val="24"/>
        </w:rPr>
        <w:t xml:space="preserve"> (n = 5). </w:t>
      </w:r>
      <w:r>
        <w:rPr>
          <w:rFonts w:ascii="Times New Roman" w:hAnsi="Times New Roman" w:cs="Times New Roman"/>
          <w:sz w:val="24"/>
          <w:szCs w:val="24"/>
        </w:rPr>
        <w:t>One-way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analysis of variance (ANOVA) was used to compare more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than two groups. *</w:t>
      </w:r>
      <w:r>
        <w:rPr>
          <w:rFonts w:ascii="Times New Roman" w:hAnsi="Times New Roman" w:cs="Times New Roman"/>
          <w:i/>
          <w:iCs/>
          <w:sz w:val="24"/>
          <w:szCs w:val="24"/>
        </w:rPr>
        <w:t>p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&lt;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0.05,</w:t>
      </w:r>
      <w:r>
        <w:rPr>
          <w:rFonts w:hint="eastAsia"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0.01</w:t>
      </w:r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***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0.001 and ****</w:t>
      </w:r>
      <w:r>
        <w:rPr>
          <w:rFonts w:hint="eastAsia" w:ascii="Times New Roman" w:hAnsi="Times New Roman" w:cs="Times New Roman"/>
          <w:i/>
          <w:iCs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 &lt; 0.0001.</w:t>
      </w:r>
    </w:p>
    <w:p w14:paraId="77EDC36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22693E63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96FCAB8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28683089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7FF8A78E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7E27C4B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78262A8F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300A3204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952B212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4285481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1E1C88D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75D6850F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37990C3E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E378C14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82E40E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DBF318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5E2D149A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9C1C76A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14CD39F4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4CBE8403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28C8FB18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</w:p>
    <w:p w14:paraId="64184745">
      <w:pPr>
        <w:adjustRightInd w:val="0"/>
        <w:snapToGrid w:val="0"/>
        <w:spacing w:line="480" w:lineRule="auto"/>
        <w:rPr>
          <w:rFonts w:hint="eastAsia" w:ascii="Times New Roman" w:hAnsi="Times New Roman" w:cs="Times New Roman"/>
          <w:b/>
          <w:bCs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Supplementary Figure 4 </w:t>
      </w:r>
    </w:p>
    <w:p w14:paraId="08277413">
      <w:pPr>
        <w:adjustRightInd w:val="0"/>
        <w:snapToGrid w:val="0"/>
        <w:spacing w:line="480" w:lineRule="auto"/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b/>
          <w:bCs/>
          <w:sz w:val="24"/>
          <w:szCs w:val="24"/>
          <w:lang w:eastAsia="zh-CN"/>
        </w:rPr>
        <w:drawing>
          <wp:inline distT="0" distB="0" distL="114300" distR="114300">
            <wp:extent cx="5692775" cy="4986655"/>
            <wp:effectExtent l="0" t="0" r="3175" b="4445"/>
            <wp:docPr id="4" name="图片 4" descr="Fig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 S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92775" cy="498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CA0F6A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sz w:val="24"/>
          <w:szCs w:val="24"/>
        </w:rPr>
        <w:t xml:space="preserve">Supplementary Figure 4 </w:t>
      </w:r>
      <w:r>
        <w:rPr>
          <w:rFonts w:ascii="Times New Roman" w:hAnsi="Times New Roman" w:cs="Times New Roman"/>
          <w:sz w:val="24"/>
          <w:szCs w:val="24"/>
        </w:rPr>
        <w:t>Screening</w:t>
      </w:r>
      <w:r>
        <w:rPr>
          <w:rFonts w:hint="eastAsia" w:ascii="Times New Roman" w:hAnsi="Times New Roman" w:cs="Times New Roman"/>
          <w:sz w:val="24"/>
          <w:szCs w:val="24"/>
        </w:rPr>
        <w:t xml:space="preserve"> of u</w:t>
      </w:r>
      <w:r>
        <w:rPr>
          <w:rFonts w:ascii="Times New Roman" w:hAnsi="Times New Roman" w:cs="Times New Roman"/>
          <w:sz w:val="24"/>
          <w:szCs w:val="24"/>
        </w:rPr>
        <w:t>pstream transcription factor</w:t>
      </w:r>
      <w:r>
        <w:rPr>
          <w:rFonts w:hint="eastAsia" w:ascii="Times New Roman" w:hAnsi="Times New Roman" w:cs="Times New Roman"/>
          <w:sz w:val="24"/>
          <w:szCs w:val="24"/>
        </w:rPr>
        <w:t xml:space="preserve">s of </w:t>
      </w:r>
      <w:r>
        <w:rPr>
          <w:rFonts w:ascii="Times New Roman" w:hAnsi="Times New Roman" w:cs="Times New Roman"/>
          <w:sz w:val="24"/>
          <w:szCs w:val="24"/>
        </w:rPr>
        <w:t>AQP7.</w:t>
      </w:r>
      <w:r>
        <w:rPr>
          <w:rFonts w:hint="eastAsia" w:ascii="Times New Roman" w:hAnsi="Times New Roman" w:cs="Times New Roman"/>
          <w:sz w:val="24"/>
          <w:szCs w:val="24"/>
        </w:rPr>
        <w:t xml:space="preserve"> (A) </w:t>
      </w:r>
      <w:r>
        <w:rPr>
          <w:rFonts w:ascii="Times New Roman" w:hAnsi="Times New Roman" w:cs="Times New Roman"/>
          <w:sz w:val="24"/>
          <w:szCs w:val="24"/>
        </w:rPr>
        <w:t xml:space="preserve">Cross-screening for </w:t>
      </w:r>
      <w:r>
        <w:rPr>
          <w:rFonts w:hint="eastAsia" w:ascii="Times New Roman" w:hAnsi="Times New Roman" w:cs="Times New Roman"/>
          <w:sz w:val="24"/>
          <w:szCs w:val="24"/>
        </w:rPr>
        <w:t>human TF</w:t>
      </w:r>
      <w:r>
        <w:rPr>
          <w:rFonts w:ascii="Times New Roman" w:hAnsi="Times New Roman" w:cs="Times New Roman"/>
          <w:sz w:val="24"/>
          <w:szCs w:val="24"/>
        </w:rPr>
        <w:t>s present in DEGs in the GSE248769 a</w:t>
      </w:r>
      <w:r>
        <w:rPr>
          <w:rFonts w:hint="eastAsia"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GSE182593 datasets</w:t>
      </w:r>
      <w:r>
        <w:rPr>
          <w:rFonts w:hint="eastAsia" w:ascii="Times New Roman" w:hAnsi="Times New Roman" w:cs="Times New Roman"/>
          <w:sz w:val="24"/>
          <w:szCs w:val="24"/>
        </w:rPr>
        <w:t>. (B) T</w:t>
      </w:r>
      <w:r>
        <w:rPr>
          <w:rFonts w:ascii="Times New Roman" w:hAnsi="Times New Roman" w:cs="Times New Roman"/>
          <w:sz w:val="24"/>
          <w:szCs w:val="24"/>
        </w:rPr>
        <w:t>he correlation</w:t>
      </w:r>
      <w:r>
        <w:rPr>
          <w:rFonts w:hint="eastAsia"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between </w:t>
      </w:r>
      <w:r>
        <w:rPr>
          <w:rFonts w:hint="eastAsia" w:ascii="Times New Roman" w:hAnsi="Times New Roman" w:cs="Times New Roman"/>
          <w:sz w:val="24"/>
          <w:szCs w:val="24"/>
        </w:rPr>
        <w:t xml:space="preserve">five </w:t>
      </w:r>
      <w:r>
        <w:rPr>
          <w:rFonts w:ascii="Times New Roman" w:hAnsi="Times New Roman" w:cs="Times New Roman"/>
          <w:sz w:val="24"/>
          <w:szCs w:val="24"/>
        </w:rPr>
        <w:t>transcription factors and AQP7 expression in HCC tumor tissues</w:t>
      </w:r>
      <w:r>
        <w:rPr>
          <w:rFonts w:hint="eastAsia" w:ascii="Times New Roman" w:hAnsi="Times New Roman" w:cs="Times New Roman"/>
          <w:sz w:val="24"/>
          <w:szCs w:val="24"/>
        </w:rPr>
        <w:t xml:space="preserve"> were predicted in the </w:t>
      </w:r>
      <w:r>
        <w:rPr>
          <w:rFonts w:ascii="Times New Roman" w:hAnsi="Times New Roman" w:cs="Times New Roman"/>
          <w:sz w:val="24"/>
          <w:szCs w:val="24"/>
        </w:rPr>
        <w:t>GEPIA database</w:t>
      </w:r>
      <w:r>
        <w:rPr>
          <w:rFonts w:hint="eastAsia" w:ascii="Times New Roman" w:hAnsi="Times New Roman" w:cs="Times New Roman"/>
          <w:sz w:val="24"/>
          <w:szCs w:val="24"/>
        </w:rPr>
        <w:t>. (C) T</w:t>
      </w:r>
      <w:r>
        <w:rPr>
          <w:rFonts w:ascii="Times New Roman" w:hAnsi="Times New Roman" w:cs="Times New Roman"/>
          <w:sz w:val="24"/>
          <w:szCs w:val="24"/>
        </w:rPr>
        <w:t>he prognostic significance of TBX19 on survival in HCC patients</w:t>
      </w:r>
      <w:r>
        <w:rPr>
          <w:rFonts w:hint="eastAsia" w:ascii="Times New Roman" w:hAnsi="Times New Roman" w:cs="Times New Roman"/>
          <w:sz w:val="24"/>
          <w:szCs w:val="24"/>
        </w:rPr>
        <w:t xml:space="preserve"> was predicted in the </w:t>
      </w:r>
      <w:r>
        <w:rPr>
          <w:rFonts w:ascii="Times New Roman" w:hAnsi="Times New Roman" w:cs="Times New Roman"/>
          <w:sz w:val="24"/>
          <w:szCs w:val="24"/>
        </w:rPr>
        <w:t>Kaplan-Meier Plotter database</w:t>
      </w:r>
      <w:r>
        <w:rPr>
          <w:rFonts w:hint="eastAsia" w:ascii="Times New Roman" w:hAnsi="Times New Roman" w:cs="Times New Roman"/>
          <w:sz w:val="24"/>
          <w:szCs w:val="24"/>
        </w:rPr>
        <w:t>. (D) The predicted sequence</w:t>
      </w:r>
      <w:r>
        <w:rPr>
          <w:rFonts w:ascii="Times New Roman" w:hAnsi="Times New Roman" w:cs="Times New Roman"/>
          <w:sz w:val="24"/>
          <w:szCs w:val="24"/>
        </w:rPr>
        <w:t xml:space="preserve"> of TBX19 to the AQP7 promoter</w:t>
      </w:r>
      <w:r>
        <w:rPr>
          <w:rFonts w:hint="eastAsia" w:ascii="Times New Roman" w:hAnsi="Times New Roman" w:cs="Times New Roman"/>
          <w:sz w:val="24"/>
          <w:szCs w:val="24"/>
        </w:rPr>
        <w:t xml:space="preserve"> on the </w:t>
      </w:r>
      <w:r>
        <w:rPr>
          <w:rFonts w:ascii="Times New Roman" w:hAnsi="Times New Roman" w:cs="Times New Roman"/>
          <w:sz w:val="24"/>
          <w:szCs w:val="24"/>
        </w:rPr>
        <w:t>Jaspar database</w:t>
      </w:r>
      <w:r>
        <w:rPr>
          <w:rFonts w:hint="eastAsia" w:ascii="Times New Roman" w:hAnsi="Times New Roman" w:cs="Times New Roman"/>
          <w:sz w:val="24"/>
          <w:szCs w:val="24"/>
        </w:rPr>
        <w:t xml:space="preserve">. </w:t>
      </w:r>
    </w:p>
    <w:p w14:paraId="4E5935C1"/>
    <w:sectPr>
      <w:pgSz w:w="11906" w:h="16838"/>
      <w:pgMar w:top="1134" w:right="180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FE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2025-03-10T09:15:45Z</dcterms:created>
  <dc:creator>Admin</dc:creator>
  <cp:lastModifiedBy>Admin</cp:lastModifiedBy>
  <dcterms:modified xsi:type="dcterms:W3CDTF">2025-03-10T09:17:06Z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eyJoZGlkIjoiNmI2Mzc0YjI5Yzg3MjgxNzRmMzNmMzhmMmFkYTIxZGEiLCJ1c2VySWQiOiI1MTUzMTM5MjEifQ==</vt:lpwstr>
  </property>
  <property fmtid="{D5CDD505-2E9C-101B-9397-08002B2CF9AE}" pid="4" name="ICV">
    <vt:lpwstr>6D5B90C728AF411892F5E26AFAA73D97_12</vt:lpwstr>
  </property>
</Properties>
</file>