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C93A8" w14:textId="6C0B4E0E" w:rsidR="00D3472B" w:rsidRDefault="00D3472B" w:rsidP="00D3472B">
      <w:pPr>
        <w:spacing w:line="60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SUPPLEMENTARY MATERIAL-FIGURES</w:t>
      </w:r>
    </w:p>
    <w:p w14:paraId="401F8187" w14:textId="66687C11" w:rsidR="00D3472B" w:rsidRDefault="00D3472B" w:rsidP="00D3472B">
      <w:pPr>
        <w:spacing w:line="60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Molecular components of resolution participate in astrocyte-neuron crosstalk to afford </w:t>
      </w:r>
      <w:proofErr w:type="spellStart"/>
      <w:r>
        <w:rPr>
          <w:rFonts w:ascii="Arial" w:eastAsia="Arial" w:hAnsi="Arial" w:cs="Arial"/>
          <w:b/>
        </w:rPr>
        <w:t>maneb</w:t>
      </w:r>
      <w:proofErr w:type="spellEnd"/>
      <w:r>
        <w:rPr>
          <w:rFonts w:ascii="Arial" w:eastAsia="Arial" w:hAnsi="Arial" w:cs="Arial"/>
          <w:b/>
        </w:rPr>
        <w:t xml:space="preserve">-induced toxicity. </w:t>
      </w:r>
    </w:p>
    <w:p w14:paraId="13B8F196" w14:textId="77777777" w:rsidR="00D3472B" w:rsidRPr="00870D1E" w:rsidRDefault="00D3472B" w:rsidP="00D3472B">
      <w:pPr>
        <w:spacing w:after="0" w:line="600" w:lineRule="auto"/>
        <w:jc w:val="both"/>
        <w:rPr>
          <w:rFonts w:ascii="Arial" w:eastAsia="Arial" w:hAnsi="Arial" w:cs="Arial"/>
          <w:lang w:val="es-AR"/>
        </w:rPr>
      </w:pPr>
      <w:r w:rsidRPr="00870D1E">
        <w:rPr>
          <w:rFonts w:ascii="Arial" w:eastAsia="Arial" w:hAnsi="Arial" w:cs="Arial"/>
          <w:lang w:val="es-AR"/>
        </w:rPr>
        <w:t xml:space="preserve">Oriana N. </w:t>
      </w:r>
      <w:proofErr w:type="spellStart"/>
      <w:r w:rsidRPr="00870D1E">
        <w:rPr>
          <w:rFonts w:ascii="Arial" w:eastAsia="Arial" w:hAnsi="Arial" w:cs="Arial"/>
          <w:lang w:val="es-AR"/>
        </w:rPr>
        <w:t>Benzi</w:t>
      </w:r>
      <w:proofErr w:type="spellEnd"/>
      <w:r w:rsidRPr="00870D1E">
        <w:rPr>
          <w:rFonts w:ascii="Arial" w:eastAsia="Arial" w:hAnsi="Arial" w:cs="Arial"/>
          <w:lang w:val="es-AR"/>
        </w:rPr>
        <w:t xml:space="preserve"> Juncos</w:t>
      </w:r>
      <w:r w:rsidRPr="00870D1E">
        <w:rPr>
          <w:rFonts w:ascii="Arial" w:eastAsia="Arial" w:hAnsi="Arial" w:cs="Arial"/>
          <w:vertAlign w:val="superscript"/>
          <w:lang w:val="es-AR"/>
        </w:rPr>
        <w:t>1,2</w:t>
      </w:r>
      <w:r w:rsidRPr="00870D1E">
        <w:rPr>
          <w:rFonts w:ascii="Arial" w:eastAsia="Arial" w:hAnsi="Arial" w:cs="Arial"/>
          <w:lang w:val="es-AR"/>
        </w:rPr>
        <w:t>, Natalia P. Alza</w:t>
      </w:r>
      <w:r w:rsidRPr="00870D1E">
        <w:rPr>
          <w:rFonts w:ascii="Arial" w:eastAsia="Arial" w:hAnsi="Arial" w:cs="Arial"/>
          <w:vertAlign w:val="superscript"/>
          <w:lang w:val="es-AR"/>
        </w:rPr>
        <w:t>1,2</w:t>
      </w:r>
      <w:r w:rsidRPr="00870D1E">
        <w:rPr>
          <w:rFonts w:ascii="Arial" w:eastAsia="Arial" w:hAnsi="Arial" w:cs="Arial"/>
          <w:lang w:val="es-AR"/>
        </w:rPr>
        <w:t>, José Cordero3</w:t>
      </w:r>
      <w:r w:rsidRPr="00870D1E">
        <w:rPr>
          <w:rFonts w:ascii="Arial" w:eastAsia="Arial" w:hAnsi="Arial" w:cs="Arial"/>
          <w:vertAlign w:val="superscript"/>
          <w:lang w:val="es-AR"/>
        </w:rPr>
        <w:t>4</w:t>
      </w:r>
      <w:r w:rsidRPr="00870D1E">
        <w:rPr>
          <w:rFonts w:ascii="Arial" w:eastAsia="Arial" w:hAnsi="Arial" w:cs="Arial"/>
          <w:lang w:val="es-AR"/>
        </w:rPr>
        <w:t>, Nelson P. Barrera</w:t>
      </w:r>
      <w:r w:rsidRPr="00870D1E">
        <w:rPr>
          <w:rFonts w:ascii="Arial" w:eastAsia="Arial" w:hAnsi="Arial" w:cs="Arial"/>
          <w:vertAlign w:val="superscript"/>
          <w:lang w:val="es-AR"/>
        </w:rPr>
        <w:t>4</w:t>
      </w:r>
      <w:r w:rsidRPr="00870D1E">
        <w:rPr>
          <w:rFonts w:ascii="Arial" w:eastAsia="Arial" w:hAnsi="Arial" w:cs="Arial"/>
          <w:lang w:val="es-AR"/>
        </w:rPr>
        <w:t xml:space="preserve"> and Gabriela A. Salvador</w:t>
      </w:r>
      <w:r w:rsidRPr="00870D1E">
        <w:rPr>
          <w:rFonts w:ascii="Arial" w:eastAsia="Arial" w:hAnsi="Arial" w:cs="Arial"/>
          <w:vertAlign w:val="superscript"/>
          <w:lang w:val="es-AR"/>
        </w:rPr>
        <w:t>1,2</w:t>
      </w:r>
      <w:r w:rsidRPr="00870D1E">
        <w:rPr>
          <w:rFonts w:ascii="Arial" w:eastAsia="Arial" w:hAnsi="Arial" w:cs="Arial"/>
          <w:lang w:val="es-AR"/>
        </w:rPr>
        <w:t>**</w:t>
      </w:r>
    </w:p>
    <w:p w14:paraId="3918BD4B" w14:textId="77777777" w:rsidR="00D3472B" w:rsidRPr="00870D1E" w:rsidRDefault="00D3472B" w:rsidP="00D3472B">
      <w:pPr>
        <w:spacing w:after="0" w:line="600" w:lineRule="auto"/>
        <w:jc w:val="both"/>
        <w:rPr>
          <w:rFonts w:ascii="Arial" w:eastAsia="Arial" w:hAnsi="Arial" w:cs="Arial"/>
          <w:lang w:val="es-AR"/>
        </w:rPr>
      </w:pPr>
      <w:r w:rsidRPr="00870D1E">
        <w:rPr>
          <w:rFonts w:ascii="Arial" w:eastAsia="Arial" w:hAnsi="Arial" w:cs="Arial"/>
          <w:vertAlign w:val="superscript"/>
          <w:lang w:val="es-AR"/>
        </w:rPr>
        <w:t>1</w:t>
      </w:r>
      <w:r w:rsidRPr="00870D1E">
        <w:rPr>
          <w:rFonts w:ascii="Arial" w:eastAsia="Arial" w:hAnsi="Arial" w:cs="Arial"/>
          <w:lang w:val="es-AR"/>
        </w:rPr>
        <w:t>Instituto de Investigaciones Bioquímicas de Bahía Blanca (INIBIBB) - Consejo Nacional de Investigaciones Científicas y Técnicas (CONICET), Camino La Carrindanga Km7 B8000, Bahía Blanca, Argentina</w:t>
      </w:r>
    </w:p>
    <w:p w14:paraId="0522A9C3" w14:textId="77777777" w:rsidR="00D3472B" w:rsidRPr="00870D1E" w:rsidRDefault="00D3472B" w:rsidP="00D3472B">
      <w:pPr>
        <w:spacing w:after="0" w:line="600" w:lineRule="auto"/>
        <w:jc w:val="both"/>
        <w:rPr>
          <w:rFonts w:ascii="Arial" w:eastAsia="Arial" w:hAnsi="Arial" w:cs="Arial"/>
          <w:lang w:val="es-AR"/>
        </w:rPr>
      </w:pPr>
      <w:r w:rsidRPr="00870D1E">
        <w:rPr>
          <w:rFonts w:ascii="Arial" w:eastAsia="Arial" w:hAnsi="Arial" w:cs="Arial"/>
          <w:vertAlign w:val="superscript"/>
          <w:lang w:val="es-AR"/>
        </w:rPr>
        <w:t>2</w:t>
      </w:r>
      <w:r w:rsidRPr="00870D1E">
        <w:rPr>
          <w:rFonts w:ascii="Arial" w:eastAsia="Arial" w:hAnsi="Arial" w:cs="Arial"/>
          <w:lang w:val="es-AR"/>
        </w:rPr>
        <w:t>Departamento de Biología, Bioquímica y Farmacia - Universidad Nacional del Sur (UNS), Bahía Blanca, Argentina</w:t>
      </w:r>
    </w:p>
    <w:p w14:paraId="1DD74435" w14:textId="77777777" w:rsidR="00D3472B" w:rsidRPr="00870D1E" w:rsidRDefault="00D3472B" w:rsidP="00D3472B">
      <w:pPr>
        <w:spacing w:after="0" w:line="600" w:lineRule="auto"/>
        <w:jc w:val="both"/>
        <w:rPr>
          <w:rFonts w:ascii="Arial" w:eastAsia="Arial" w:hAnsi="Arial" w:cs="Arial"/>
          <w:lang w:val="es-AR"/>
        </w:rPr>
      </w:pPr>
      <w:r w:rsidRPr="00870D1E">
        <w:rPr>
          <w:rFonts w:ascii="Arial" w:eastAsia="Arial" w:hAnsi="Arial" w:cs="Arial"/>
          <w:vertAlign w:val="superscript"/>
          <w:lang w:val="es-AR"/>
        </w:rPr>
        <w:t>3</w:t>
      </w:r>
      <w:r w:rsidRPr="00870D1E">
        <w:rPr>
          <w:rFonts w:ascii="Arial" w:eastAsia="Arial" w:hAnsi="Arial" w:cs="Arial"/>
          <w:lang w:val="es-AR"/>
        </w:rPr>
        <w:t>Facultad de Ciencias Biológicas. Pontificia Universidad Católica de Chile</w:t>
      </w:r>
    </w:p>
    <w:p w14:paraId="666058BA" w14:textId="77777777" w:rsidR="00D3472B" w:rsidRPr="00870D1E" w:rsidRDefault="00D3472B" w:rsidP="00D3472B">
      <w:pPr>
        <w:spacing w:after="0" w:line="600" w:lineRule="auto"/>
        <w:jc w:val="both"/>
        <w:rPr>
          <w:rFonts w:ascii="Arial" w:eastAsia="Arial" w:hAnsi="Arial" w:cs="Arial"/>
          <w:lang w:val="es-AR"/>
        </w:rPr>
      </w:pPr>
      <w:r w:rsidRPr="00870D1E">
        <w:rPr>
          <w:rFonts w:ascii="Arial" w:eastAsia="Arial" w:hAnsi="Arial" w:cs="Arial"/>
          <w:lang w:val="es-AR"/>
        </w:rPr>
        <w:t>**</w:t>
      </w:r>
      <w:proofErr w:type="spellStart"/>
      <w:r w:rsidRPr="00870D1E">
        <w:rPr>
          <w:rFonts w:ascii="Arial" w:eastAsia="Arial" w:hAnsi="Arial" w:cs="Arial"/>
          <w:lang w:val="es-AR"/>
        </w:rPr>
        <w:t>Correspondence</w:t>
      </w:r>
      <w:proofErr w:type="spellEnd"/>
      <w:r w:rsidRPr="00870D1E">
        <w:rPr>
          <w:rFonts w:ascii="Arial" w:eastAsia="Arial" w:hAnsi="Arial" w:cs="Arial"/>
          <w:lang w:val="es-AR"/>
        </w:rPr>
        <w:t xml:space="preserve"> </w:t>
      </w:r>
      <w:proofErr w:type="spellStart"/>
      <w:r w:rsidRPr="00870D1E">
        <w:rPr>
          <w:rFonts w:ascii="Arial" w:eastAsia="Arial" w:hAnsi="Arial" w:cs="Arial"/>
          <w:lang w:val="es-AR"/>
        </w:rPr>
        <w:t>to</w:t>
      </w:r>
      <w:proofErr w:type="spellEnd"/>
      <w:r w:rsidRPr="00870D1E">
        <w:rPr>
          <w:rFonts w:ascii="Arial" w:eastAsia="Arial" w:hAnsi="Arial" w:cs="Arial"/>
          <w:lang w:val="es-AR"/>
        </w:rPr>
        <w:t xml:space="preserve"> Gabriela A. Salvador (</w:t>
      </w:r>
      <w:hyperlink r:id="rId7">
        <w:r w:rsidRPr="00870D1E">
          <w:rPr>
            <w:rFonts w:ascii="Arial" w:eastAsia="Arial" w:hAnsi="Arial" w:cs="Arial"/>
            <w:color w:val="0563C1"/>
            <w:u w:val="single"/>
            <w:lang w:val="es-AR"/>
          </w:rPr>
          <w:t>salvador@criba.edu.ar</w:t>
        </w:r>
      </w:hyperlink>
      <w:r w:rsidRPr="00870D1E">
        <w:rPr>
          <w:rFonts w:ascii="Arial" w:eastAsia="Arial" w:hAnsi="Arial" w:cs="Arial"/>
          <w:lang w:val="es-AR"/>
        </w:rPr>
        <w:t>)</w:t>
      </w:r>
    </w:p>
    <w:p w14:paraId="1938CF9C" w14:textId="77777777" w:rsidR="00D3472B" w:rsidRPr="00870D1E" w:rsidRDefault="00D3472B" w:rsidP="00D3472B">
      <w:pPr>
        <w:spacing w:after="0" w:line="600" w:lineRule="auto"/>
        <w:jc w:val="both"/>
        <w:rPr>
          <w:lang w:val="es-AR"/>
        </w:rPr>
      </w:pPr>
    </w:p>
    <w:p w14:paraId="73813D74" w14:textId="08BE524B" w:rsidR="00D3472B" w:rsidRDefault="00D3472B">
      <w:pPr>
        <w:spacing w:line="278" w:lineRule="auto"/>
        <w:rPr>
          <w:rFonts w:ascii="Arial" w:eastAsia="Arial" w:hAnsi="Arial" w:cs="Arial"/>
          <w:lang w:val="es-AR"/>
        </w:rPr>
      </w:pPr>
      <w:r>
        <w:rPr>
          <w:rFonts w:ascii="Arial" w:eastAsia="Arial" w:hAnsi="Arial" w:cs="Arial"/>
          <w:lang w:val="es-AR"/>
        </w:rPr>
        <w:br w:type="page"/>
      </w:r>
    </w:p>
    <w:p w14:paraId="5AAA3713" w14:textId="63A607AC" w:rsidR="00D3472B" w:rsidRDefault="00D3472B" w:rsidP="00D3472B">
      <w:pPr>
        <w:spacing w:line="600" w:lineRule="auto"/>
        <w:jc w:val="both"/>
        <w:rPr>
          <w:rFonts w:ascii="Arial" w:eastAsia="Arial" w:hAnsi="Arial" w:cs="Arial"/>
        </w:rPr>
      </w:pPr>
      <w:r>
        <w:rPr>
          <w:noProof/>
        </w:rPr>
        <w:lastRenderedPageBreak/>
        <w:drawing>
          <wp:inline distT="0" distB="0" distL="0" distR="0" wp14:anchorId="2B4378C3" wp14:editId="1BB77D81">
            <wp:extent cx="5400040" cy="2848610"/>
            <wp:effectExtent l="0" t="0" r="0" b="0"/>
            <wp:docPr id="1902879888" name="Imagen 2" descr="Imagen que contiene pian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879888" name="Imagen 2" descr="Imagen que contiene pian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FC69E" w14:textId="77777777" w:rsidR="00D3472B" w:rsidRDefault="00D3472B" w:rsidP="00D3472B">
      <w:pPr>
        <w:spacing w:line="60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Supplementary Fig. 1. Cellular viability after MB exposure. </w:t>
      </w:r>
      <w:r>
        <w:rPr>
          <w:rFonts w:ascii="Arial" w:eastAsia="Arial" w:hAnsi="Arial" w:cs="Arial"/>
        </w:rPr>
        <w:t>Astrocytes and neurons were exposed to increasing MB concentrations (0-50</w:t>
      </w:r>
      <w:r>
        <w:t>μ</w:t>
      </w:r>
      <w:r>
        <w:rPr>
          <w:rFonts w:ascii="Arial" w:eastAsia="Arial" w:hAnsi="Arial" w:cs="Arial"/>
        </w:rPr>
        <w:t xml:space="preserve">M) for different periods (24-72 h). Cellular viability was measured as the capacity of MTT reduction.  The data shown are the mean ± SD </w:t>
      </w:r>
      <w:r>
        <w:rPr>
          <w:rFonts w:ascii="Arial" w:eastAsia="Arial" w:hAnsi="Arial" w:cs="Arial"/>
          <w:color w:val="212121"/>
          <w:highlight w:val="white"/>
        </w:rPr>
        <w:t>(</w:t>
      </w:r>
      <w:r>
        <w:rPr>
          <w:rFonts w:ascii="Arial" w:eastAsia="Arial" w:hAnsi="Arial" w:cs="Arial"/>
        </w:rPr>
        <w:t xml:space="preserve">at least three independent experiments). Student’s t-test and One-way ANOVA with Tukey’s post-hoc tests were used. *p &lt; 0.05, ***p &lt; 0.001. </w:t>
      </w:r>
    </w:p>
    <w:p w14:paraId="2061229D" w14:textId="77777777" w:rsidR="00D3472B" w:rsidRDefault="00D3472B" w:rsidP="00D3472B">
      <w:pPr>
        <w:spacing w:line="600" w:lineRule="auto"/>
        <w:jc w:val="both"/>
        <w:rPr>
          <w:rFonts w:ascii="Arial" w:eastAsia="Arial" w:hAnsi="Arial" w:cs="Arial"/>
        </w:rPr>
      </w:pPr>
    </w:p>
    <w:p w14:paraId="5D0040AF" w14:textId="11477C4B" w:rsidR="00D3472B" w:rsidRDefault="00D3472B" w:rsidP="00D3472B">
      <w:pPr>
        <w:spacing w:line="600" w:lineRule="auto"/>
        <w:jc w:val="both"/>
        <w:rPr>
          <w:rFonts w:ascii="Arial" w:eastAsia="Arial" w:hAnsi="Arial" w:cs="Arial"/>
        </w:rPr>
      </w:pPr>
      <w:r>
        <w:rPr>
          <w:noProof/>
        </w:rPr>
        <w:lastRenderedPageBreak/>
        <w:drawing>
          <wp:inline distT="0" distB="0" distL="0" distR="0" wp14:anchorId="3D58AFBA" wp14:editId="0E5A4884">
            <wp:extent cx="3024000" cy="4236694"/>
            <wp:effectExtent l="0" t="0" r="5080" b="0"/>
            <wp:docPr id="1519805118" name="Imagen 3" descr="Imagen que contiene Interfaz de usuario gráfic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805118" name="Imagen 3" descr="Imagen que contiene Interfaz de usuario gráfic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4236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9BF13" w14:textId="7E77F992" w:rsidR="00D3472B" w:rsidRDefault="00D3472B" w:rsidP="00D3472B">
      <w:pPr>
        <w:spacing w:line="60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Supplementary Fig. 2. </w:t>
      </w:r>
      <w:proofErr w:type="spellStart"/>
      <w:r>
        <w:rPr>
          <w:rFonts w:ascii="Arial" w:eastAsia="Arial" w:hAnsi="Arial" w:cs="Arial"/>
          <w:b/>
        </w:rPr>
        <w:t>NF</w:t>
      </w:r>
      <w:r>
        <w:rPr>
          <w:b/>
        </w:rPr>
        <w:t>k</w:t>
      </w:r>
      <w:r>
        <w:rPr>
          <w:rFonts w:ascii="Arial" w:eastAsia="Arial" w:hAnsi="Arial" w:cs="Arial"/>
          <w:b/>
        </w:rPr>
        <w:t>B</w:t>
      </w:r>
      <w:proofErr w:type="spellEnd"/>
      <w:r>
        <w:rPr>
          <w:rFonts w:ascii="Arial" w:eastAsia="Arial" w:hAnsi="Arial" w:cs="Arial"/>
          <w:b/>
        </w:rPr>
        <w:t xml:space="preserve"> cytochemistry in neurons exposed to MB or vehicle. </w:t>
      </w:r>
      <w:r>
        <w:rPr>
          <w:rFonts w:ascii="Arial" w:eastAsia="Arial" w:hAnsi="Arial" w:cs="Arial"/>
        </w:rPr>
        <w:t xml:space="preserve">Representative immunostaining and quantification of p65 </w:t>
      </w:r>
      <w:proofErr w:type="spellStart"/>
      <w:r>
        <w:rPr>
          <w:rFonts w:ascii="Arial" w:eastAsia="Arial" w:hAnsi="Arial" w:cs="Arial"/>
        </w:rPr>
        <w:t>NF</w:t>
      </w:r>
      <w:r>
        <w:t>k</w:t>
      </w:r>
      <w:r>
        <w:rPr>
          <w:rFonts w:ascii="Arial" w:eastAsia="Arial" w:hAnsi="Arial" w:cs="Arial"/>
        </w:rPr>
        <w:t>B</w:t>
      </w:r>
      <w:proofErr w:type="spellEnd"/>
      <w:r>
        <w:rPr>
          <w:rFonts w:ascii="Arial" w:eastAsia="Arial" w:hAnsi="Arial" w:cs="Arial"/>
        </w:rPr>
        <w:t xml:space="preserve"> in neurons exposed to MB. Nuclear /cytosol ratio was determined. The data shown are the mean ± SD </w:t>
      </w:r>
      <w:r>
        <w:rPr>
          <w:rFonts w:ascii="Arial" w:eastAsia="Arial" w:hAnsi="Arial" w:cs="Arial"/>
          <w:color w:val="212121"/>
          <w:highlight w:val="white"/>
        </w:rPr>
        <w:t>(</w:t>
      </w:r>
      <w:r>
        <w:rPr>
          <w:rFonts w:ascii="Arial" w:eastAsia="Arial" w:hAnsi="Arial" w:cs="Arial"/>
        </w:rPr>
        <w:t>at least three independent experiments). Student’s t-test was used. ***p &lt; 0.</w:t>
      </w:r>
      <w:sdt>
        <w:sdtPr>
          <w:tag w:val="goog_rdk_3"/>
          <w:id w:val="-489794587"/>
        </w:sdtPr>
        <w:sdtContent/>
      </w:sdt>
      <w:r>
        <w:rPr>
          <w:rFonts w:ascii="Arial" w:eastAsia="Arial" w:hAnsi="Arial" w:cs="Arial"/>
        </w:rPr>
        <w:t xml:space="preserve">001. </w:t>
      </w:r>
    </w:p>
    <w:p w14:paraId="03047E6A" w14:textId="77777777" w:rsidR="00D3472B" w:rsidRDefault="00D3472B" w:rsidP="00D3472B">
      <w:pPr>
        <w:spacing w:line="600" w:lineRule="auto"/>
        <w:jc w:val="both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0753CE80" wp14:editId="78BD92D9">
            <wp:extent cx="5400040" cy="1927225"/>
            <wp:effectExtent l="0" t="0" r="0" b="0"/>
            <wp:docPr id="1795233910" name="Imagen 4" descr="Un conjunto de letras negras en un fondo negr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233910" name="Imagen 4" descr="Un conjunto de letras negras en un fondo negr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92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24C79" w14:textId="77777777" w:rsidR="00D3472B" w:rsidRDefault="00D3472B" w:rsidP="00D3472B">
      <w:pPr>
        <w:spacing w:line="60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 xml:space="preserve">Supplementary Fig. 3. Neuronal ERK1/2 phosphorylation after MB challenge in A-Sec presence. </w:t>
      </w:r>
      <w:r>
        <w:rPr>
          <w:rFonts w:ascii="Arial" w:eastAsia="Arial" w:hAnsi="Arial" w:cs="Arial"/>
        </w:rPr>
        <w:t xml:space="preserve">Representative immunoblots and quantification of ERK1/2 phosphorylation in neurons co-incubated with MB and A-Sec. The data shown are the mean ± SD </w:t>
      </w:r>
      <w:r>
        <w:rPr>
          <w:rFonts w:ascii="Arial" w:eastAsia="Arial" w:hAnsi="Arial" w:cs="Arial"/>
          <w:color w:val="212121"/>
          <w:highlight w:val="white"/>
        </w:rPr>
        <w:t>(</w:t>
      </w:r>
      <w:r>
        <w:rPr>
          <w:rFonts w:ascii="Arial" w:eastAsia="Arial" w:hAnsi="Arial" w:cs="Arial"/>
        </w:rPr>
        <w:t>at least three independent experiments). One-way ANOVA with Tukey’s post-hoc tests was used. **p &lt; 0.01.</w:t>
      </w:r>
    </w:p>
    <w:p w14:paraId="51BA084B" w14:textId="77777777" w:rsidR="00D3472B" w:rsidRDefault="00D3472B" w:rsidP="00D3472B">
      <w:pPr>
        <w:spacing w:line="600" w:lineRule="auto"/>
        <w:jc w:val="both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00D6C4CE" wp14:editId="4A48D6A5">
            <wp:extent cx="3126685" cy="2381250"/>
            <wp:effectExtent l="0" t="0" r="0" b="0"/>
            <wp:docPr id="1960781617" name="Imagen 5" descr="Logotip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781617" name="Imagen 5" descr="Logotip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228" cy="238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DCFCAF" w14:textId="77777777" w:rsidR="00D3472B" w:rsidRPr="00D3472B" w:rsidRDefault="00D3472B" w:rsidP="00D3472B">
      <w:pPr>
        <w:spacing w:line="600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Supplementary Fig. 4. Neuronal viability in the presence of microglia </w:t>
      </w:r>
      <w:proofErr w:type="spellStart"/>
      <w:r>
        <w:rPr>
          <w:rFonts w:ascii="Arial" w:eastAsia="Arial" w:hAnsi="Arial" w:cs="Arial"/>
          <w:b/>
        </w:rPr>
        <w:t>secretome</w:t>
      </w:r>
      <w:proofErr w:type="spellEnd"/>
      <w:r>
        <w:rPr>
          <w:rFonts w:ascii="Arial" w:eastAsia="Arial" w:hAnsi="Arial" w:cs="Arial"/>
          <w:b/>
        </w:rPr>
        <w:t xml:space="preserve">. </w:t>
      </w:r>
      <w:r>
        <w:rPr>
          <w:rFonts w:ascii="Arial" w:eastAsia="Arial" w:hAnsi="Arial" w:cs="Arial"/>
        </w:rPr>
        <w:t xml:space="preserve">Neurons exposed or not to MB were incubated with M-Sec and were evaluated for cell viability using the MTT assay. The data shown are the mean ± SD </w:t>
      </w:r>
      <w:r>
        <w:rPr>
          <w:rFonts w:ascii="Arial" w:eastAsia="Arial" w:hAnsi="Arial" w:cs="Arial"/>
          <w:color w:val="212121"/>
          <w:highlight w:val="white"/>
        </w:rPr>
        <w:t>(</w:t>
      </w:r>
      <w:r>
        <w:rPr>
          <w:rFonts w:ascii="Arial" w:eastAsia="Arial" w:hAnsi="Arial" w:cs="Arial"/>
        </w:rPr>
        <w:t>at least three independent experiments) expressed as a percentage (%) of control. Two-way ANOVA with Tukey’s post-hoc tests was used. **p &lt; 0.01, ***p &lt; 0.001.</w:t>
      </w:r>
    </w:p>
    <w:p w14:paraId="7988C0AA" w14:textId="0FC45CC8" w:rsidR="00D3472B" w:rsidRDefault="00D3472B" w:rsidP="00D3472B">
      <w:pPr>
        <w:spacing w:line="600" w:lineRule="auto"/>
        <w:jc w:val="both"/>
        <w:rPr>
          <w:rFonts w:ascii="Arial" w:eastAsia="Arial" w:hAnsi="Arial" w:cs="Arial"/>
        </w:rPr>
      </w:pPr>
      <w:r>
        <w:rPr>
          <w:noProof/>
        </w:rPr>
        <w:drawing>
          <wp:inline distT="0" distB="0" distL="0" distR="0" wp14:anchorId="66E08179" wp14:editId="7FD7113F">
            <wp:extent cx="5400040" cy="1370330"/>
            <wp:effectExtent l="0" t="0" r="0" b="1270"/>
            <wp:docPr id="1290626209" name="Imagen 1" descr="Imagen que contiene 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626209" name="Imagen 1" descr="Imagen que contiene 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137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p w14:paraId="79741104" w14:textId="77777777" w:rsidR="00D3472B" w:rsidRDefault="00D3472B" w:rsidP="00D3472B">
      <w:pPr>
        <w:spacing w:line="60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lastRenderedPageBreak/>
        <w:t>Supplementary Fig. 5. Viability assay to assess MMK-1 and Quin-c7 work concentration in neurons and astrocytes.</w:t>
      </w:r>
      <w:r>
        <w:rPr>
          <w:rFonts w:ascii="Arial" w:eastAsia="Arial" w:hAnsi="Arial" w:cs="Arial"/>
        </w:rPr>
        <w:t xml:space="preserve"> Neurons and astrocytes were exposed to both agonist and antagonist to select a non-toxic concentration within the range of action of both compounds. </w:t>
      </w:r>
    </w:p>
    <w:p w14:paraId="2AD647AF" w14:textId="77777777" w:rsidR="00D3472B" w:rsidRDefault="00D3472B"/>
    <w:sectPr w:rsidR="00D347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E1F6A" w14:textId="77777777" w:rsidR="009B4812" w:rsidRDefault="009B4812" w:rsidP="00D3472B">
      <w:pPr>
        <w:spacing w:after="0" w:line="240" w:lineRule="auto"/>
      </w:pPr>
      <w:r>
        <w:separator/>
      </w:r>
    </w:p>
  </w:endnote>
  <w:endnote w:type="continuationSeparator" w:id="0">
    <w:p w14:paraId="3C83BCBA" w14:textId="77777777" w:rsidR="009B4812" w:rsidRDefault="009B4812" w:rsidP="00D347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3604C" w14:textId="77777777" w:rsidR="009B4812" w:rsidRDefault="009B4812" w:rsidP="00D3472B">
      <w:pPr>
        <w:spacing w:after="0" w:line="240" w:lineRule="auto"/>
      </w:pPr>
      <w:r>
        <w:separator/>
      </w:r>
    </w:p>
  </w:footnote>
  <w:footnote w:type="continuationSeparator" w:id="0">
    <w:p w14:paraId="7243829F" w14:textId="77777777" w:rsidR="009B4812" w:rsidRDefault="009B4812" w:rsidP="00D347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72B"/>
    <w:rsid w:val="009B4812"/>
    <w:rsid w:val="00D3472B"/>
    <w:rsid w:val="00E20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EF60"/>
  <w15:chartTrackingRefBased/>
  <w15:docId w15:val="{798E01B6-A1C3-4119-8886-40B8B6F5A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472B"/>
    <w:pPr>
      <w:spacing w:line="259" w:lineRule="auto"/>
    </w:pPr>
    <w:rPr>
      <w:rFonts w:ascii="Calibri" w:eastAsia="Calibri" w:hAnsi="Calibri" w:cs="Calibri"/>
      <w:kern w:val="0"/>
      <w:sz w:val="22"/>
      <w:szCs w:val="22"/>
      <w:lang w:val="en-US" w:eastAsia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347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AR"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47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AR"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3472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AR"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3472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AR"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3472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AR"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3472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AR"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3472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AR"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3472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AR"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3472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AR"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47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347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347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3472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3472B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3472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472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472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472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347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AR"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D347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3472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AR"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D347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3472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D3472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3472B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s-AR"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D3472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347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AR"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3472B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3472B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D34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472B"/>
    <w:rPr>
      <w:rFonts w:ascii="Calibri" w:eastAsia="Calibri" w:hAnsi="Calibri" w:cs="Calibri"/>
      <w:kern w:val="0"/>
      <w:sz w:val="22"/>
      <w:szCs w:val="22"/>
      <w:lang w:val="en-US" w:eastAsia="es-AR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D347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472B"/>
    <w:rPr>
      <w:rFonts w:ascii="Calibri" w:eastAsia="Calibri" w:hAnsi="Calibri" w:cs="Calibri"/>
      <w:kern w:val="0"/>
      <w:sz w:val="22"/>
      <w:szCs w:val="22"/>
      <w:lang w:val="en-US" w:eastAsia="es-A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lvador@criba.edu.ar" TargetMode="External"/><Relationship Id="rId12" Type="http://schemas.openxmlformats.org/officeDocument/2006/relationships/image" Target="media/image5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tiff"/><Relationship Id="rId5" Type="http://schemas.openxmlformats.org/officeDocument/2006/relationships/footnotes" Target="footnotes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13BC8-445D-48F3-BF1E-3936A4904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384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Salvador</dc:creator>
  <cp:keywords/>
  <dc:description/>
  <cp:lastModifiedBy>Gabriela Salvador</cp:lastModifiedBy>
  <cp:revision>1</cp:revision>
  <dcterms:created xsi:type="dcterms:W3CDTF">2025-01-17T15:03:00Z</dcterms:created>
  <dcterms:modified xsi:type="dcterms:W3CDTF">2025-01-17T15:10:00Z</dcterms:modified>
</cp:coreProperties>
</file>