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7A8A0" w14:textId="77777777" w:rsidR="0019612B" w:rsidRDefault="00000000">
      <w:pPr>
        <w:pStyle w:val="Ttulo"/>
        <w:spacing w:before="76" w:line="362" w:lineRule="auto"/>
      </w:pPr>
      <w:r>
        <w:rPr>
          <w:b w:val="0"/>
          <w:i/>
        </w:rPr>
        <w:t>Lactococcus</w:t>
      </w:r>
      <w:r>
        <w:rPr>
          <w:b w:val="0"/>
          <w:i/>
          <w:spacing w:val="-4"/>
        </w:rPr>
        <w:t xml:space="preserve"> </w:t>
      </w:r>
      <w:r>
        <w:rPr>
          <w:b w:val="0"/>
          <w:i/>
        </w:rPr>
        <w:t>lactis</w:t>
      </w:r>
      <w:r>
        <w:rPr>
          <w:b w:val="0"/>
        </w:rPr>
        <w:t>-</w:t>
      </w:r>
      <w:r>
        <w:t>HSP65</w:t>
      </w:r>
      <w:r>
        <w:rPr>
          <w:spacing w:val="-4"/>
        </w:rPr>
        <w:t xml:space="preserve"> </w:t>
      </w:r>
      <w:r>
        <w:t>requires</w:t>
      </w:r>
      <w:r>
        <w:rPr>
          <w:spacing w:val="-4"/>
        </w:rPr>
        <w:t xml:space="preserve"> </w:t>
      </w:r>
      <w:r>
        <w:t>TLR2</w:t>
      </w:r>
      <w:r>
        <w:rPr>
          <w:spacing w:val="-4"/>
        </w:rPr>
        <w:t xml:space="preserve"> </w:t>
      </w:r>
      <w:r>
        <w:t>to</w:t>
      </w:r>
      <w:r>
        <w:rPr>
          <w:spacing w:val="-4"/>
        </w:rPr>
        <w:t xml:space="preserve"> </w:t>
      </w:r>
      <w:r>
        <w:t>induce</w:t>
      </w:r>
      <w:r>
        <w:rPr>
          <w:spacing w:val="-5"/>
        </w:rPr>
        <w:t xml:space="preserve"> </w:t>
      </w:r>
      <w:r>
        <w:t>tolerogenic</w:t>
      </w:r>
      <w:r>
        <w:rPr>
          <w:spacing w:val="-4"/>
        </w:rPr>
        <w:t xml:space="preserve"> </w:t>
      </w:r>
      <w:r>
        <w:t>dendritic</w:t>
      </w:r>
      <w:r>
        <w:rPr>
          <w:spacing w:val="-5"/>
        </w:rPr>
        <w:t xml:space="preserve"> </w:t>
      </w:r>
      <w:r>
        <w:t>cells</w:t>
      </w:r>
      <w:r>
        <w:rPr>
          <w:spacing w:val="-4"/>
        </w:rPr>
        <w:t xml:space="preserve"> </w:t>
      </w:r>
      <w:r>
        <w:t>and</w:t>
      </w:r>
      <w:r>
        <w:rPr>
          <w:spacing w:val="-4"/>
        </w:rPr>
        <w:t xml:space="preserve"> </w:t>
      </w:r>
      <w:r>
        <w:t>confer protection against type 1 diabetes in a murine model</w:t>
      </w:r>
    </w:p>
    <w:p w14:paraId="243CEEEC" w14:textId="77777777" w:rsidR="0019612B" w:rsidRDefault="0019612B">
      <w:pPr>
        <w:pStyle w:val="Corpodetexto"/>
        <w:rPr>
          <w:b/>
        </w:rPr>
      </w:pPr>
    </w:p>
    <w:p w14:paraId="50A6A3AF" w14:textId="77777777" w:rsidR="0019612B" w:rsidRDefault="0019612B">
      <w:pPr>
        <w:pStyle w:val="Corpodetexto"/>
        <w:spacing w:before="19"/>
        <w:rPr>
          <w:b/>
        </w:rPr>
      </w:pPr>
    </w:p>
    <w:p w14:paraId="23E24326" w14:textId="77777777" w:rsidR="0019612B" w:rsidRDefault="00000000">
      <w:pPr>
        <w:pStyle w:val="Ttulo"/>
        <w:ind w:left="3"/>
      </w:pPr>
      <w:r>
        <w:t>SUPPLEMENTAL</w:t>
      </w:r>
      <w:r>
        <w:rPr>
          <w:spacing w:val="-2"/>
        </w:rPr>
        <w:t xml:space="preserve"> FIGURES</w:t>
      </w:r>
    </w:p>
    <w:p w14:paraId="3A36C2BA" w14:textId="77777777" w:rsidR="0019612B" w:rsidRDefault="0019612B">
      <w:pPr>
        <w:pStyle w:val="Corpodetexto"/>
        <w:rPr>
          <w:b/>
          <w:sz w:val="20"/>
        </w:rPr>
      </w:pPr>
    </w:p>
    <w:p w14:paraId="61D91CB4" w14:textId="77777777" w:rsidR="0019612B" w:rsidRDefault="0019612B">
      <w:pPr>
        <w:pStyle w:val="Corpodetexto"/>
        <w:rPr>
          <w:b/>
          <w:sz w:val="20"/>
        </w:rPr>
      </w:pPr>
    </w:p>
    <w:p w14:paraId="612F1C00" w14:textId="77777777" w:rsidR="0019612B" w:rsidRDefault="0019612B">
      <w:pPr>
        <w:pStyle w:val="Corpodetexto"/>
        <w:rPr>
          <w:b/>
          <w:sz w:val="20"/>
        </w:rPr>
      </w:pPr>
    </w:p>
    <w:p w14:paraId="67521A71" w14:textId="77777777" w:rsidR="0019612B" w:rsidRDefault="0019612B">
      <w:pPr>
        <w:pStyle w:val="Corpodetexto"/>
        <w:rPr>
          <w:b/>
          <w:sz w:val="20"/>
        </w:rPr>
      </w:pPr>
    </w:p>
    <w:p w14:paraId="53CD5736" w14:textId="77777777" w:rsidR="0019612B" w:rsidRDefault="00000000">
      <w:pPr>
        <w:pStyle w:val="Corpodetexto"/>
        <w:spacing w:before="44"/>
        <w:rPr>
          <w:b/>
          <w:sz w:val="20"/>
        </w:rPr>
      </w:pPr>
      <w:r>
        <w:rPr>
          <w:b/>
          <w:noProof/>
          <w:sz w:val="20"/>
        </w:rPr>
        <w:drawing>
          <wp:anchor distT="0" distB="0" distL="0" distR="0" simplePos="0" relativeHeight="487587840" behindDoc="1" locked="0" layoutInCell="1" allowOverlap="1" wp14:anchorId="65216274" wp14:editId="4CCADE39">
            <wp:simplePos x="0" y="0"/>
            <wp:positionH relativeFrom="page">
              <wp:posOffset>1155133</wp:posOffset>
            </wp:positionH>
            <wp:positionV relativeFrom="paragraph">
              <wp:posOffset>189674</wp:posOffset>
            </wp:positionV>
            <wp:extent cx="5528895" cy="2857500"/>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5528895" cy="2857500"/>
                    </a:xfrm>
                    <a:prstGeom prst="rect">
                      <a:avLst/>
                    </a:prstGeom>
                  </pic:spPr>
                </pic:pic>
              </a:graphicData>
            </a:graphic>
          </wp:anchor>
        </w:drawing>
      </w:r>
    </w:p>
    <w:p w14:paraId="07979D9E" w14:textId="77777777" w:rsidR="0019612B" w:rsidRDefault="0019612B">
      <w:pPr>
        <w:pStyle w:val="Corpodetexto"/>
        <w:rPr>
          <w:b/>
        </w:rPr>
      </w:pPr>
    </w:p>
    <w:p w14:paraId="5E86788F" w14:textId="77777777" w:rsidR="0019612B" w:rsidRDefault="0019612B">
      <w:pPr>
        <w:pStyle w:val="Corpodetexto"/>
        <w:rPr>
          <w:b/>
        </w:rPr>
      </w:pPr>
    </w:p>
    <w:p w14:paraId="67CBEEB2" w14:textId="77777777" w:rsidR="0019612B" w:rsidRDefault="0019612B">
      <w:pPr>
        <w:pStyle w:val="Corpodetexto"/>
        <w:spacing w:before="216"/>
        <w:rPr>
          <w:b/>
        </w:rPr>
      </w:pPr>
    </w:p>
    <w:p w14:paraId="15912052" w14:textId="77777777" w:rsidR="0019612B" w:rsidRDefault="00000000">
      <w:pPr>
        <w:pStyle w:val="Corpodetexto"/>
        <w:spacing w:line="259" w:lineRule="auto"/>
        <w:ind w:left="2" w:right="848"/>
        <w:jc w:val="both"/>
      </w:pPr>
      <w:r>
        <w:rPr>
          <w:b/>
        </w:rPr>
        <w:t xml:space="preserve">Fig. S1 Activation and production profile of bone marrow-derived dendritic cells (BMDCs) stimulated with rHSP65. </w:t>
      </w:r>
      <w:r>
        <w:t>Bar graph (A) and histograms (B) represent the MFI of CD80 in cDC1. Bar graphs (C) and histograms (D) represent the MFI of CD80 in cDC2. The concentration of the cytokines IL-6 (E) and TNF-α (F) was</w:t>
      </w:r>
      <w:r>
        <w:rPr>
          <w:spacing w:val="-2"/>
        </w:rPr>
        <w:t xml:space="preserve"> </w:t>
      </w:r>
      <w:r>
        <w:t>detected in the culture supernatant by</w:t>
      </w:r>
      <w:r>
        <w:rPr>
          <w:spacing w:val="-6"/>
        </w:rPr>
        <w:t xml:space="preserve"> </w:t>
      </w:r>
      <w:r>
        <w:t>ELISA.</w:t>
      </w:r>
      <w:r>
        <w:rPr>
          <w:spacing w:val="-6"/>
        </w:rPr>
        <w:t xml:space="preserve"> </w:t>
      </w:r>
      <w:r>
        <w:t>The</w:t>
      </w:r>
      <w:r>
        <w:rPr>
          <w:spacing w:val="-7"/>
        </w:rPr>
        <w:t xml:space="preserve"> </w:t>
      </w:r>
      <w:r>
        <w:t>ratio</w:t>
      </w:r>
      <w:r>
        <w:rPr>
          <w:spacing w:val="-6"/>
        </w:rPr>
        <w:t xml:space="preserve"> </w:t>
      </w:r>
      <w:r>
        <w:t>between</w:t>
      </w:r>
      <w:r>
        <w:rPr>
          <w:spacing w:val="-6"/>
        </w:rPr>
        <w:t xml:space="preserve"> </w:t>
      </w:r>
      <w:r>
        <w:t>the</w:t>
      </w:r>
      <w:r>
        <w:rPr>
          <w:spacing w:val="-6"/>
        </w:rPr>
        <w:t xml:space="preserve"> </w:t>
      </w:r>
      <w:r>
        <w:t>concentrations</w:t>
      </w:r>
      <w:r>
        <w:rPr>
          <w:spacing w:val="-6"/>
        </w:rPr>
        <w:t xml:space="preserve"> </w:t>
      </w:r>
      <w:r>
        <w:t>of</w:t>
      </w:r>
      <w:r>
        <w:rPr>
          <w:spacing w:val="-4"/>
        </w:rPr>
        <w:t xml:space="preserve"> </w:t>
      </w:r>
      <w:r>
        <w:t>IL-10/IL-6</w:t>
      </w:r>
      <w:r>
        <w:rPr>
          <w:spacing w:val="-4"/>
        </w:rPr>
        <w:t xml:space="preserve"> </w:t>
      </w:r>
      <w:r>
        <w:t>(G)</w:t>
      </w:r>
      <w:r>
        <w:rPr>
          <w:spacing w:val="-4"/>
        </w:rPr>
        <w:t xml:space="preserve"> </w:t>
      </w:r>
      <w:r>
        <w:t>and</w:t>
      </w:r>
      <w:r>
        <w:rPr>
          <w:spacing w:val="-4"/>
        </w:rPr>
        <w:t xml:space="preserve"> </w:t>
      </w:r>
      <w:r>
        <w:t>IL-10/TNF-α</w:t>
      </w:r>
      <w:r>
        <w:rPr>
          <w:spacing w:val="-5"/>
        </w:rPr>
        <w:t xml:space="preserve"> </w:t>
      </w:r>
      <w:r>
        <w:t>(H).</w:t>
      </w:r>
      <w:r>
        <w:rPr>
          <w:spacing w:val="-7"/>
        </w:rPr>
        <w:t xml:space="preserve"> </w:t>
      </w:r>
      <w:r>
        <w:t xml:space="preserve">Data are expressed as mean ± SEM of a representative experiment of two independent experiments performed (n= 4-5 wells per condition) and analyzed by One-way ANOVA and Tukey's post- test. Data were considered statistically significant when p &lt; 0.05. * </w:t>
      </w:r>
      <w:proofErr w:type="gramStart"/>
      <w:r>
        <w:t>medium</w:t>
      </w:r>
      <w:proofErr w:type="gramEnd"/>
      <w:r>
        <w:t xml:space="preserve"> vs </w:t>
      </w:r>
      <w:proofErr w:type="gramStart"/>
      <w:r>
        <w:t>stimuli, #</w:t>
      </w:r>
      <w:proofErr w:type="gramEnd"/>
      <w:r>
        <w:t xml:space="preserve"> rHSP65 vs LPS.</w:t>
      </w:r>
    </w:p>
    <w:p w14:paraId="7B91B4B7" w14:textId="77777777" w:rsidR="0019612B" w:rsidRDefault="0019612B">
      <w:pPr>
        <w:pStyle w:val="Corpodetexto"/>
        <w:spacing w:line="259" w:lineRule="auto"/>
        <w:jc w:val="both"/>
        <w:sectPr w:rsidR="0019612B">
          <w:type w:val="continuous"/>
          <w:pgSz w:w="11910" w:h="16840"/>
          <w:pgMar w:top="1320" w:right="283" w:bottom="280" w:left="1700" w:header="720" w:footer="720" w:gutter="0"/>
          <w:cols w:space="720"/>
        </w:sectPr>
      </w:pPr>
    </w:p>
    <w:p w14:paraId="1FCEC2E6" w14:textId="77777777" w:rsidR="0019612B" w:rsidRDefault="00000000">
      <w:pPr>
        <w:pStyle w:val="Corpodetexto"/>
        <w:ind w:left="870"/>
        <w:rPr>
          <w:sz w:val="20"/>
        </w:rPr>
      </w:pPr>
      <w:r>
        <w:rPr>
          <w:noProof/>
          <w:sz w:val="20"/>
        </w:rPr>
        <w:lastRenderedPageBreak/>
        <w:drawing>
          <wp:inline distT="0" distB="0" distL="0" distR="0" wp14:anchorId="1DBC01A2" wp14:editId="50975DEC">
            <wp:extent cx="4618808" cy="390906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4618808" cy="3909060"/>
                    </a:xfrm>
                    <a:prstGeom prst="rect">
                      <a:avLst/>
                    </a:prstGeom>
                  </pic:spPr>
                </pic:pic>
              </a:graphicData>
            </a:graphic>
          </wp:inline>
        </w:drawing>
      </w:r>
    </w:p>
    <w:p w14:paraId="5A17B31E" w14:textId="77777777" w:rsidR="0019612B" w:rsidRDefault="0019612B">
      <w:pPr>
        <w:pStyle w:val="Corpodetexto"/>
      </w:pPr>
    </w:p>
    <w:p w14:paraId="5A3F5D43" w14:textId="77777777" w:rsidR="0019612B" w:rsidRDefault="0019612B">
      <w:pPr>
        <w:pStyle w:val="Corpodetexto"/>
        <w:spacing w:before="169"/>
      </w:pPr>
    </w:p>
    <w:p w14:paraId="4BE9CB99" w14:textId="77777777" w:rsidR="0019612B" w:rsidRDefault="00000000">
      <w:pPr>
        <w:spacing w:line="259" w:lineRule="auto"/>
        <w:ind w:left="2" w:right="845"/>
        <w:jc w:val="both"/>
        <w:rPr>
          <w:sz w:val="24"/>
        </w:rPr>
      </w:pPr>
      <w:r>
        <w:rPr>
          <w:b/>
          <w:sz w:val="24"/>
        </w:rPr>
        <w:t>Fig.</w:t>
      </w:r>
      <w:r>
        <w:rPr>
          <w:b/>
          <w:spacing w:val="-1"/>
          <w:sz w:val="24"/>
        </w:rPr>
        <w:t xml:space="preserve"> </w:t>
      </w:r>
      <w:r>
        <w:rPr>
          <w:b/>
          <w:sz w:val="24"/>
        </w:rPr>
        <w:t>S2</w:t>
      </w:r>
      <w:r>
        <w:rPr>
          <w:b/>
          <w:spacing w:val="-1"/>
          <w:sz w:val="24"/>
        </w:rPr>
        <w:t xml:space="preserve"> </w:t>
      </w:r>
      <w:r>
        <w:rPr>
          <w:b/>
          <w:sz w:val="24"/>
        </w:rPr>
        <w:t>Validation</w:t>
      </w:r>
      <w:r>
        <w:rPr>
          <w:b/>
          <w:spacing w:val="-1"/>
          <w:sz w:val="24"/>
        </w:rPr>
        <w:t xml:space="preserve"> </w:t>
      </w:r>
      <w:r>
        <w:rPr>
          <w:b/>
          <w:sz w:val="24"/>
        </w:rPr>
        <w:t>of</w:t>
      </w:r>
      <w:r>
        <w:rPr>
          <w:b/>
          <w:spacing w:val="-2"/>
          <w:sz w:val="24"/>
        </w:rPr>
        <w:t xml:space="preserve"> </w:t>
      </w:r>
      <w:r>
        <w:rPr>
          <w:b/>
          <w:sz w:val="24"/>
        </w:rPr>
        <w:t>culture</w:t>
      </w:r>
      <w:r>
        <w:rPr>
          <w:b/>
          <w:spacing w:val="-2"/>
          <w:sz w:val="24"/>
        </w:rPr>
        <w:t xml:space="preserve"> </w:t>
      </w:r>
      <w:r>
        <w:rPr>
          <w:b/>
          <w:sz w:val="24"/>
        </w:rPr>
        <w:t>and</w:t>
      </w:r>
      <w:r>
        <w:rPr>
          <w:b/>
          <w:spacing w:val="-1"/>
          <w:sz w:val="24"/>
        </w:rPr>
        <w:t xml:space="preserve"> </w:t>
      </w:r>
      <w:r>
        <w:rPr>
          <w:b/>
          <w:sz w:val="24"/>
        </w:rPr>
        <w:t>heterologous</w:t>
      </w:r>
      <w:r>
        <w:rPr>
          <w:b/>
          <w:spacing w:val="-1"/>
          <w:sz w:val="24"/>
        </w:rPr>
        <w:t xml:space="preserve"> </w:t>
      </w:r>
      <w:r>
        <w:rPr>
          <w:b/>
          <w:sz w:val="24"/>
        </w:rPr>
        <w:t>expression</w:t>
      </w:r>
      <w:r>
        <w:rPr>
          <w:b/>
          <w:spacing w:val="-1"/>
          <w:sz w:val="24"/>
        </w:rPr>
        <w:t xml:space="preserve"> </w:t>
      </w:r>
      <w:r>
        <w:rPr>
          <w:b/>
          <w:sz w:val="24"/>
        </w:rPr>
        <w:t>of</w:t>
      </w:r>
      <w:r>
        <w:rPr>
          <w:b/>
          <w:spacing w:val="-2"/>
          <w:sz w:val="24"/>
        </w:rPr>
        <w:t xml:space="preserve"> </w:t>
      </w:r>
      <w:r>
        <w:rPr>
          <w:b/>
          <w:sz w:val="24"/>
        </w:rPr>
        <w:t>HSP65</w:t>
      </w:r>
      <w:r>
        <w:rPr>
          <w:b/>
          <w:spacing w:val="-2"/>
          <w:sz w:val="24"/>
        </w:rPr>
        <w:t xml:space="preserve"> </w:t>
      </w:r>
      <w:r>
        <w:rPr>
          <w:b/>
          <w:sz w:val="24"/>
        </w:rPr>
        <w:t xml:space="preserve">in </w:t>
      </w:r>
      <w:r>
        <w:rPr>
          <w:i/>
          <w:sz w:val="24"/>
        </w:rPr>
        <w:t>Lactococcus</w:t>
      </w:r>
      <w:r>
        <w:rPr>
          <w:i/>
          <w:spacing w:val="-1"/>
          <w:sz w:val="24"/>
        </w:rPr>
        <w:t xml:space="preserve"> </w:t>
      </w:r>
      <w:r>
        <w:rPr>
          <w:i/>
          <w:sz w:val="24"/>
        </w:rPr>
        <w:t>lactis</w:t>
      </w:r>
      <w:r>
        <w:rPr>
          <w:b/>
          <w:sz w:val="24"/>
        </w:rPr>
        <w:t xml:space="preserve">. </w:t>
      </w:r>
      <w:r>
        <w:rPr>
          <w:sz w:val="24"/>
        </w:rPr>
        <w:t xml:space="preserve">Morphological appearance of </w:t>
      </w:r>
      <w:r>
        <w:rPr>
          <w:i/>
          <w:sz w:val="24"/>
        </w:rPr>
        <w:t xml:space="preserve">L. lactis </w:t>
      </w:r>
      <w:r>
        <w:rPr>
          <w:sz w:val="24"/>
        </w:rPr>
        <w:t>colonies after 24 h of growth in M17 agar at room temperature</w:t>
      </w:r>
      <w:r>
        <w:rPr>
          <w:spacing w:val="-5"/>
          <w:sz w:val="24"/>
        </w:rPr>
        <w:t xml:space="preserve"> </w:t>
      </w:r>
      <w:r>
        <w:rPr>
          <w:sz w:val="24"/>
        </w:rPr>
        <w:t>(A).</w:t>
      </w:r>
      <w:r>
        <w:rPr>
          <w:spacing w:val="-4"/>
          <w:sz w:val="24"/>
        </w:rPr>
        <w:t xml:space="preserve"> </w:t>
      </w:r>
      <w:r>
        <w:rPr>
          <w:sz w:val="24"/>
        </w:rPr>
        <w:t>Photomicrograph</w:t>
      </w:r>
      <w:r>
        <w:rPr>
          <w:spacing w:val="-4"/>
          <w:sz w:val="24"/>
        </w:rPr>
        <w:t xml:space="preserve"> </w:t>
      </w:r>
      <w:r>
        <w:rPr>
          <w:sz w:val="24"/>
        </w:rPr>
        <w:t>of</w:t>
      </w:r>
      <w:r>
        <w:rPr>
          <w:spacing w:val="-4"/>
          <w:sz w:val="24"/>
        </w:rPr>
        <w:t xml:space="preserve"> </w:t>
      </w:r>
      <w:r>
        <w:rPr>
          <w:i/>
          <w:sz w:val="24"/>
        </w:rPr>
        <w:t>L.</w:t>
      </w:r>
      <w:r>
        <w:rPr>
          <w:i/>
          <w:spacing w:val="-4"/>
          <w:sz w:val="24"/>
        </w:rPr>
        <w:t xml:space="preserve"> </w:t>
      </w:r>
      <w:r>
        <w:rPr>
          <w:i/>
          <w:sz w:val="24"/>
        </w:rPr>
        <w:t>lactis</w:t>
      </w:r>
      <w:r>
        <w:rPr>
          <w:i/>
          <w:spacing w:val="-3"/>
          <w:sz w:val="24"/>
        </w:rPr>
        <w:t xml:space="preserve"> </w:t>
      </w:r>
      <w:r>
        <w:rPr>
          <w:sz w:val="24"/>
        </w:rPr>
        <w:t>(magnification</w:t>
      </w:r>
      <w:r>
        <w:rPr>
          <w:spacing w:val="-4"/>
          <w:sz w:val="24"/>
        </w:rPr>
        <w:t xml:space="preserve"> </w:t>
      </w:r>
      <w:r>
        <w:rPr>
          <w:sz w:val="24"/>
        </w:rPr>
        <w:t>1000x,</w:t>
      </w:r>
      <w:r>
        <w:rPr>
          <w:spacing w:val="-4"/>
          <w:sz w:val="24"/>
        </w:rPr>
        <w:t xml:space="preserve"> </w:t>
      </w:r>
      <w:r>
        <w:rPr>
          <w:sz w:val="24"/>
        </w:rPr>
        <w:t>scale</w:t>
      </w:r>
      <w:r>
        <w:rPr>
          <w:spacing w:val="-4"/>
          <w:sz w:val="24"/>
        </w:rPr>
        <w:t xml:space="preserve"> </w:t>
      </w:r>
      <w:r>
        <w:rPr>
          <w:sz w:val="24"/>
        </w:rPr>
        <w:t>bar:</w:t>
      </w:r>
      <w:r>
        <w:rPr>
          <w:spacing w:val="-4"/>
          <w:sz w:val="24"/>
        </w:rPr>
        <w:t xml:space="preserve"> </w:t>
      </w:r>
      <w:r>
        <w:rPr>
          <w:sz w:val="24"/>
        </w:rPr>
        <w:t>10</w:t>
      </w:r>
      <w:r>
        <w:rPr>
          <w:spacing w:val="-4"/>
          <w:sz w:val="24"/>
        </w:rPr>
        <w:t xml:space="preserve"> </w:t>
      </w:r>
      <w:proofErr w:type="spellStart"/>
      <w:r>
        <w:rPr>
          <w:sz w:val="24"/>
        </w:rPr>
        <w:t>μm</w:t>
      </w:r>
      <w:proofErr w:type="spellEnd"/>
      <w:r>
        <w:rPr>
          <w:sz w:val="24"/>
        </w:rPr>
        <w:t>)</w:t>
      </w:r>
      <w:r>
        <w:rPr>
          <w:spacing w:val="-4"/>
          <w:sz w:val="24"/>
        </w:rPr>
        <w:t xml:space="preserve"> </w:t>
      </w:r>
      <w:r>
        <w:rPr>
          <w:sz w:val="24"/>
        </w:rPr>
        <w:t xml:space="preserve">stained using Gram stain (B). Protein extracts of </w:t>
      </w:r>
      <w:r>
        <w:rPr>
          <w:i/>
          <w:sz w:val="24"/>
        </w:rPr>
        <w:t xml:space="preserve">L. lactis </w:t>
      </w:r>
      <w:r>
        <w:rPr>
          <w:sz w:val="24"/>
        </w:rPr>
        <w:t>NCDO2118 (wild-type strain) and NCDO</w:t>
      </w:r>
      <w:proofErr w:type="gramStart"/>
      <w:r>
        <w:rPr>
          <w:sz w:val="24"/>
        </w:rPr>
        <w:t>2118:pXIES</w:t>
      </w:r>
      <w:proofErr w:type="gramEnd"/>
      <w:r>
        <w:rPr>
          <w:sz w:val="24"/>
        </w:rPr>
        <w:t>:</w:t>
      </w:r>
      <w:proofErr w:type="gramStart"/>
      <w:r>
        <w:rPr>
          <w:sz w:val="24"/>
        </w:rPr>
        <w:t>SEC:hsp</w:t>
      </w:r>
      <w:proofErr w:type="gramEnd"/>
      <w:r>
        <w:rPr>
          <w:sz w:val="24"/>
        </w:rPr>
        <w:t>65 (secretory, recombinant) were prepared from the cell fraction (columns C) and supernatant (columns S) and analyzed by Western blot using anti-Hsp65 antibodies. (- empty channel).</w:t>
      </w:r>
    </w:p>
    <w:p w14:paraId="63349AE0" w14:textId="77777777" w:rsidR="0019612B" w:rsidRDefault="0019612B">
      <w:pPr>
        <w:spacing w:line="259" w:lineRule="auto"/>
        <w:jc w:val="both"/>
        <w:rPr>
          <w:sz w:val="24"/>
        </w:rPr>
        <w:sectPr w:rsidR="0019612B">
          <w:pgSz w:w="11910" w:h="16840"/>
          <w:pgMar w:top="1600" w:right="283" w:bottom="280" w:left="1700" w:header="720" w:footer="720" w:gutter="0"/>
          <w:cols w:space="720"/>
        </w:sectPr>
      </w:pPr>
    </w:p>
    <w:p w14:paraId="74266B99" w14:textId="5D79605F" w:rsidR="0019612B" w:rsidRDefault="00A64B4C" w:rsidP="00A64B4C">
      <w:pPr>
        <w:pStyle w:val="Corpodetexto"/>
        <w:ind w:left="104" w:hanging="530"/>
        <w:rPr>
          <w:sz w:val="20"/>
        </w:rPr>
      </w:pPr>
      <w:r>
        <w:rPr>
          <w:noProof/>
          <w:sz w:val="20"/>
        </w:rPr>
        <w:lastRenderedPageBreak/>
        <w:drawing>
          <wp:inline distT="0" distB="0" distL="0" distR="0" wp14:anchorId="1472F335" wp14:editId="09F32622">
            <wp:extent cx="6303645" cy="2573020"/>
            <wp:effectExtent l="0" t="0" r="1905" b="0"/>
            <wp:docPr id="2075525709" name="Imagem 1"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525709" name="Imagem 1" descr="Gráfico&#10;&#10;O conteúdo gerado por IA pode estar incorreto."/>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03645" cy="2573020"/>
                    </a:xfrm>
                    <a:prstGeom prst="rect">
                      <a:avLst/>
                    </a:prstGeom>
                  </pic:spPr>
                </pic:pic>
              </a:graphicData>
            </a:graphic>
          </wp:inline>
        </w:drawing>
      </w:r>
    </w:p>
    <w:p w14:paraId="00FABFD3" w14:textId="77777777" w:rsidR="0019612B" w:rsidRDefault="0019612B">
      <w:pPr>
        <w:pStyle w:val="Corpodetexto"/>
      </w:pPr>
    </w:p>
    <w:p w14:paraId="2E9DC337" w14:textId="77777777" w:rsidR="0019612B" w:rsidRDefault="0019612B">
      <w:pPr>
        <w:pStyle w:val="Corpodetexto"/>
        <w:spacing w:before="123"/>
      </w:pPr>
    </w:p>
    <w:p w14:paraId="4C7EF7C5" w14:textId="76FE6144" w:rsidR="00A64B4C" w:rsidRPr="00A64B4C" w:rsidRDefault="00A64B4C" w:rsidP="00A64B4C">
      <w:pPr>
        <w:spacing w:line="259" w:lineRule="auto"/>
        <w:jc w:val="both"/>
        <w:rPr>
          <w:sz w:val="24"/>
        </w:rPr>
      </w:pPr>
      <w:r w:rsidRPr="00A64B4C">
        <w:rPr>
          <w:b/>
          <w:bCs/>
          <w:sz w:val="24"/>
        </w:rPr>
        <w:t xml:space="preserve">Fig. S3. </w:t>
      </w:r>
      <w:r w:rsidRPr="00A64B4C">
        <w:rPr>
          <w:i/>
          <w:iCs/>
          <w:sz w:val="24"/>
        </w:rPr>
        <w:t>L. lactis</w:t>
      </w:r>
      <w:r w:rsidRPr="00A64B4C">
        <w:rPr>
          <w:b/>
          <w:bCs/>
          <w:sz w:val="24"/>
        </w:rPr>
        <w:t>-HSP65 does not affect cDC2 subset frequencies or TLR2 expression in cecum-associated mesenteric lymph nodes (</w:t>
      </w:r>
      <w:proofErr w:type="spellStart"/>
      <w:r w:rsidRPr="00A64B4C">
        <w:rPr>
          <w:b/>
          <w:bCs/>
          <w:sz w:val="24"/>
        </w:rPr>
        <w:t>cMLNs</w:t>
      </w:r>
      <w:proofErr w:type="spellEnd"/>
      <w:r w:rsidRPr="00A64B4C">
        <w:rPr>
          <w:b/>
          <w:bCs/>
          <w:sz w:val="24"/>
        </w:rPr>
        <w:t>) and</w:t>
      </w:r>
      <w:r w:rsidRPr="00A64B4C">
        <w:rPr>
          <w:b/>
          <w:bCs/>
          <w:sz w:val="24"/>
        </w:rPr>
        <w:t xml:space="preserve"> has no significant impact on Th1 cell frequencies in the pancreas during T1D</w:t>
      </w:r>
      <w:r>
        <w:rPr>
          <w:b/>
          <w:bCs/>
          <w:sz w:val="24"/>
        </w:rPr>
        <w:t xml:space="preserve">. </w:t>
      </w:r>
      <w:r w:rsidRPr="00A64B4C">
        <w:rPr>
          <w:sz w:val="24"/>
        </w:rPr>
        <w:t>Percentage (A) and absolute number (B) of SIRPα</w:t>
      </w:r>
      <w:r w:rsidRPr="00A64B4C">
        <w:rPr>
          <w:sz w:val="24"/>
          <w:vertAlign w:val="superscript"/>
        </w:rPr>
        <w:t>+</w:t>
      </w:r>
      <w:r w:rsidRPr="00A64B4C">
        <w:rPr>
          <w:sz w:val="24"/>
        </w:rPr>
        <w:t xml:space="preserve"> cDC2 in the </w:t>
      </w:r>
      <w:proofErr w:type="spellStart"/>
      <w:r w:rsidRPr="00A64B4C">
        <w:rPr>
          <w:sz w:val="24"/>
        </w:rPr>
        <w:t>cMLN</w:t>
      </w:r>
      <w:proofErr w:type="spellEnd"/>
      <w:r w:rsidRPr="00A64B4C">
        <w:rPr>
          <w:sz w:val="24"/>
        </w:rPr>
        <w:t xml:space="preserve"> evaluated by flow cytometry. Percentage (C) and absolute number (D) of TLR2</w:t>
      </w:r>
      <w:r w:rsidRPr="00A64B4C">
        <w:rPr>
          <w:sz w:val="24"/>
          <w:vertAlign w:val="superscript"/>
        </w:rPr>
        <w:t>+</w:t>
      </w:r>
      <w:r w:rsidRPr="00A64B4C">
        <w:rPr>
          <w:sz w:val="24"/>
        </w:rPr>
        <w:t xml:space="preserve"> cDC2 in the </w:t>
      </w:r>
      <w:proofErr w:type="spellStart"/>
      <w:r w:rsidRPr="00A64B4C">
        <w:rPr>
          <w:sz w:val="24"/>
        </w:rPr>
        <w:t>cMLN</w:t>
      </w:r>
      <w:proofErr w:type="spellEnd"/>
      <w:r w:rsidRPr="00A64B4C">
        <w:rPr>
          <w:sz w:val="24"/>
        </w:rPr>
        <w:t>. Percentage (E) and absolute number (F) of CD4</w:t>
      </w:r>
      <w:r w:rsidRPr="00A64B4C">
        <w:rPr>
          <w:sz w:val="24"/>
          <w:vertAlign w:val="superscript"/>
        </w:rPr>
        <w:t>+</w:t>
      </w:r>
      <w:r w:rsidRPr="00A64B4C">
        <w:rPr>
          <w:sz w:val="24"/>
        </w:rPr>
        <w:t xml:space="preserve"> T-bet</w:t>
      </w:r>
      <w:r w:rsidRPr="00A64B4C">
        <w:rPr>
          <w:sz w:val="24"/>
          <w:vertAlign w:val="superscript"/>
        </w:rPr>
        <w:t>+</w:t>
      </w:r>
      <w:r w:rsidRPr="00A64B4C">
        <w:rPr>
          <w:sz w:val="24"/>
        </w:rPr>
        <w:t xml:space="preserve"> (Th1 cells) in pancreas evaluated by cytometry. Data expressed as mean ± SEM representative of an experiment performed (n= 4-6 animals per group) and analyzed by One-way ANOVA and Tukey's post-test, being considered statistically different when p &lt; 0.05. * </w:t>
      </w:r>
      <w:proofErr w:type="gramStart"/>
      <w:r w:rsidRPr="00A64B4C">
        <w:rPr>
          <w:sz w:val="24"/>
        </w:rPr>
        <w:t>vs</w:t>
      </w:r>
      <w:proofErr w:type="gramEnd"/>
      <w:r w:rsidRPr="00A64B4C">
        <w:rPr>
          <w:sz w:val="24"/>
        </w:rPr>
        <w:t xml:space="preserve"> </w:t>
      </w:r>
      <w:proofErr w:type="gramStart"/>
      <w:r w:rsidRPr="00A64B4C">
        <w:rPr>
          <w:sz w:val="24"/>
        </w:rPr>
        <w:t>VH, #</w:t>
      </w:r>
      <w:proofErr w:type="gramEnd"/>
      <w:r w:rsidRPr="00A64B4C">
        <w:rPr>
          <w:sz w:val="24"/>
        </w:rPr>
        <w:t xml:space="preserve"> vs STZ+PBS, &amp; </w:t>
      </w:r>
      <w:r w:rsidRPr="00A64B4C">
        <w:rPr>
          <w:i/>
          <w:iCs/>
          <w:sz w:val="24"/>
        </w:rPr>
        <w:t>L. lactis</w:t>
      </w:r>
      <w:r w:rsidRPr="00A64B4C">
        <w:rPr>
          <w:sz w:val="24"/>
        </w:rPr>
        <w:t xml:space="preserve"> wild-type vs </w:t>
      </w:r>
      <w:r w:rsidRPr="00A64B4C">
        <w:rPr>
          <w:i/>
          <w:iCs/>
          <w:sz w:val="24"/>
        </w:rPr>
        <w:t>L. lactis</w:t>
      </w:r>
      <w:r w:rsidRPr="00A64B4C">
        <w:rPr>
          <w:sz w:val="24"/>
        </w:rPr>
        <w:t xml:space="preserve"> HSP65.</w:t>
      </w:r>
    </w:p>
    <w:p w14:paraId="22B5EFBB" w14:textId="77777777" w:rsidR="0019612B" w:rsidRDefault="0019612B">
      <w:pPr>
        <w:spacing w:line="259" w:lineRule="auto"/>
        <w:jc w:val="both"/>
        <w:rPr>
          <w:sz w:val="24"/>
        </w:rPr>
        <w:sectPr w:rsidR="0019612B" w:rsidSect="00A64B4C">
          <w:pgSz w:w="11910" w:h="16840"/>
          <w:pgMar w:top="1500" w:right="711" w:bottom="280" w:left="1700" w:header="720" w:footer="720" w:gutter="0"/>
          <w:cols w:space="720"/>
        </w:sectPr>
      </w:pPr>
    </w:p>
    <w:p w14:paraId="38BAAFA0" w14:textId="77777777" w:rsidR="0019612B" w:rsidRDefault="00000000">
      <w:pPr>
        <w:pStyle w:val="Corpodetexto"/>
        <w:ind w:left="1124"/>
        <w:rPr>
          <w:sz w:val="20"/>
        </w:rPr>
      </w:pPr>
      <w:r>
        <w:rPr>
          <w:noProof/>
          <w:sz w:val="20"/>
        </w:rPr>
        <w:lastRenderedPageBreak/>
        <w:drawing>
          <wp:inline distT="0" distB="0" distL="0" distR="0" wp14:anchorId="31D32216" wp14:editId="0BCF6EC0">
            <wp:extent cx="4504314" cy="535543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504314" cy="5355431"/>
                    </a:xfrm>
                    <a:prstGeom prst="rect">
                      <a:avLst/>
                    </a:prstGeom>
                  </pic:spPr>
                </pic:pic>
              </a:graphicData>
            </a:graphic>
          </wp:inline>
        </w:drawing>
      </w:r>
    </w:p>
    <w:p w14:paraId="6CF06D08" w14:textId="77777777" w:rsidR="0019612B" w:rsidRDefault="0019612B">
      <w:pPr>
        <w:pStyle w:val="Corpodetexto"/>
        <w:spacing w:before="26"/>
      </w:pPr>
    </w:p>
    <w:p w14:paraId="5E93B8ED" w14:textId="74D42E50" w:rsidR="0019612B" w:rsidRDefault="00000000">
      <w:pPr>
        <w:pStyle w:val="Corpodetexto"/>
        <w:spacing w:line="259" w:lineRule="auto"/>
        <w:ind w:left="2" w:right="849"/>
        <w:jc w:val="both"/>
      </w:pPr>
      <w:r>
        <w:rPr>
          <w:b/>
        </w:rPr>
        <w:t xml:space="preserve">Fig. S4 </w:t>
      </w:r>
      <w:r>
        <w:rPr>
          <w:i/>
        </w:rPr>
        <w:t>L. lactis</w:t>
      </w:r>
      <w:r>
        <w:rPr>
          <w:b/>
        </w:rPr>
        <w:t xml:space="preserve">-HSP65 does not alter cDC1 in </w:t>
      </w:r>
      <w:r w:rsidR="00335D86" w:rsidRPr="00335D86">
        <w:rPr>
          <w:b/>
          <w:bCs/>
        </w:rPr>
        <w:t>cecum-associated mesenteric lymph node (</w:t>
      </w:r>
      <w:proofErr w:type="spellStart"/>
      <w:r w:rsidR="00335D86" w:rsidRPr="00335D86">
        <w:rPr>
          <w:b/>
          <w:bCs/>
        </w:rPr>
        <w:t>cMLN</w:t>
      </w:r>
      <w:proofErr w:type="spellEnd"/>
      <w:r w:rsidR="00335D86" w:rsidRPr="00335D86">
        <w:rPr>
          <w:b/>
          <w:bCs/>
        </w:rPr>
        <w:t>)</w:t>
      </w:r>
      <w:r w:rsidR="00335D86">
        <w:rPr>
          <w:b/>
          <w:bCs/>
        </w:rPr>
        <w:t xml:space="preserve"> </w:t>
      </w:r>
      <w:r>
        <w:rPr>
          <w:b/>
        </w:rPr>
        <w:t>but increases Tregs</w:t>
      </w:r>
      <w:r>
        <w:rPr>
          <w:b/>
          <w:spacing w:val="-8"/>
        </w:rPr>
        <w:t xml:space="preserve"> </w:t>
      </w:r>
      <w:r>
        <w:rPr>
          <w:b/>
        </w:rPr>
        <w:t>in</w:t>
      </w:r>
      <w:r>
        <w:rPr>
          <w:b/>
          <w:spacing w:val="-7"/>
        </w:rPr>
        <w:t xml:space="preserve"> </w:t>
      </w:r>
      <w:r>
        <w:rPr>
          <w:b/>
        </w:rPr>
        <w:t>pancreatic</w:t>
      </w:r>
      <w:r>
        <w:rPr>
          <w:b/>
          <w:spacing w:val="-9"/>
        </w:rPr>
        <w:t xml:space="preserve"> </w:t>
      </w:r>
      <w:r>
        <w:rPr>
          <w:b/>
        </w:rPr>
        <w:t>lymph</w:t>
      </w:r>
      <w:r>
        <w:rPr>
          <w:b/>
          <w:spacing w:val="-10"/>
        </w:rPr>
        <w:t xml:space="preserve"> </w:t>
      </w:r>
      <w:r>
        <w:rPr>
          <w:b/>
        </w:rPr>
        <w:t>nodes</w:t>
      </w:r>
      <w:r>
        <w:rPr>
          <w:b/>
          <w:spacing w:val="-8"/>
        </w:rPr>
        <w:t xml:space="preserve"> </w:t>
      </w:r>
      <w:r>
        <w:rPr>
          <w:b/>
        </w:rPr>
        <w:t>(PLN)</w:t>
      </w:r>
      <w:r>
        <w:rPr>
          <w:b/>
          <w:spacing w:val="-9"/>
        </w:rPr>
        <w:t xml:space="preserve"> </w:t>
      </w:r>
      <w:r>
        <w:rPr>
          <w:b/>
        </w:rPr>
        <w:t>of</w:t>
      </w:r>
      <w:r>
        <w:rPr>
          <w:b/>
          <w:spacing w:val="-9"/>
        </w:rPr>
        <w:t xml:space="preserve"> </w:t>
      </w:r>
      <w:r>
        <w:rPr>
          <w:b/>
        </w:rPr>
        <w:t>NOD</w:t>
      </w:r>
      <w:r>
        <w:rPr>
          <w:b/>
          <w:spacing w:val="-11"/>
        </w:rPr>
        <w:t xml:space="preserve"> </w:t>
      </w:r>
      <w:r>
        <w:rPr>
          <w:b/>
        </w:rPr>
        <w:t>mice.</w:t>
      </w:r>
      <w:r>
        <w:rPr>
          <w:b/>
          <w:spacing w:val="-6"/>
        </w:rPr>
        <w:t xml:space="preserve"> </w:t>
      </w:r>
      <w:r>
        <w:t>Contour</w:t>
      </w:r>
      <w:r>
        <w:rPr>
          <w:spacing w:val="-11"/>
        </w:rPr>
        <w:t xml:space="preserve"> </w:t>
      </w:r>
      <w:r>
        <w:t>plots</w:t>
      </w:r>
      <w:r>
        <w:rPr>
          <w:spacing w:val="-8"/>
        </w:rPr>
        <w:t xml:space="preserve"> </w:t>
      </w:r>
      <w:r>
        <w:t>representing</w:t>
      </w:r>
      <w:r>
        <w:rPr>
          <w:spacing w:val="-8"/>
        </w:rPr>
        <w:t xml:space="preserve"> </w:t>
      </w:r>
      <w:r>
        <w:t>cDC1</w:t>
      </w:r>
      <w:r>
        <w:rPr>
          <w:spacing w:val="-8"/>
        </w:rPr>
        <w:t xml:space="preserve"> </w:t>
      </w:r>
      <w:r>
        <w:t xml:space="preserve">and cDC2 populations in </w:t>
      </w:r>
      <w:proofErr w:type="spellStart"/>
      <w:r w:rsidR="00335D86">
        <w:t>cMLN</w:t>
      </w:r>
      <w:proofErr w:type="spellEnd"/>
      <w:r>
        <w:t xml:space="preserve"> assessed by flow cytometry (A). Percentage of cDC1 in </w:t>
      </w:r>
      <w:proofErr w:type="spellStart"/>
      <w:r w:rsidR="00335D86">
        <w:t>cMLN</w:t>
      </w:r>
      <w:proofErr w:type="spellEnd"/>
      <w:r>
        <w:t xml:space="preserve"> (B). The absolute number of cDC1 in </w:t>
      </w:r>
      <w:proofErr w:type="spellStart"/>
      <w:r w:rsidR="00335D86">
        <w:t>cMLN</w:t>
      </w:r>
      <w:proofErr w:type="spellEnd"/>
      <w:r>
        <w:t xml:space="preserve"> (C). Percentage of cDC2 in </w:t>
      </w:r>
      <w:proofErr w:type="spellStart"/>
      <w:r w:rsidR="00335D86">
        <w:t>cMLN</w:t>
      </w:r>
      <w:proofErr w:type="spellEnd"/>
      <w:r>
        <w:t xml:space="preserve"> (D). The absolute number of cDC2 in </w:t>
      </w:r>
      <w:proofErr w:type="spellStart"/>
      <w:r w:rsidR="00335D86">
        <w:t>cMLN</w:t>
      </w:r>
      <w:proofErr w:type="spellEnd"/>
      <w:r>
        <w:t xml:space="preserve"> (E). Contour plots representing the percentage of Treg in </w:t>
      </w:r>
      <w:proofErr w:type="spellStart"/>
      <w:r>
        <w:t>P</w:t>
      </w:r>
      <w:r w:rsidR="00335D86">
        <w:t>a</w:t>
      </w:r>
      <w:r>
        <w:t>LN</w:t>
      </w:r>
      <w:proofErr w:type="spellEnd"/>
      <w:r>
        <w:t xml:space="preserve"> assessed</w:t>
      </w:r>
      <w:r>
        <w:rPr>
          <w:spacing w:val="-12"/>
        </w:rPr>
        <w:t xml:space="preserve"> </w:t>
      </w:r>
      <w:r>
        <w:t>by</w:t>
      </w:r>
      <w:r>
        <w:rPr>
          <w:spacing w:val="-10"/>
        </w:rPr>
        <w:t xml:space="preserve"> </w:t>
      </w:r>
      <w:r>
        <w:t>flow</w:t>
      </w:r>
      <w:r>
        <w:rPr>
          <w:spacing w:val="-12"/>
        </w:rPr>
        <w:t xml:space="preserve"> </w:t>
      </w:r>
      <w:r>
        <w:t>cytometry</w:t>
      </w:r>
      <w:r>
        <w:rPr>
          <w:spacing w:val="-13"/>
        </w:rPr>
        <w:t xml:space="preserve"> </w:t>
      </w:r>
      <w:r>
        <w:t>(F).</w:t>
      </w:r>
      <w:r>
        <w:rPr>
          <w:spacing w:val="-12"/>
        </w:rPr>
        <w:t xml:space="preserve"> </w:t>
      </w:r>
      <w:r>
        <w:t>Percentage</w:t>
      </w:r>
      <w:r>
        <w:rPr>
          <w:spacing w:val="-13"/>
        </w:rPr>
        <w:t xml:space="preserve"> </w:t>
      </w:r>
      <w:r>
        <w:t>of</w:t>
      </w:r>
      <w:r>
        <w:rPr>
          <w:spacing w:val="-11"/>
        </w:rPr>
        <w:t xml:space="preserve"> </w:t>
      </w:r>
      <w:r>
        <w:t>Tregs</w:t>
      </w:r>
      <w:r>
        <w:rPr>
          <w:spacing w:val="-12"/>
        </w:rPr>
        <w:t xml:space="preserve"> </w:t>
      </w:r>
      <w:r>
        <w:t>in</w:t>
      </w:r>
      <w:r>
        <w:rPr>
          <w:spacing w:val="-12"/>
        </w:rPr>
        <w:t xml:space="preserve"> </w:t>
      </w:r>
      <w:proofErr w:type="spellStart"/>
      <w:r>
        <w:t>P</w:t>
      </w:r>
      <w:r w:rsidR="00335D86">
        <w:t>a</w:t>
      </w:r>
      <w:r>
        <w:t>LN</w:t>
      </w:r>
      <w:proofErr w:type="spellEnd"/>
      <w:r>
        <w:rPr>
          <w:spacing w:val="-12"/>
        </w:rPr>
        <w:t xml:space="preserve"> </w:t>
      </w:r>
      <w:r>
        <w:t>(G).</w:t>
      </w:r>
      <w:r>
        <w:rPr>
          <w:spacing w:val="-11"/>
        </w:rPr>
        <w:t xml:space="preserve"> </w:t>
      </w:r>
      <w:r>
        <w:t>The</w:t>
      </w:r>
      <w:r>
        <w:rPr>
          <w:spacing w:val="-11"/>
        </w:rPr>
        <w:t xml:space="preserve"> </w:t>
      </w:r>
      <w:r>
        <w:t>absolute</w:t>
      </w:r>
      <w:r>
        <w:rPr>
          <w:spacing w:val="-12"/>
        </w:rPr>
        <w:t xml:space="preserve"> </w:t>
      </w:r>
      <w:r>
        <w:t>number</w:t>
      </w:r>
      <w:r>
        <w:rPr>
          <w:spacing w:val="-13"/>
        </w:rPr>
        <w:t xml:space="preserve"> </w:t>
      </w:r>
      <w:r>
        <w:t>of</w:t>
      </w:r>
      <w:r>
        <w:rPr>
          <w:spacing w:val="-12"/>
        </w:rPr>
        <w:t xml:space="preserve"> </w:t>
      </w:r>
      <w:r>
        <w:t xml:space="preserve">Tregs in </w:t>
      </w:r>
      <w:proofErr w:type="spellStart"/>
      <w:r>
        <w:t>P</w:t>
      </w:r>
      <w:r w:rsidR="00335D86">
        <w:t>a</w:t>
      </w:r>
      <w:r>
        <w:t>LN</w:t>
      </w:r>
      <w:proofErr w:type="spellEnd"/>
      <w:r>
        <w:t xml:space="preserve"> (H). Mean fluorescence intensity (MFI) of PD-1 on Tregs in </w:t>
      </w:r>
      <w:proofErr w:type="spellStart"/>
      <w:r>
        <w:t>P</w:t>
      </w:r>
      <w:r w:rsidR="00335D86">
        <w:t>a</w:t>
      </w:r>
      <w:r>
        <w:t>LN</w:t>
      </w:r>
      <w:proofErr w:type="spellEnd"/>
      <w:r>
        <w:t xml:space="preserve"> (I). Data expressed as mean ± SEM representative of an experiment performed (n= 4-6 animals per group) and analyzed by One-way ANOVA and Tukey's post-test, being considered statistically different when p &lt; 0.05. * </w:t>
      </w:r>
      <w:proofErr w:type="gramStart"/>
      <w:r>
        <w:t>vs</w:t>
      </w:r>
      <w:proofErr w:type="gramEnd"/>
      <w:r>
        <w:t xml:space="preserve"> </w:t>
      </w:r>
      <w:proofErr w:type="gramStart"/>
      <w:r>
        <w:t>NOR, #</w:t>
      </w:r>
      <w:proofErr w:type="gramEnd"/>
      <w:r>
        <w:t xml:space="preserve"> vs NOD+ PBS.</w:t>
      </w:r>
    </w:p>
    <w:p w14:paraId="642A4106" w14:textId="77777777" w:rsidR="0019612B" w:rsidRDefault="0019612B">
      <w:pPr>
        <w:pStyle w:val="Corpodetexto"/>
        <w:spacing w:line="259" w:lineRule="auto"/>
        <w:jc w:val="both"/>
        <w:sectPr w:rsidR="0019612B">
          <w:pgSz w:w="11910" w:h="16840"/>
          <w:pgMar w:top="1820" w:right="283" w:bottom="280" w:left="1700" w:header="720" w:footer="720" w:gutter="0"/>
          <w:cols w:space="720"/>
        </w:sectPr>
      </w:pPr>
    </w:p>
    <w:p w14:paraId="440D76B8" w14:textId="77777777" w:rsidR="0019612B" w:rsidRDefault="0019612B">
      <w:pPr>
        <w:pStyle w:val="Corpodetexto"/>
        <w:rPr>
          <w:sz w:val="20"/>
        </w:rPr>
      </w:pPr>
    </w:p>
    <w:p w14:paraId="53904E21" w14:textId="77777777" w:rsidR="0019612B" w:rsidRDefault="0019612B">
      <w:pPr>
        <w:pStyle w:val="Corpodetexto"/>
        <w:spacing w:before="228"/>
        <w:rPr>
          <w:sz w:val="20"/>
        </w:rPr>
      </w:pPr>
    </w:p>
    <w:p w14:paraId="6212274C" w14:textId="77777777" w:rsidR="0019612B" w:rsidRDefault="00000000">
      <w:pPr>
        <w:pStyle w:val="Corpodetexto"/>
        <w:ind w:left="158"/>
        <w:rPr>
          <w:sz w:val="20"/>
        </w:rPr>
      </w:pPr>
      <w:r>
        <w:rPr>
          <w:noProof/>
          <w:sz w:val="20"/>
        </w:rPr>
        <w:drawing>
          <wp:inline distT="0" distB="0" distL="0" distR="0" wp14:anchorId="2FD87D8A" wp14:editId="1F54DD0B">
            <wp:extent cx="5605154" cy="1521332"/>
            <wp:effectExtent l="0" t="0" r="0" b="0"/>
            <wp:docPr id="5" name="Image 5" descr="Gráfico, Gráfico de caixa estreita  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Gráfico, Gráfico de caixa estreita  O conteúdo gerado por IA pode estar incorreto."/>
                    <pic:cNvPicPr/>
                  </pic:nvPicPr>
                  <pic:blipFill>
                    <a:blip r:embed="rId8" cstate="print"/>
                    <a:stretch>
                      <a:fillRect/>
                    </a:stretch>
                  </pic:blipFill>
                  <pic:spPr>
                    <a:xfrm>
                      <a:off x="0" y="0"/>
                      <a:ext cx="5605154" cy="1521332"/>
                    </a:xfrm>
                    <a:prstGeom prst="rect">
                      <a:avLst/>
                    </a:prstGeom>
                  </pic:spPr>
                </pic:pic>
              </a:graphicData>
            </a:graphic>
          </wp:inline>
        </w:drawing>
      </w:r>
    </w:p>
    <w:p w14:paraId="6D7A6A3F" w14:textId="77777777" w:rsidR="0019612B" w:rsidRDefault="0019612B">
      <w:pPr>
        <w:pStyle w:val="Corpodetexto"/>
      </w:pPr>
    </w:p>
    <w:p w14:paraId="0C4AD259" w14:textId="77777777" w:rsidR="0019612B" w:rsidRDefault="0019612B">
      <w:pPr>
        <w:pStyle w:val="Corpodetexto"/>
        <w:spacing w:before="254"/>
      </w:pPr>
    </w:p>
    <w:p w14:paraId="2D7463B2" w14:textId="77777777" w:rsidR="0019612B" w:rsidRDefault="00000000">
      <w:pPr>
        <w:pStyle w:val="Corpodetexto"/>
        <w:spacing w:line="259" w:lineRule="auto"/>
        <w:ind w:left="2" w:right="842"/>
        <w:jc w:val="both"/>
        <w:rPr>
          <w:b/>
        </w:rPr>
      </w:pPr>
      <w:r>
        <w:rPr>
          <w:b/>
        </w:rPr>
        <w:t xml:space="preserve">Fig. S5. TLR2 deficiency does not affect the development of STZ-induced T1D or the expression of </w:t>
      </w:r>
      <w:r>
        <w:rPr>
          <w:i/>
        </w:rPr>
        <w:t xml:space="preserve">Irf4 </w:t>
      </w:r>
      <w:r>
        <w:rPr>
          <w:b/>
        </w:rPr>
        <w:t xml:space="preserve">in BMDCs. </w:t>
      </w:r>
      <w:r>
        <w:t>Time course of fasting blood glucose levels in WT and TLR2- deficient mice during STZ induction of T1D (A).</w:t>
      </w:r>
      <w:r>
        <w:rPr>
          <w:spacing w:val="-1"/>
        </w:rPr>
        <w:t xml:space="preserve"> </w:t>
      </w:r>
      <w:r>
        <w:t xml:space="preserve">Fasting blood glucose levels on day 15 after STZ administration (B). Relative expression of </w:t>
      </w:r>
      <w:r>
        <w:rPr>
          <w:i/>
        </w:rPr>
        <w:t xml:space="preserve">Irf4 </w:t>
      </w:r>
      <w:r>
        <w:t>(C) in BMDCs from WT or Tlr2</w:t>
      </w:r>
      <w:r>
        <w:rPr>
          <w:vertAlign w:val="superscript"/>
        </w:rPr>
        <w:t>-/-</w:t>
      </w:r>
      <w:r>
        <w:t xml:space="preserve"> mice stimulated with rHSP65 or medium (12 μg.ml</w:t>
      </w:r>
      <w:r>
        <w:rPr>
          <w:vertAlign w:val="superscript"/>
        </w:rPr>
        <w:t>-1</w:t>
      </w:r>
      <w:r>
        <w:t xml:space="preserve">) for 24 h, evaluated by </w:t>
      </w:r>
      <w:proofErr w:type="spellStart"/>
      <w:r>
        <w:t>qRT</w:t>
      </w:r>
      <w:proofErr w:type="spellEnd"/>
      <w:r>
        <w:t>-PCR. Data are expressed</w:t>
      </w:r>
      <w:r>
        <w:rPr>
          <w:spacing w:val="-11"/>
        </w:rPr>
        <w:t xml:space="preserve"> </w:t>
      </w:r>
      <w:r>
        <w:t>as</w:t>
      </w:r>
      <w:r>
        <w:rPr>
          <w:spacing w:val="-10"/>
        </w:rPr>
        <w:t xml:space="preserve"> </w:t>
      </w:r>
      <w:r>
        <w:t>mean</w:t>
      </w:r>
      <w:r>
        <w:rPr>
          <w:spacing w:val="-11"/>
        </w:rPr>
        <w:t xml:space="preserve"> </w:t>
      </w:r>
      <w:r>
        <w:t>±</w:t>
      </w:r>
      <w:r>
        <w:rPr>
          <w:spacing w:val="-10"/>
        </w:rPr>
        <w:t xml:space="preserve"> </w:t>
      </w:r>
      <w:r>
        <w:t>SEM</w:t>
      </w:r>
      <w:r>
        <w:rPr>
          <w:spacing w:val="-10"/>
        </w:rPr>
        <w:t xml:space="preserve"> </w:t>
      </w:r>
      <w:r>
        <w:t>and</w:t>
      </w:r>
      <w:r>
        <w:rPr>
          <w:spacing w:val="-11"/>
        </w:rPr>
        <w:t xml:space="preserve"> </w:t>
      </w:r>
      <w:r>
        <w:t>are</w:t>
      </w:r>
      <w:r>
        <w:rPr>
          <w:spacing w:val="-12"/>
        </w:rPr>
        <w:t xml:space="preserve"> </w:t>
      </w:r>
      <w:r>
        <w:t>representative</w:t>
      </w:r>
      <w:r>
        <w:rPr>
          <w:spacing w:val="-9"/>
        </w:rPr>
        <w:t xml:space="preserve"> </w:t>
      </w:r>
      <w:r>
        <w:t>of</w:t>
      </w:r>
      <w:r>
        <w:rPr>
          <w:spacing w:val="-11"/>
        </w:rPr>
        <w:t xml:space="preserve"> </w:t>
      </w:r>
      <w:r>
        <w:t>one</w:t>
      </w:r>
      <w:r>
        <w:rPr>
          <w:spacing w:val="-12"/>
        </w:rPr>
        <w:t xml:space="preserve"> </w:t>
      </w:r>
      <w:r>
        <w:t>experiment</w:t>
      </w:r>
      <w:r>
        <w:rPr>
          <w:spacing w:val="-10"/>
        </w:rPr>
        <w:t xml:space="preserve"> </w:t>
      </w:r>
      <w:r>
        <w:t>(n=</w:t>
      </w:r>
      <w:r>
        <w:rPr>
          <w:spacing w:val="-12"/>
        </w:rPr>
        <w:t xml:space="preserve"> </w:t>
      </w:r>
      <w:r>
        <w:t>5–6</w:t>
      </w:r>
      <w:r>
        <w:rPr>
          <w:spacing w:val="-11"/>
        </w:rPr>
        <w:t xml:space="preserve"> </w:t>
      </w:r>
      <w:r>
        <w:t>animals</w:t>
      </w:r>
      <w:r>
        <w:rPr>
          <w:spacing w:val="-10"/>
        </w:rPr>
        <w:t xml:space="preserve"> </w:t>
      </w:r>
      <w:r>
        <w:t>per</w:t>
      </w:r>
      <w:r>
        <w:rPr>
          <w:spacing w:val="-11"/>
        </w:rPr>
        <w:t xml:space="preserve"> </w:t>
      </w:r>
      <w:r>
        <w:t xml:space="preserve">group) and analyzed by one-way ANOVA and Tukey's post-test. Data were considered statistically significant when p &lt; 0.05. * </w:t>
      </w:r>
      <w:proofErr w:type="gramStart"/>
      <w:r>
        <w:t>vs</w:t>
      </w:r>
      <w:proofErr w:type="gramEnd"/>
      <w:r>
        <w:t xml:space="preserve"> WT STZ</w:t>
      </w:r>
      <w:r>
        <w:rPr>
          <w:b/>
        </w:rPr>
        <w:t>.</w:t>
      </w:r>
    </w:p>
    <w:p w14:paraId="0B40DFA8" w14:textId="77777777" w:rsidR="00920720" w:rsidRDefault="00920720">
      <w:pPr>
        <w:pStyle w:val="Corpodetexto"/>
        <w:spacing w:line="259" w:lineRule="auto"/>
        <w:ind w:left="2" w:right="842"/>
        <w:jc w:val="both"/>
        <w:rPr>
          <w:b/>
        </w:rPr>
      </w:pPr>
    </w:p>
    <w:p w14:paraId="77834575" w14:textId="77777777" w:rsidR="00D04AF2" w:rsidRDefault="00D04AF2">
      <w:pPr>
        <w:pStyle w:val="Corpodetexto"/>
        <w:spacing w:line="259" w:lineRule="auto"/>
        <w:ind w:left="2" w:right="842"/>
        <w:jc w:val="both"/>
        <w:rPr>
          <w:b/>
        </w:rPr>
      </w:pPr>
    </w:p>
    <w:p w14:paraId="3923BE7C" w14:textId="77777777" w:rsidR="00D04AF2" w:rsidRDefault="00D04AF2">
      <w:pPr>
        <w:pStyle w:val="Corpodetexto"/>
        <w:spacing w:line="259" w:lineRule="auto"/>
        <w:ind w:left="2" w:right="842"/>
        <w:jc w:val="both"/>
        <w:rPr>
          <w:b/>
        </w:rPr>
      </w:pPr>
    </w:p>
    <w:p w14:paraId="1F72919A" w14:textId="77777777" w:rsidR="00D04AF2" w:rsidRDefault="00D04AF2">
      <w:pPr>
        <w:pStyle w:val="Corpodetexto"/>
        <w:spacing w:line="259" w:lineRule="auto"/>
        <w:ind w:left="2" w:right="842"/>
        <w:jc w:val="both"/>
        <w:rPr>
          <w:b/>
        </w:rPr>
      </w:pPr>
    </w:p>
    <w:p w14:paraId="3FC33593" w14:textId="77777777" w:rsidR="00D04AF2" w:rsidRDefault="00D04AF2">
      <w:pPr>
        <w:pStyle w:val="Corpodetexto"/>
        <w:spacing w:line="259" w:lineRule="auto"/>
        <w:ind w:left="2" w:right="842"/>
        <w:jc w:val="both"/>
        <w:rPr>
          <w:b/>
        </w:rPr>
      </w:pPr>
    </w:p>
    <w:p w14:paraId="5BAA8BEC" w14:textId="77777777" w:rsidR="00D04AF2" w:rsidRDefault="00D04AF2">
      <w:pPr>
        <w:pStyle w:val="Corpodetexto"/>
        <w:spacing w:line="259" w:lineRule="auto"/>
        <w:ind w:left="2" w:right="842"/>
        <w:jc w:val="both"/>
        <w:rPr>
          <w:b/>
        </w:rPr>
      </w:pPr>
    </w:p>
    <w:p w14:paraId="323EE934" w14:textId="3AEC64D4" w:rsidR="00920720" w:rsidRDefault="00920720">
      <w:pPr>
        <w:pStyle w:val="Corpodetexto"/>
        <w:spacing w:line="259" w:lineRule="auto"/>
        <w:ind w:left="2" w:right="842"/>
        <w:jc w:val="both"/>
        <w:rPr>
          <w:b/>
        </w:rPr>
      </w:pPr>
      <w:r>
        <w:rPr>
          <w:b/>
          <w:noProof/>
        </w:rPr>
        <w:drawing>
          <wp:inline distT="0" distB="0" distL="0" distR="0" wp14:anchorId="19E4DBB4" wp14:editId="4BD0F19A">
            <wp:extent cx="5932065" cy="2280920"/>
            <wp:effectExtent l="0" t="0" r="0" b="5080"/>
            <wp:docPr id="824207250" name="Imagem 1" descr="Uma imagem contendo 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207250" name="Imagem 1" descr="Uma imagem contendo Gráfico&#10;&#10;O conteúdo gerado por IA pode estar incorre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34822" cy="2281980"/>
                    </a:xfrm>
                    <a:prstGeom prst="rect">
                      <a:avLst/>
                    </a:prstGeom>
                  </pic:spPr>
                </pic:pic>
              </a:graphicData>
            </a:graphic>
          </wp:inline>
        </w:drawing>
      </w:r>
    </w:p>
    <w:p w14:paraId="47B361D5" w14:textId="796F6503" w:rsidR="00920720" w:rsidRPr="00920720" w:rsidRDefault="00920720" w:rsidP="00920720">
      <w:pPr>
        <w:pStyle w:val="Corpodetexto"/>
        <w:ind w:left="2" w:right="842"/>
        <w:jc w:val="both"/>
      </w:pPr>
      <w:r w:rsidRPr="00920720">
        <w:rPr>
          <w:b/>
          <w:bCs/>
        </w:rPr>
        <w:t xml:space="preserve">Figure S6. Cell viability </w:t>
      </w:r>
      <w:proofErr w:type="gramStart"/>
      <w:r w:rsidRPr="00920720">
        <w:rPr>
          <w:b/>
          <w:bCs/>
        </w:rPr>
        <w:t>assessed</w:t>
      </w:r>
      <w:proofErr w:type="gramEnd"/>
      <w:r w:rsidRPr="00920720">
        <w:rPr>
          <w:b/>
          <w:bCs/>
        </w:rPr>
        <w:t xml:space="preserve"> by flow cytometry.</w:t>
      </w:r>
      <w:r w:rsidRPr="00920720">
        <w:t xml:space="preserve"> Viability of BMDCs from </w:t>
      </w:r>
      <w:r w:rsidR="00BB3957" w:rsidRPr="00920720">
        <w:t>WT</w:t>
      </w:r>
      <w:r w:rsidR="00BB3957">
        <w:t xml:space="preserve"> or</w:t>
      </w:r>
      <w:r w:rsidR="00BB3957" w:rsidRPr="00920720">
        <w:t xml:space="preserve"> Tlr2</w:t>
      </w:r>
      <w:r w:rsidR="00BB3957" w:rsidRPr="00920720">
        <w:rPr>
          <w:vertAlign w:val="superscript"/>
        </w:rPr>
        <w:t>⁻/⁻</w:t>
      </w:r>
      <w:r w:rsidR="00BB3957">
        <w:t xml:space="preserve"> mice</w:t>
      </w:r>
      <w:r w:rsidR="00BB3957" w:rsidRPr="00920720">
        <w:t xml:space="preserve"> </w:t>
      </w:r>
      <w:r w:rsidRPr="00920720">
        <w:t xml:space="preserve">following stimulation with </w:t>
      </w:r>
      <w:r w:rsidR="00882421">
        <w:t>different</w:t>
      </w:r>
      <w:r w:rsidRPr="00920720">
        <w:t xml:space="preserve"> conditions (A). Viability of Tregs generated in co-culture assays with CD103⁺ BMDCs from WT, Tlr2⁻/⁻, or Il10⁻/⁻ mice stimulated with rHSP</w:t>
      </w:r>
      <w:proofErr w:type="gramStart"/>
      <w:r w:rsidRPr="00920720">
        <w:t>65.(</w:t>
      </w:r>
      <w:proofErr w:type="gramEnd"/>
      <w:r w:rsidRPr="00920720">
        <w:t>B</w:t>
      </w:r>
      <w:proofErr w:type="gramStart"/>
      <w:r w:rsidRPr="00920720">
        <w:t>) .</w:t>
      </w:r>
      <w:proofErr w:type="gramEnd"/>
      <w:r w:rsidRPr="00920720">
        <w:t xml:space="preserve"> Data are expressed as mean ± SEM and are representative of two independent experiments (n = 3–6 wells per condition). Statistical analysis was performed using one-way ANOVA followed by Tukey’s post-test. </w:t>
      </w:r>
      <w:r w:rsidRPr="00920720">
        <w:rPr>
          <w:i/>
          <w:iCs/>
        </w:rPr>
        <w:t>p</w:t>
      </w:r>
      <w:r w:rsidRPr="00920720">
        <w:t xml:space="preserve"> &lt; 0.05 was considered significant.</w:t>
      </w:r>
    </w:p>
    <w:p w14:paraId="4C35E68A" w14:textId="77777777" w:rsidR="00920720" w:rsidRDefault="00920720">
      <w:pPr>
        <w:pStyle w:val="Corpodetexto"/>
        <w:spacing w:line="259" w:lineRule="auto"/>
        <w:ind w:left="2" w:right="842"/>
        <w:jc w:val="both"/>
        <w:rPr>
          <w:b/>
        </w:rPr>
      </w:pPr>
    </w:p>
    <w:sectPr w:rsidR="00920720">
      <w:pgSz w:w="11910" w:h="16840"/>
      <w:pgMar w:top="1920" w:right="283"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9612B"/>
    <w:rsid w:val="0019612B"/>
    <w:rsid w:val="00335D86"/>
    <w:rsid w:val="00760E97"/>
    <w:rsid w:val="00882421"/>
    <w:rsid w:val="00920720"/>
    <w:rsid w:val="00A64B4C"/>
    <w:rsid w:val="00BB3957"/>
    <w:rsid w:val="00D04AF2"/>
    <w:rsid w:val="00E442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170D4"/>
  <w15:docId w15:val="{7F5AC656-6886-46A9-9C22-874E5804E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Ttulo">
    <w:name w:val="Title"/>
    <w:basedOn w:val="Normal"/>
    <w:uiPriority w:val="10"/>
    <w:qFormat/>
    <w:pPr>
      <w:ind w:right="853"/>
      <w:jc w:val="center"/>
    </w:pPr>
    <w:rPr>
      <w:b/>
      <w:bCs/>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760838">
      <w:bodyDiv w:val="1"/>
      <w:marLeft w:val="0"/>
      <w:marRight w:val="0"/>
      <w:marTop w:val="0"/>
      <w:marBottom w:val="0"/>
      <w:divBdr>
        <w:top w:val="none" w:sz="0" w:space="0" w:color="auto"/>
        <w:left w:val="none" w:sz="0" w:space="0" w:color="auto"/>
        <w:bottom w:val="none" w:sz="0" w:space="0" w:color="auto"/>
        <w:right w:val="none" w:sz="0" w:space="0" w:color="auto"/>
      </w:divBdr>
    </w:div>
    <w:div w:id="19846926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668</Words>
  <Characters>3610</Characters>
  <Application>Microsoft Office Word</Application>
  <DocSecurity>0</DocSecurity>
  <Lines>30</Lines>
  <Paragraphs>8</Paragraphs>
  <ScaleCrop>false</ScaleCrop>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Jefferson Elias</dc:creator>
  <cp:lastModifiedBy>Jefferson Elias Oliveira</cp:lastModifiedBy>
  <cp:revision>7</cp:revision>
  <dcterms:created xsi:type="dcterms:W3CDTF">2025-06-26T03:05:00Z</dcterms:created>
  <dcterms:modified xsi:type="dcterms:W3CDTF">2025-06-26T03:44:00Z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2025-05-27T00:00:00Z</vt:filetime>
  </property>
  <property fmtid="{D5CDD505-2E9C-101B-9397-08002B2CF9AE}" pid="3" name="Creator">
    <vt:lpwstr>Microsoft® Word para Microsoft 365</vt:lpwstr>
  </property>
  <property fmtid="{D5CDD505-2E9C-101B-9397-08002B2CF9AE}" pid="4" name="LastSaved">
    <vt:filetime>2025-06-26T00:00:00Z</vt:filetime>
  </property>
  <property fmtid="{D5CDD505-2E9C-101B-9397-08002B2CF9AE}" pid="5" name="Producer">
    <vt:lpwstr>Microsoft® Word para Microsoft 365</vt:lpwstr>
  </property>
</Properties>
</file>