
<file path=[Content_Types].xml><?xml version="1.0" encoding="utf-8"?>
<Types xmlns="http://schemas.openxmlformats.org/package/2006/content-types">
  <Default Extension="png" ContentType="image/png"/>
  <Default Extension="tiff" ContentType="image/tif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B898E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  <w:vertAlign w:val="baseline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Table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sz w:val="28"/>
          <w:szCs w:val="28"/>
        </w:rPr>
        <w:t>1. The clinical characteristics of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AKI</w:t>
      </w:r>
      <w:r>
        <w:rPr>
          <w:rFonts w:hint="default" w:ascii="Times New Roman" w:hAnsi="Times New Roman" w:cs="Times New Roman"/>
          <w:sz w:val="28"/>
          <w:szCs w:val="28"/>
        </w:rPr>
        <w:t xml:space="preserve"> patients</w:t>
      </w:r>
    </w:p>
    <w:tbl>
      <w:tblPr>
        <w:tblStyle w:val="4"/>
        <w:tblW w:w="87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090"/>
        <w:gridCol w:w="610"/>
        <w:gridCol w:w="700"/>
        <w:gridCol w:w="1320"/>
        <w:gridCol w:w="880"/>
        <w:gridCol w:w="900"/>
        <w:gridCol w:w="890"/>
        <w:gridCol w:w="970"/>
        <w:gridCol w:w="600"/>
      </w:tblGrid>
      <w:tr w14:paraId="24EB6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91BD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Patients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B784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Pathological number</w:t>
            </w:r>
          </w:p>
        </w:tc>
        <w:tc>
          <w:tcPr>
            <w:tcW w:w="6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4B34D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Age</w:t>
            </w:r>
          </w:p>
        </w:tc>
        <w:tc>
          <w:tcPr>
            <w:tcW w:w="7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F508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Gender(F/M)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7F68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Triggers </w:t>
            </w:r>
          </w:p>
        </w:tc>
        <w:tc>
          <w:tcPr>
            <w:tcW w:w="8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92CF0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Scr</w:t>
            </w:r>
          </w:p>
          <w:p w14:paraId="6ED0E9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(μmol/L)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1F3851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BUN</w:t>
            </w:r>
          </w:p>
          <w:p w14:paraId="415193E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(mmol/L)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4A09C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eGFR</w:t>
            </w:r>
          </w:p>
          <w:p w14:paraId="66DC26F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(ml/min/l)</w:t>
            </w:r>
          </w:p>
        </w:tc>
        <w:tc>
          <w:tcPr>
            <w:tcW w:w="9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8B11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ACR</w:t>
            </w:r>
          </w:p>
          <w:p w14:paraId="4095AAE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(mg/g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cr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 )</w:t>
            </w:r>
          </w:p>
        </w:tc>
        <w:tc>
          <w:tcPr>
            <w:tcW w:w="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8A5D0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NAG</w:t>
            </w:r>
          </w:p>
          <w:p w14:paraId="50C463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(U/L)</w:t>
            </w:r>
          </w:p>
        </w:tc>
      </w:tr>
      <w:tr w14:paraId="239A6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9DA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5BD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D49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A6A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F96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E83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D0F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10.7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B08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1D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3025.71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4DC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</w:tr>
      <w:tr w14:paraId="25273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20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56C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F19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EBC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54E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hypovolemia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36C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6E44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9.9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32D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9D4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2804.26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3E3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</w:tr>
      <w:tr w14:paraId="689C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32E0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AD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B42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43D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F03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FAD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714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11.8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B92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36F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3186.36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CC4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</w:tr>
      <w:tr w14:paraId="53C8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B07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3F5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00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241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440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drug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516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C65D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B25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21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2353.44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1FF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</w:tr>
      <w:tr w14:paraId="74476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E24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26C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40D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64B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5EE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drug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EC0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CD3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C53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857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2478.23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5DF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</w:tr>
      <w:tr w14:paraId="25648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75A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A8F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CDA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D79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183A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5326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A19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BF7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C6C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1411.08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90C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</w:tr>
      <w:tr w14:paraId="61B3E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170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FA7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95D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B50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23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drug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1B2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129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1F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26E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1491.57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029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2D47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CB24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83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0E38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358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7AD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D57B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6E6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414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8A5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1648.5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DD5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 w14:paraId="6FA1B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59F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9D1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3AB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4CE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56D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AE4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63F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261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6D0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2235.12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7BB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</w:tr>
      <w:tr w14:paraId="786F4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E9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37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11F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C04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5D5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hypovolemia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904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600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671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E770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504.76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247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</w:tr>
      <w:tr w14:paraId="3870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C68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9CF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3095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379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6A91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C9D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438D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0F5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A39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1710.65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7D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</w:tr>
      <w:tr w14:paraId="0BE4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49D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989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A86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89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0A3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drug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4E2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83F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EC8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157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471.44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684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</w:tr>
      <w:tr w14:paraId="2EA7E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68B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1CA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F75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B95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2E7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drug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82F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C6D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6C5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848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443.2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69B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</w:tr>
      <w:tr w14:paraId="04E68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F03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3E9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657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995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4F5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41D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CF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CC9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D8D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503.96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685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</w:tr>
      <w:tr w14:paraId="75E02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19A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776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7C1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30E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76A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hypovolemia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445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9B32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9501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A0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1051.54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D52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</w:tr>
      <w:tr w14:paraId="5E491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362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363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498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BCD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F96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9F35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522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67B4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0D3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425.87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F3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</w:tr>
      <w:tr w14:paraId="78A14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C29F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F87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3558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BEC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DD6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immunity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226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A7B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DAAC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17C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1480.44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E48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</w:tr>
      <w:tr w14:paraId="5BEEF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2A2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5E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961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CA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2DE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hypovolemia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F865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985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1C4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BFC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2203.48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444F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</w:tr>
      <w:tr w14:paraId="244E7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496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CD8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23B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A3E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739E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drug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2D7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064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B3E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90A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2783.09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A6C1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</w:tr>
      <w:tr w14:paraId="318E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4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CBE83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585C94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7871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02AAB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42D05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99DC4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infect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55970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611C23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1756F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.1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0CF45C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1543.33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12FE52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</w:tr>
    </w:tbl>
    <w:p w14:paraId="00ADF36F"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Scr,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Serum Creatinine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. BUN,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Blood Urea Nitrogen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. eGFR,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Estimated Glomerular Filtration Rate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. ACR,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lbumin-to-creatinine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R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atio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.NAG,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N-acetyl-β-D-glucosaminidase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.</w:t>
      </w:r>
    </w:p>
    <w:p w14:paraId="3F0C35DD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4F2C518D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B4337E5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0EF0644A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70420063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6FA55CE5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320C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/>
        <w:textAlignment w:val="auto"/>
        <w:rPr>
          <w:rFonts w:ascii="Times New Roman" w:hAnsi="Times New Roman" w:cs="Times New Roman"/>
        </w:rPr>
      </w:pPr>
    </w:p>
    <w:p w14:paraId="56E669B3">
      <w:pPr>
        <w:spacing w:after="156" w:afterLines="5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Table S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. Primary antibodies used for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W</w:t>
      </w:r>
      <w:r>
        <w:rPr>
          <w:rFonts w:hint="default" w:ascii="Times New Roman" w:hAnsi="Times New Roman" w:cs="Times New Roman"/>
          <w:sz w:val="28"/>
          <w:szCs w:val="28"/>
        </w:rPr>
        <w:t>estern blotting, immunoprecipitation, immunohistochemistry and immunofluorescence</w:t>
      </w:r>
    </w:p>
    <w:p w14:paraId="4DFDEEE6">
      <w:pPr>
        <w:widowControl/>
        <w:spacing w:line="260" w:lineRule="exact"/>
        <w:jc w:val="left"/>
        <w:rPr>
          <w:rFonts w:ascii="Times New Roman" w:hAnsi="Times New Roman" w:eastAsia="宋体" w:cs="Times New Roman"/>
          <w:kern w:val="0"/>
          <w:szCs w:val="21"/>
        </w:rPr>
      </w:pPr>
    </w:p>
    <w:tbl>
      <w:tblPr>
        <w:tblStyle w:val="5"/>
        <w:tblW w:w="8240" w:type="dxa"/>
        <w:tblInd w:w="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770"/>
        <w:gridCol w:w="2240"/>
        <w:gridCol w:w="2300"/>
      </w:tblGrid>
      <w:tr w14:paraId="088B6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center"/>
          </w:tcPr>
          <w:p w14:paraId="3AA099C3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Antibody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38434CA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Target Species</w:t>
            </w:r>
          </w:p>
        </w:tc>
        <w:tc>
          <w:tcPr>
            <w:tcW w:w="2240" w:type="dxa"/>
            <w:shd w:val="clear" w:color="auto" w:fill="auto"/>
            <w:vAlign w:val="top"/>
          </w:tcPr>
          <w:p w14:paraId="3A7D4D93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  <w:t>Catalog NO.</w:t>
            </w:r>
          </w:p>
        </w:tc>
        <w:tc>
          <w:tcPr>
            <w:tcW w:w="2300" w:type="dxa"/>
          </w:tcPr>
          <w:p w14:paraId="7552F4EB">
            <w:pP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  <w:lang w:eastAsia="zh-CN"/>
              </w:rPr>
              <w:t>Identifier</w:t>
            </w:r>
          </w:p>
        </w:tc>
      </w:tr>
      <w:tr w14:paraId="4E98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4E669658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IER3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D1A6550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</w:tcPr>
          <w:p w14:paraId="64BBC5E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ab65152</w:t>
            </w:r>
          </w:p>
        </w:tc>
        <w:tc>
          <w:tcPr>
            <w:tcW w:w="2300" w:type="dxa"/>
          </w:tcPr>
          <w:p w14:paraId="70199FF8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371C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5C5F1787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GAPDH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D47F94A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E4280FE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60004-1-lg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538E8406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 xml:space="preserve">Proteintech </w:t>
            </w:r>
          </w:p>
        </w:tc>
      </w:tr>
      <w:tr w14:paraId="3D243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7F531F04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β-Actin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4F1B1EB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83FCFC5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20536-1-AP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0491D1CF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14:paraId="6962D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15AB9BDD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N-gal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35177E31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</w:tcPr>
          <w:p w14:paraId="3AC34FF7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ab125075</w:t>
            </w:r>
          </w:p>
        </w:tc>
        <w:tc>
          <w:tcPr>
            <w:tcW w:w="2300" w:type="dxa"/>
          </w:tcPr>
          <w:p w14:paraId="2B03FA08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4464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6F49B02B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KIM-1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D42316C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</w:tcPr>
          <w:p w14:paraId="2EC6F673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83221-2-RR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2F4DAD12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 xml:space="preserve">Proteintech </w:t>
            </w:r>
          </w:p>
        </w:tc>
      </w:tr>
      <w:tr w14:paraId="189A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6DCBF81E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Lamin B1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30D0DD08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</w:tcPr>
          <w:p w14:paraId="47CC0B18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12987-1-AP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6616F8F0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14:paraId="01FA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6EA398D3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DCR2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1319F19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4DFC4298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sz w:val="20"/>
                <w:szCs w:val="20"/>
              </w:rPr>
              <w:t>ab108421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7A391528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34D2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5ED1A3FF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γ-H2A.X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A9B409A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</w:tcPr>
          <w:p w14:paraId="50CA0D6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ab229914</w:t>
            </w:r>
          </w:p>
        </w:tc>
        <w:tc>
          <w:tcPr>
            <w:tcW w:w="2300" w:type="dxa"/>
          </w:tcPr>
          <w:p w14:paraId="1AC28924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63DA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16437B70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P53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0F5CC94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</w:tcPr>
          <w:p w14:paraId="62B14405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ab32049</w:t>
            </w:r>
          </w:p>
        </w:tc>
        <w:tc>
          <w:tcPr>
            <w:tcW w:w="2300" w:type="dxa"/>
          </w:tcPr>
          <w:p w14:paraId="3E7BC11C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299A4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697D7125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P21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21581CD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0CD3D4FB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ab188224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5093421B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6E68A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2A7DD2F4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P16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CCA1F39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3B91FF88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333333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sz w:val="20"/>
                <w:szCs w:val="20"/>
              </w:rPr>
              <w:t>ab189034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79FED833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40348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65333513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PRDX5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C40949A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</w:tcPr>
          <w:p w14:paraId="5CB1DC2F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ab180587</w:t>
            </w:r>
          </w:p>
        </w:tc>
        <w:tc>
          <w:tcPr>
            <w:tcW w:w="2300" w:type="dxa"/>
          </w:tcPr>
          <w:p w14:paraId="01CAF8AB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42C76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5051D0CA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CyclinD1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5E135F8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</w:tcPr>
          <w:p w14:paraId="08667591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60186-1-Ig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19734F61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 xml:space="preserve">Proteintech </w:t>
            </w:r>
          </w:p>
        </w:tc>
      </w:tr>
      <w:tr w14:paraId="61098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30" w:type="dxa"/>
            <w:shd w:val="clear" w:color="auto" w:fill="auto"/>
            <w:vAlign w:val="top"/>
          </w:tcPr>
          <w:p w14:paraId="03141473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VDAC1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3FF23A4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Rabbit</w:t>
            </w:r>
          </w:p>
        </w:tc>
        <w:tc>
          <w:tcPr>
            <w:tcW w:w="2240" w:type="dxa"/>
          </w:tcPr>
          <w:p w14:paraId="00CC106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10866-1-AP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3E16ECFD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Proteintech</w:t>
            </w:r>
          </w:p>
        </w:tc>
      </w:tr>
      <w:tr w14:paraId="5FC4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19F6C443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Parl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1FFA302A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</w:tcPr>
          <w:p w14:paraId="5646E94B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ab118554</w:t>
            </w:r>
          </w:p>
        </w:tc>
        <w:tc>
          <w:tcPr>
            <w:tcW w:w="2300" w:type="dxa"/>
          </w:tcPr>
          <w:p w14:paraId="018D1AD2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38B8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55EC47A5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AQP1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ABA3F25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</w:tcPr>
          <w:p w14:paraId="12F606D2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ab300845</w:t>
            </w:r>
          </w:p>
        </w:tc>
        <w:tc>
          <w:tcPr>
            <w:tcW w:w="2300" w:type="dxa"/>
          </w:tcPr>
          <w:p w14:paraId="125641EF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4E5D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top"/>
          </w:tcPr>
          <w:p w14:paraId="12F7F5C7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SMA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D8048A4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2FC4F40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BM0002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41D98420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BOSTER</w:t>
            </w:r>
          </w:p>
        </w:tc>
      </w:tr>
      <w:tr w14:paraId="05F8C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center"/>
          </w:tcPr>
          <w:p w14:paraId="53ECCD5B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Fibronectin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7EE7F39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55015271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ab2413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2C8616D1">
            <w:pPr>
              <w:widowControl/>
              <w:spacing w:line="26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  <w:tr w14:paraId="4FF4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shd w:val="clear" w:color="auto" w:fill="auto"/>
            <w:vAlign w:val="center"/>
          </w:tcPr>
          <w:p w14:paraId="27760F74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Collagen 1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3A134505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Mouse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77CAB482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ab6308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4715E470">
            <w:pPr>
              <w:widowControl/>
              <w:spacing w:line="260" w:lineRule="exact"/>
              <w:jc w:val="left"/>
              <w:rPr>
                <w:rFonts w:hint="default" w:ascii="Times New Roman" w:hAnsi="Times New Roman" w:eastAsia="等线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color w:val="000000"/>
                <w:sz w:val="20"/>
                <w:szCs w:val="20"/>
              </w:rPr>
              <w:t>bcam</w:t>
            </w:r>
          </w:p>
        </w:tc>
      </w:tr>
    </w:tbl>
    <w:p w14:paraId="34DAAD03"/>
    <w:p w14:paraId="0F571041"/>
    <w:p w14:paraId="46125DE9"/>
    <w:p w14:paraId="1CB37E69"/>
    <w:p w14:paraId="453ABC83"/>
    <w:p w14:paraId="53206ECA"/>
    <w:p w14:paraId="1C3CCF62"/>
    <w:p w14:paraId="3E9C3D3D"/>
    <w:p w14:paraId="4B1D293F"/>
    <w:p w14:paraId="5952C0F6"/>
    <w:p w14:paraId="3AEE2D9F"/>
    <w:p w14:paraId="23B0BB41"/>
    <w:p w14:paraId="31923AC9"/>
    <w:p w14:paraId="6DD8F160"/>
    <w:p w14:paraId="707EAACB"/>
    <w:p w14:paraId="4A51129D"/>
    <w:p w14:paraId="19424F42"/>
    <w:p w14:paraId="5AF7E985"/>
    <w:p w14:paraId="7555A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Table S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3. The </w:t>
      </w:r>
      <w:r>
        <w:rPr>
          <w:rFonts w:hint="eastAsia" w:ascii="Times New Roman" w:hAnsi="Times New Roman" w:cs="Times New Roman"/>
          <w:sz w:val="28"/>
          <w:szCs w:val="28"/>
        </w:rPr>
        <w:t>PCR Primer Sequence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5501"/>
      </w:tblGrid>
      <w:tr w14:paraId="3BB8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21" w:type="dxa"/>
            <w:shd w:val="clear" w:color="auto" w:fill="auto"/>
            <w:vAlign w:val="center"/>
          </w:tcPr>
          <w:p w14:paraId="27164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5501" w:type="dxa"/>
            <w:shd w:val="clear" w:color="auto" w:fill="auto"/>
            <w:vAlign w:val="center"/>
          </w:tcPr>
          <w:p w14:paraId="4AE8E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left"/>
              <w:textAlignment w:val="auto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Target sequence</w:t>
            </w:r>
          </w:p>
        </w:tc>
      </w:tr>
      <w:tr w14:paraId="6F77A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021" w:type="dxa"/>
            <w:vMerge w:val="restart"/>
          </w:tcPr>
          <w:p w14:paraId="4F89CD40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IER3</w:t>
            </w:r>
          </w:p>
        </w:tc>
        <w:tc>
          <w:tcPr>
            <w:tcW w:w="5501" w:type="dxa"/>
          </w:tcPr>
          <w:p w14:paraId="63D19DB5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z w:val="20"/>
                <w:szCs w:val="20"/>
              </w:rPr>
              <w:t xml:space="preserve">CGAAATTTTCACCTTCGACCCTCTCC </w:t>
            </w:r>
          </w:p>
        </w:tc>
      </w:tr>
      <w:tr w14:paraId="0603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continue"/>
          </w:tcPr>
          <w:p w14:paraId="1916624C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501" w:type="dxa"/>
          </w:tcPr>
          <w:p w14:paraId="63F8F716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TGTTACAGCAGGGAGGCATATCTCGCACC</w:t>
            </w:r>
          </w:p>
        </w:tc>
      </w:tr>
      <w:tr w14:paraId="2A57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restart"/>
          </w:tcPr>
          <w:p w14:paraId="29360BB9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PARK7</w:t>
            </w:r>
          </w:p>
        </w:tc>
        <w:tc>
          <w:tcPr>
            <w:tcW w:w="5501" w:type="dxa"/>
          </w:tcPr>
          <w:p w14:paraId="7AEF5936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AGCCAGTGTGATGGTGTTGG</w:t>
            </w:r>
          </w:p>
        </w:tc>
      </w:tr>
      <w:tr w14:paraId="07B6F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continue"/>
          </w:tcPr>
          <w:p w14:paraId="0206A0C7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501" w:type="dxa"/>
          </w:tcPr>
          <w:p w14:paraId="4F229592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TCCAGAGCTGCTGGTCTTCT</w:t>
            </w:r>
          </w:p>
        </w:tc>
      </w:tr>
      <w:tr w14:paraId="5E48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restart"/>
          </w:tcPr>
          <w:p w14:paraId="22CB0ADF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GADD45A</w:t>
            </w:r>
          </w:p>
        </w:tc>
        <w:tc>
          <w:tcPr>
            <w:tcW w:w="5501" w:type="dxa"/>
          </w:tcPr>
          <w:p w14:paraId="28E55FEA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CAGAGACCTGGTGATGGAGG</w:t>
            </w:r>
          </w:p>
        </w:tc>
      </w:tr>
      <w:tr w14:paraId="5593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continue"/>
          </w:tcPr>
          <w:p w14:paraId="3337433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501" w:type="dxa"/>
          </w:tcPr>
          <w:p w14:paraId="587A7B31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GTGATGATGCTGCTGCTGTC</w:t>
            </w:r>
          </w:p>
        </w:tc>
      </w:tr>
      <w:tr w14:paraId="5365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restart"/>
          </w:tcPr>
          <w:p w14:paraId="01A161BA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P16</w:t>
            </w:r>
          </w:p>
        </w:tc>
        <w:tc>
          <w:tcPr>
            <w:tcW w:w="5501" w:type="dxa"/>
          </w:tcPr>
          <w:p w14:paraId="73CF68E0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TGGAGCAGGTAGTGGGAATG</w:t>
            </w:r>
          </w:p>
        </w:tc>
      </w:tr>
      <w:tr w14:paraId="3F330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continue"/>
          </w:tcPr>
          <w:p w14:paraId="3B3E3355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501" w:type="dxa"/>
          </w:tcPr>
          <w:p w14:paraId="02A9E0D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CAGTCTTCTTGGCTGTGCTG</w:t>
            </w:r>
          </w:p>
        </w:tc>
      </w:tr>
      <w:tr w14:paraId="2CDD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restart"/>
          </w:tcPr>
          <w:p w14:paraId="291B5B19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DCR2</w:t>
            </w:r>
          </w:p>
        </w:tc>
        <w:tc>
          <w:tcPr>
            <w:tcW w:w="5501" w:type="dxa"/>
          </w:tcPr>
          <w:p w14:paraId="64CF7DF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GACAGCCTTCTGCTGCTGAA</w:t>
            </w:r>
          </w:p>
        </w:tc>
      </w:tr>
      <w:tr w14:paraId="5C363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continue"/>
          </w:tcPr>
          <w:p w14:paraId="10365E4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501" w:type="dxa"/>
          </w:tcPr>
          <w:p w14:paraId="0753D9F3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TTCTGCTGGGTCAGGTTGTC</w:t>
            </w:r>
          </w:p>
        </w:tc>
      </w:tr>
      <w:tr w14:paraId="4DDB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restart"/>
          </w:tcPr>
          <w:p w14:paraId="10A3F416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PRDX5</w:t>
            </w:r>
          </w:p>
        </w:tc>
        <w:tc>
          <w:tcPr>
            <w:tcW w:w="5501" w:type="dxa"/>
          </w:tcPr>
          <w:p w14:paraId="5929FAF0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GCAGAGCTGGTGGACAAGAT </w:t>
            </w:r>
          </w:p>
        </w:tc>
      </w:tr>
      <w:tr w14:paraId="0F705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continue"/>
          </w:tcPr>
          <w:p w14:paraId="2655306C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501" w:type="dxa"/>
          </w:tcPr>
          <w:p w14:paraId="46AD9DFA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GGCTGGGTCTGGTAGTTGTC</w:t>
            </w:r>
          </w:p>
        </w:tc>
      </w:tr>
      <w:tr w14:paraId="0AC9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restart"/>
          </w:tcPr>
          <w:p w14:paraId="47800227"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GAPDH</w:t>
            </w:r>
          </w:p>
        </w:tc>
        <w:tc>
          <w:tcPr>
            <w:tcW w:w="5501" w:type="dxa"/>
          </w:tcPr>
          <w:p w14:paraId="66B7C3E9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AGGTCGGTGTGAACGGATTTG</w:t>
            </w:r>
          </w:p>
        </w:tc>
      </w:tr>
      <w:tr w14:paraId="659C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1" w:type="dxa"/>
            <w:vMerge w:val="continue"/>
          </w:tcPr>
          <w:p w14:paraId="0A42B91C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5501" w:type="dxa"/>
          </w:tcPr>
          <w:p w14:paraId="6B3C1F97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0"/>
                <w:szCs w:val="20"/>
                <w:shd w:val="clear" w:fill="FFFFFF"/>
              </w:rPr>
              <w:t>TGTAGACCATGTAGTTGAGGTCA</w:t>
            </w:r>
          </w:p>
        </w:tc>
      </w:tr>
    </w:tbl>
    <w:p w14:paraId="0FD593E7"/>
    <w:p w14:paraId="2EEC653A">
      <w:pPr>
        <w:pStyle w:val="8"/>
        <w:spacing w:line="360" w:lineRule="auto"/>
        <w:outlineLvl w:val="3"/>
      </w:pPr>
      <w:r>
        <w:rPr>
          <w:rFonts w:eastAsia="楷体"/>
          <w:b/>
        </w:rPr>
        <w:t xml:space="preserve">1 </w:t>
      </w:r>
      <w:r>
        <w:rPr>
          <w:rFonts w:hint="eastAsia" w:eastAsia="楷体"/>
          <w:b/>
        </w:rPr>
        <w:t>Schematic diagram of primer positions for PCR identification</w:t>
      </w:r>
    </w:p>
    <w:p w14:paraId="105720B1">
      <w:r>
        <w:drawing>
          <wp:inline distT="0" distB="0" distL="0" distR="0">
            <wp:extent cx="3268980" cy="1617980"/>
            <wp:effectExtent l="0" t="0" r="762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rcRect b="25055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16179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70991">
      <w:pPr>
        <w:pStyle w:val="8"/>
        <w:spacing w:line="360" w:lineRule="auto"/>
        <w:outlineLvl w:val="3"/>
        <w:rPr>
          <w:rFonts w:hint="default" w:eastAsia="楷体"/>
          <w:b/>
          <w:szCs w:val="28"/>
          <w:lang w:val="en-US" w:eastAsia="zh-CN"/>
        </w:rPr>
      </w:pPr>
      <w:r>
        <w:rPr>
          <w:rFonts w:hint="eastAsia" w:eastAsia="楷体"/>
          <w:b/>
          <w:szCs w:val="28"/>
          <w:lang w:val="en-US" w:eastAsia="zh-CN"/>
        </w:rPr>
        <w:t>2</w:t>
      </w:r>
      <w:r>
        <w:rPr>
          <w:rFonts w:eastAsia="楷体"/>
          <w:b/>
          <w:szCs w:val="28"/>
        </w:rPr>
        <w:t xml:space="preserve"> PCR</w:t>
      </w:r>
      <w:r>
        <w:rPr>
          <w:rFonts w:hint="eastAsia" w:eastAsia="楷体"/>
          <w:b/>
          <w:szCs w:val="28"/>
          <w:lang w:val="en-US" w:eastAsia="zh-CN"/>
        </w:rPr>
        <w:t xml:space="preserve"> results</w:t>
      </w:r>
    </w:p>
    <w:p w14:paraId="14A6FF40">
      <w:pPr>
        <w:jc w:val="left"/>
        <w:rPr>
          <w:rFonts w:hint="eastAsia"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eastAsia="楷体" w:cs="Times New Roman"/>
          <w:szCs w:val="21"/>
          <w:lang w:val="en-US" w:eastAsia="zh-CN"/>
        </w:rPr>
        <w:t>IER3+/-</w:t>
      </w:r>
      <w:r>
        <w:rPr>
          <w:rFonts w:hint="eastAsia" w:ascii="Times New Roman" w:hAnsi="Times New Roman" w:eastAsia="楷体" w:cs="Times New Roman"/>
          <w:szCs w:val="21"/>
        </w:rPr>
        <w:t>：4</w:t>
      </w:r>
      <w:r>
        <w:rPr>
          <w:rFonts w:ascii="Times New Roman" w:hAnsi="Times New Roman" w:eastAsia="楷体" w:cs="Times New Roman"/>
          <w:szCs w:val="21"/>
        </w:rPr>
        <w:t>5</w:t>
      </w:r>
      <w:r>
        <w:rPr>
          <w:rFonts w:hint="eastAsia" w:ascii="Times New Roman" w:hAnsi="Times New Roman" w:eastAsia="楷体" w:cs="Times New Roman"/>
          <w:szCs w:val="21"/>
        </w:rPr>
        <w:t>,4</w:t>
      </w:r>
      <w:r>
        <w:rPr>
          <w:rFonts w:ascii="Times New Roman" w:hAnsi="Times New Roman" w:eastAsia="楷体" w:cs="Times New Roman"/>
          <w:szCs w:val="21"/>
        </w:rPr>
        <w:t>6</w:t>
      </w:r>
      <w:r>
        <w:rPr>
          <w:rFonts w:hint="eastAsia" w:ascii="Times New Roman" w:hAnsi="Times New Roman" w:eastAsia="楷体" w:cs="Times New Roman"/>
          <w:szCs w:val="21"/>
        </w:rPr>
        <w:t>,1</w:t>
      </w:r>
      <w:r>
        <w:rPr>
          <w:rFonts w:ascii="Times New Roman" w:hAnsi="Times New Roman" w:eastAsia="楷体" w:cs="Times New Roman"/>
          <w:szCs w:val="21"/>
        </w:rPr>
        <w:t>04</w:t>
      </w:r>
    </w:p>
    <w:p w14:paraId="7478A8FB">
      <w:pPr>
        <w:jc w:val="left"/>
        <w:rPr>
          <w:rFonts w:hint="eastAsia"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eastAsia="楷体" w:cs="Times New Roman"/>
          <w:szCs w:val="21"/>
          <w:lang w:val="en-US" w:eastAsia="zh-CN"/>
        </w:rPr>
        <w:t>IER3-/-</w:t>
      </w:r>
      <w:r>
        <w:rPr>
          <w:rFonts w:hint="eastAsia" w:ascii="Times New Roman" w:hAnsi="Times New Roman" w:eastAsia="楷体" w:cs="Times New Roman"/>
          <w:szCs w:val="21"/>
        </w:rPr>
        <w:t>：4</w:t>
      </w:r>
      <w:r>
        <w:rPr>
          <w:rFonts w:ascii="Times New Roman" w:hAnsi="Times New Roman" w:eastAsia="楷体" w:cs="Times New Roman"/>
          <w:szCs w:val="21"/>
        </w:rPr>
        <w:t>8</w:t>
      </w:r>
      <w:r>
        <w:rPr>
          <w:rFonts w:hint="eastAsia" w:ascii="Times New Roman" w:hAnsi="Times New Roman" w:eastAsia="楷体" w:cs="Times New Roman"/>
          <w:szCs w:val="21"/>
        </w:rPr>
        <w:t>,5</w:t>
      </w:r>
      <w:r>
        <w:rPr>
          <w:rFonts w:ascii="Times New Roman" w:hAnsi="Times New Roman" w:eastAsia="楷体" w:cs="Times New Roman"/>
          <w:szCs w:val="21"/>
        </w:rPr>
        <w:t>5</w:t>
      </w:r>
      <w:r>
        <w:rPr>
          <w:rFonts w:hint="eastAsia" w:ascii="Times New Roman" w:hAnsi="Times New Roman" w:eastAsia="楷体" w:cs="Times New Roman"/>
          <w:szCs w:val="21"/>
        </w:rPr>
        <w:t>,6</w:t>
      </w:r>
      <w:r>
        <w:rPr>
          <w:rFonts w:ascii="Times New Roman" w:hAnsi="Times New Roman" w:eastAsia="楷体" w:cs="Times New Roman"/>
          <w:szCs w:val="21"/>
        </w:rPr>
        <w:t>7</w:t>
      </w:r>
      <w:r>
        <w:rPr>
          <w:rFonts w:hint="eastAsia" w:ascii="Times New Roman" w:hAnsi="Times New Roman" w:eastAsia="楷体" w:cs="Times New Roman"/>
          <w:szCs w:val="21"/>
        </w:rPr>
        <w:t>,9</w:t>
      </w:r>
      <w:r>
        <w:rPr>
          <w:rFonts w:ascii="Times New Roman" w:hAnsi="Times New Roman" w:eastAsia="楷体" w:cs="Times New Roman"/>
          <w:szCs w:val="21"/>
        </w:rPr>
        <w:t>0</w:t>
      </w:r>
      <w:r>
        <w:rPr>
          <w:rFonts w:hint="eastAsia" w:ascii="Times New Roman" w:hAnsi="Times New Roman" w:eastAsia="楷体" w:cs="Times New Roman"/>
          <w:szCs w:val="21"/>
        </w:rPr>
        <w:t>,9</w:t>
      </w:r>
      <w:r>
        <w:rPr>
          <w:rFonts w:ascii="Times New Roman" w:hAnsi="Times New Roman" w:eastAsia="楷体" w:cs="Times New Roman"/>
          <w:szCs w:val="21"/>
        </w:rPr>
        <w:t>1</w:t>
      </w:r>
    </w:p>
    <w:p w14:paraId="71EAA96A">
      <w:pPr>
        <w:jc w:val="left"/>
        <w:rPr>
          <w:rFonts w:hint="eastAsia" w:ascii="Times New Roman" w:hAnsi="Times New Roman" w:eastAsia="楷体" w:cs="Times New Roman"/>
          <w:szCs w:val="21"/>
        </w:rPr>
      </w:pPr>
      <w:r>
        <w:rPr>
          <w:rFonts w:hint="eastAsia" w:ascii="Times New Roman" w:hAnsi="Times New Roman" w:eastAsia="楷体" w:cs="Times New Roman"/>
          <w:szCs w:val="21"/>
          <w:lang w:val="en-US" w:eastAsia="zh-CN"/>
        </w:rPr>
        <w:t>WT</w:t>
      </w:r>
      <w:r>
        <w:rPr>
          <w:rFonts w:hint="eastAsia" w:ascii="Times New Roman" w:hAnsi="Times New Roman" w:eastAsia="楷体" w:cs="Times New Roman"/>
          <w:szCs w:val="21"/>
        </w:rPr>
        <w:t>：4</w:t>
      </w:r>
      <w:r>
        <w:rPr>
          <w:rFonts w:ascii="Times New Roman" w:hAnsi="Times New Roman" w:eastAsia="楷体" w:cs="Times New Roman"/>
          <w:szCs w:val="21"/>
        </w:rPr>
        <w:t>4</w:t>
      </w:r>
      <w:r>
        <w:rPr>
          <w:rFonts w:hint="eastAsia" w:ascii="Times New Roman" w:hAnsi="Times New Roman" w:eastAsia="楷体" w:cs="Times New Roman"/>
          <w:szCs w:val="21"/>
        </w:rPr>
        <w:t>,5</w:t>
      </w:r>
      <w:r>
        <w:rPr>
          <w:rFonts w:ascii="Times New Roman" w:hAnsi="Times New Roman" w:eastAsia="楷体" w:cs="Times New Roman"/>
          <w:szCs w:val="21"/>
        </w:rPr>
        <w:t>0</w:t>
      </w:r>
    </w:p>
    <w:p w14:paraId="72AC0EBD">
      <w:pPr>
        <w:jc w:val="center"/>
        <w:rPr>
          <w:rFonts w:ascii="Times New Roman" w:hAnsi="Times New Roman" w:eastAsia="楷体" w:cs="Times New Roman"/>
        </w:rPr>
      </w:pPr>
      <w:r>
        <w:rPr>
          <w:rFonts w:ascii="Times New Roman" w:hAnsi="Times New Roman" w:eastAsia="楷体" w:cs="Times New Roman"/>
        </w:rPr>
        <w:drawing>
          <wp:inline distT="0" distB="0" distL="0" distR="0">
            <wp:extent cx="5241925" cy="1350010"/>
            <wp:effectExtent l="0" t="0" r="317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rcRect l="2038"/>
                    <a:stretch>
                      <a:fillRect/>
                    </a:stretch>
                  </pic:blipFill>
                  <pic:spPr>
                    <a:xfrm>
                      <a:off x="0" y="0"/>
                      <a:ext cx="5241925" cy="13500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04796">
      <w:pPr>
        <w:spacing w:line="360" w:lineRule="auto"/>
        <w:jc w:val="center"/>
        <w:rPr>
          <w:rFonts w:ascii="Times New Roman" w:hAnsi="Times New Roman" w:eastAsia="楷体" w:cs="Times New Roman"/>
          <w:kern w:val="0"/>
          <w:szCs w:val="21"/>
        </w:rPr>
      </w:pPr>
      <w:r>
        <w:rPr>
          <w:rFonts w:hint="eastAsia" w:ascii="Times New Roman" w:hAnsi="Times New Roman" w:eastAsia="楷体" w:cs="Times New Roman"/>
          <w:szCs w:val="21"/>
        </w:rPr>
        <w:t>Mouse PCR electrophoresis image</w:t>
      </w:r>
      <w:r>
        <w:rPr>
          <w:rFonts w:ascii="Times New Roman" w:hAnsi="Times New Roman" w:eastAsia="楷体" w:cs="Times New Roman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60325</wp:posOffset>
            </wp:positionV>
            <wp:extent cx="1935480" cy="6350"/>
            <wp:effectExtent l="0" t="0" r="0" b="0"/>
            <wp:wrapNone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64" t="-8974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楷体" w:cs="Times New Roman"/>
          <w:szCs w:val="21"/>
          <w:lang w:val="en-US" w:eastAsia="zh-CN"/>
        </w:rPr>
        <w:t xml:space="preserve">  </w:t>
      </w:r>
      <w:r>
        <w:rPr>
          <w:rFonts w:ascii="Times New Roman" w:hAnsi="Times New Roman" w:eastAsia="楷体" w:cs="Times New Roman"/>
          <w:kern w:val="0"/>
          <w:szCs w:val="21"/>
        </w:rPr>
        <w:t>M</w:t>
      </w:r>
      <w:r>
        <w:rPr>
          <w:rFonts w:hint="eastAsia" w:ascii="Times New Roman" w:hAnsi="Times New Roman" w:eastAsia="楷体" w:cs="Times New Roman"/>
          <w:kern w:val="0"/>
          <w:szCs w:val="21"/>
          <w:lang w:val="en-US" w:eastAsia="zh-CN"/>
        </w:rPr>
        <w:t>:</w:t>
      </w:r>
      <w:r>
        <w:rPr>
          <w:rFonts w:ascii="Times New Roman" w:hAnsi="Times New Roman" w:eastAsia="楷体" w:cs="Times New Roman"/>
          <w:kern w:val="0"/>
          <w:szCs w:val="21"/>
        </w:rPr>
        <w:t>DL2000</w:t>
      </w:r>
    </w:p>
    <w:p w14:paraId="73E0A80C"/>
    <w:p w14:paraId="757165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cs="Times New Roman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t>Table S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4. The Lentiviral and siRNA </w:t>
      </w:r>
      <w:r>
        <w:rPr>
          <w:rFonts w:hint="eastAsia" w:ascii="Times New Roman" w:hAnsi="Times New Roman" w:cs="Times New Roman"/>
          <w:sz w:val="28"/>
          <w:szCs w:val="28"/>
        </w:rPr>
        <w:t xml:space="preserve"> Sequence</w:t>
      </w:r>
    </w:p>
    <w:tbl>
      <w:tblPr>
        <w:tblStyle w:val="5"/>
        <w:tblW w:w="0" w:type="auto"/>
        <w:tblInd w:w="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5460"/>
      </w:tblGrid>
      <w:tr w14:paraId="7D7B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</w:tcPr>
          <w:p w14:paraId="00296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5460" w:type="dxa"/>
          </w:tcPr>
          <w:p w14:paraId="303D6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Sequence</w:t>
            </w:r>
          </w:p>
        </w:tc>
      </w:tr>
      <w:tr w14:paraId="23FF0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vAlign w:val="top"/>
          </w:tcPr>
          <w:p w14:paraId="73A2E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shPRDX5-1</w:t>
            </w:r>
          </w:p>
        </w:tc>
        <w:tc>
          <w:tcPr>
            <w:tcW w:w="5460" w:type="dxa"/>
            <w:vAlign w:val="top"/>
          </w:tcPr>
          <w:p w14:paraId="0A0DE891">
            <w:pPr>
              <w:spacing w:line="360" w:lineRule="auto"/>
              <w:jc w:val="both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0"/>
                <w:szCs w:val="20"/>
              </w:rPr>
              <w:t>ACCGCGCGTTTGAACACTTCT</w:t>
            </w:r>
          </w:p>
        </w:tc>
      </w:tr>
      <w:tr w14:paraId="6FF2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vAlign w:val="top"/>
          </w:tcPr>
          <w:p w14:paraId="1DED4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shPRDX5-2</w:t>
            </w:r>
          </w:p>
        </w:tc>
        <w:tc>
          <w:tcPr>
            <w:tcW w:w="5460" w:type="dxa"/>
            <w:vAlign w:val="top"/>
          </w:tcPr>
          <w:p w14:paraId="0A570B51">
            <w:pPr>
              <w:spacing w:line="360" w:lineRule="auto"/>
              <w:jc w:val="both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  <w:t>GCCTGGCACCCAATATC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GC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  <w:t>AT</w:t>
            </w:r>
          </w:p>
        </w:tc>
      </w:tr>
      <w:tr w14:paraId="7C99B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vAlign w:val="top"/>
          </w:tcPr>
          <w:p w14:paraId="5C6D49F9">
            <w:pPr>
              <w:spacing w:line="360" w:lineRule="auto"/>
              <w:jc w:val="both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shPRDX5-3</w:t>
            </w:r>
          </w:p>
        </w:tc>
        <w:tc>
          <w:tcPr>
            <w:tcW w:w="5460" w:type="dxa"/>
            <w:vAlign w:val="top"/>
          </w:tcPr>
          <w:p w14:paraId="33020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  <w:t>GAGCAGAAGCTGAAG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  <w:t>ATGA</w:t>
            </w:r>
          </w:p>
        </w:tc>
      </w:tr>
      <w:tr w14:paraId="1EEC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shd w:val="clear" w:color="auto" w:fill="auto"/>
            <w:vAlign w:val="top"/>
          </w:tcPr>
          <w:p w14:paraId="4A339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shPRDX5</w:t>
            </w:r>
            <w:r>
              <w:rPr>
                <w:rFonts w:ascii="Times New Roman" w:hAnsi="Times New Roman" w:eastAsia="微软雅黑" w:cs="Times New Roman"/>
                <w:color w:val="auto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NC</w:t>
            </w:r>
          </w:p>
        </w:tc>
        <w:tc>
          <w:tcPr>
            <w:tcW w:w="5460" w:type="dxa"/>
            <w:shd w:val="clear" w:color="auto" w:fill="auto"/>
            <w:vAlign w:val="top"/>
          </w:tcPr>
          <w:p w14:paraId="37CEB1D0">
            <w:pPr>
              <w:spacing w:line="360" w:lineRule="auto"/>
              <w:jc w:val="both"/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0"/>
                <w:szCs w:val="20"/>
              </w:rPr>
              <w:t>GGACTATGCGCTGGATCTTAA</w:t>
            </w:r>
          </w:p>
        </w:tc>
      </w:tr>
      <w:tr w14:paraId="0C89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shd w:val="clear" w:color="auto" w:fill="auto"/>
            <w:vAlign w:val="top"/>
          </w:tcPr>
          <w:p w14:paraId="379D36E5"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siParl</w:t>
            </w:r>
          </w:p>
        </w:tc>
        <w:tc>
          <w:tcPr>
            <w:tcW w:w="5460" w:type="dxa"/>
            <w:shd w:val="clear" w:color="auto" w:fill="auto"/>
            <w:vAlign w:val="top"/>
          </w:tcPr>
          <w:p w14:paraId="76D64D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vertAlign w:val="baseline"/>
                <w:lang w:val="en-US" w:eastAsia="zh-CN" w:bidi="ar-SA"/>
              </w:rPr>
              <w:t>GGAUGAGAGCUCUGAAGAU</w:t>
            </w: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vertAlign w:val="baseline"/>
                <w:lang w:val="en-US" w:eastAsia="zh-CN" w:bidi="ar-SA"/>
              </w:rPr>
              <w:t>C</w:t>
            </w:r>
          </w:p>
        </w:tc>
      </w:tr>
      <w:tr w14:paraId="51CD1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</w:tcPr>
          <w:p w14:paraId="1DF8B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siParl-NC</w:t>
            </w:r>
          </w:p>
        </w:tc>
        <w:tc>
          <w:tcPr>
            <w:tcW w:w="5460" w:type="dxa"/>
          </w:tcPr>
          <w:p w14:paraId="6661F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ascii="Times New Roman" w:hAnsi="Times New Roman" w:eastAsia="微软雅黑" w:cs="Times New Roman"/>
                <w:color w:val="auto"/>
                <w:sz w:val="20"/>
                <w:szCs w:val="20"/>
              </w:rPr>
              <w:t>TTCTCCGAACGTGTCACGT</w:t>
            </w:r>
          </w:p>
        </w:tc>
      </w:tr>
      <w:tr w14:paraId="5CEB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shd w:val="clear" w:color="auto" w:fill="auto"/>
            <w:vAlign w:val="top"/>
          </w:tcPr>
          <w:p w14:paraId="06611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eastAsia="微软雅黑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lv-IER3oe</w:t>
            </w:r>
          </w:p>
        </w:tc>
        <w:tc>
          <w:tcPr>
            <w:tcW w:w="5460" w:type="dxa"/>
          </w:tcPr>
          <w:p w14:paraId="65133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ascii="Times New Roman" w:hAnsi="Times New Roman" w:eastAsia="微软雅黑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</w:rPr>
              <w:t>The overexpression lentiviral sequence was provided by Jikai Gene Company</w:t>
            </w:r>
          </w:p>
        </w:tc>
      </w:tr>
      <w:tr w14:paraId="701B4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0" w:type="dxa"/>
            <w:shd w:val="clear" w:color="auto" w:fill="auto"/>
            <w:vAlign w:val="top"/>
          </w:tcPr>
          <w:p w14:paraId="19EBB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hint="eastAsia" w:ascii="Times New Roman" w:hAnsi="Times New Roman" w:eastAsia="微软雅黑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lv-IER3-NC</w:t>
            </w:r>
          </w:p>
        </w:tc>
        <w:tc>
          <w:tcPr>
            <w:tcW w:w="5460" w:type="dxa"/>
          </w:tcPr>
          <w:p w14:paraId="230CD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auto"/>
              <w:jc w:val="both"/>
              <w:textAlignment w:val="auto"/>
              <w:rPr>
                <w:rFonts w:ascii="Times New Roman" w:hAnsi="Times New Roman" w:eastAsia="微软雅黑" w:cs="Times New Roman"/>
                <w:color w:val="auto"/>
                <w:sz w:val="20"/>
                <w:szCs w:val="20"/>
              </w:rPr>
            </w:pPr>
            <w:r>
              <w:rPr>
                <w:rFonts w:hint="eastAsia" w:ascii="Times New Roman" w:hAnsi="Times New Roman" w:eastAsia="微软雅黑" w:cs="Times New Roman"/>
                <w:color w:val="auto"/>
                <w:sz w:val="20"/>
                <w:szCs w:val="20"/>
                <w:lang w:val="en-US" w:eastAsia="zh-CN"/>
              </w:rPr>
              <w:t>CTATTGGCGTTACTATTGACG</w:t>
            </w:r>
          </w:p>
        </w:tc>
      </w:tr>
    </w:tbl>
    <w:p w14:paraId="3A10AF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p w14:paraId="19E979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>Table S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 xml:space="preserve">5. 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</w:rPr>
        <w:t>The clinical characteristics of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 xml:space="preserve"> patients with Sc</w:t>
      </w:r>
      <w:r>
        <w:rPr>
          <w:rFonts w:hint="eastAsia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color w:val="auto"/>
          <w:sz w:val="20"/>
          <w:szCs w:val="20"/>
          <w:lang w:val="en-US" w:eastAsia="zh-CN"/>
        </w:rPr>
        <w:t>RNAseq</w:t>
      </w:r>
      <w:bookmarkStart w:id="0" w:name="_GoBack"/>
      <w:bookmarkEnd w:id="0"/>
    </w:p>
    <w:tbl>
      <w:tblPr>
        <w:tblStyle w:val="4"/>
        <w:tblW w:w="9120" w:type="dxa"/>
        <w:tblInd w:w="-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680"/>
        <w:gridCol w:w="920"/>
        <w:gridCol w:w="1330"/>
        <w:gridCol w:w="1010"/>
        <w:gridCol w:w="1070"/>
        <w:gridCol w:w="1600"/>
        <w:gridCol w:w="1540"/>
      </w:tblGrid>
      <w:tr w14:paraId="4A3FC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A7CD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Patients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5868F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9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49ED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Gender(F/M)</w:t>
            </w:r>
          </w:p>
        </w:tc>
        <w:tc>
          <w:tcPr>
            <w:tcW w:w="13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DC8E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Triggers </w:t>
            </w:r>
          </w:p>
        </w:tc>
        <w:tc>
          <w:tcPr>
            <w:tcW w:w="10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4059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Scr</w:t>
            </w:r>
          </w:p>
          <w:p w14:paraId="40C2BB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0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86BBF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BUN</w:t>
            </w:r>
          </w:p>
          <w:p w14:paraId="3D382E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(mmol/L)</w:t>
            </w:r>
          </w:p>
        </w:tc>
        <w:tc>
          <w:tcPr>
            <w:tcW w:w="16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ACCB8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eGFR</w:t>
            </w:r>
          </w:p>
          <w:p w14:paraId="7E871EA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(ml/min/1.73m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)</w:t>
            </w:r>
          </w:p>
        </w:tc>
        <w:tc>
          <w:tcPr>
            <w:tcW w:w="1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3F40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24-hour urine output (ml)</w:t>
            </w:r>
          </w:p>
        </w:tc>
      </w:tr>
      <w:tr w14:paraId="763C3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CBD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332F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FF14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F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9A85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infect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06E0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5D38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9CD9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59.09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BB6A1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</w:tr>
      <w:tr w14:paraId="3E45C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B1C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843E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EE33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F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2310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Immune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B378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133.3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D2AD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8CBC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53.12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B54CF4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</w:tr>
      <w:tr w14:paraId="2931D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EDE9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A90A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44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3617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M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8E07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drug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32D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F5F1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28.1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D8AD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48F35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</w:tr>
      <w:tr w14:paraId="7ABB2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ADA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E668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C07F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F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A1AB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Renal carcinoma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3FDD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B952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3EA5B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92.2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D87F1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</w:tr>
      <w:tr w14:paraId="78C4E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0B3C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54EF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FF7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M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56C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Renal carcinoma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F8F1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0F0F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F75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91.0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34741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</w:tr>
      <w:tr w14:paraId="3731B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378B59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3A2E2C0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54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ACD0AC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M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9FE7AA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Renal carcinoma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7B2B681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47D727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196F54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98.2</w:t>
            </w:r>
          </w:p>
        </w:tc>
        <w:tc>
          <w:tcPr>
            <w:tcW w:w="1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429AAF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</w:tr>
    </w:tbl>
    <w:p w14:paraId="03ACB8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781EA83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  <w14:ligatures w14:val="standardContextual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  <w14:ligatures w14:val="standardContextual"/>
        </w:rPr>
        <w:t>Figure legends:</w:t>
      </w:r>
    </w:p>
    <w:p w14:paraId="1D98BEB5"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S1 The expression dynamics of IER3 in renal tissues during CLP-induced AKI.</w:t>
      </w:r>
    </w:p>
    <w:p w14:paraId="36CFFD73">
      <w:pPr>
        <w:numPr>
          <w:ilvl w:val="0"/>
          <w:numId w:val="1"/>
        </w:numPr>
        <w:spacing w:line="480" w:lineRule="auto"/>
        <w:rPr>
          <w:rFonts w:hint="default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楷体" w:cs="Times New Roman"/>
          <w:kern w:val="0"/>
          <w:sz w:val="20"/>
          <w:szCs w:val="20"/>
        </w:rPr>
        <w:t>Preparation of the SAKI animal model. B-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D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. Verification of the knockout efficiency of IER3 at both the 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m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RNA and protein levels. 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E-G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>. IER3 expression at different times via RT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-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>qPCR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and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 Western 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eastAsia="zh-CN"/>
        </w:rPr>
        <w:t>blot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. 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H-I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>. Immunofluorescence detection of the location of IER3 expression in SAKI.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5C4F716F"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S2 Dynamic changes of IER3 expression in RTECs under LPS-induced AKI.</w:t>
      </w:r>
    </w:p>
    <w:p w14:paraId="70FEC683">
      <w:pPr>
        <w:numPr>
          <w:ilvl w:val="0"/>
          <w:numId w:val="2"/>
        </w:numPr>
        <w:spacing w:line="480" w:lineRule="auto"/>
        <w:rPr>
          <w:rFonts w:ascii="Times New Roman" w:hAnsi="Times New Roman" w:eastAsia="楷体" w:cs="Times New Roman"/>
          <w:kern w:val="0"/>
          <w:sz w:val="20"/>
          <w:szCs w:val="20"/>
        </w:rPr>
      </w:pP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Preparation of the SAKI cell model. 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B-D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>. IER3 expression following stimulation with different concentrations of LPS, as determined via RT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-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qPCR and Western 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eastAsia="zh-CN"/>
        </w:rPr>
        <w:t>blot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>.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 xml:space="preserve"> E-G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>. IER3 expression after LPS stimulation for different durations, as determined via RT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-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qPCR and Western 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eastAsia="zh-CN"/>
        </w:rPr>
        <w:t>blot</w:t>
      </w:r>
      <w:r>
        <w:rPr>
          <w:rFonts w:ascii="Times New Roman" w:hAnsi="Times New Roman" w:eastAsia="楷体" w:cs="Times New Roman"/>
          <w:kern w:val="0"/>
          <w:sz w:val="20"/>
          <w:szCs w:val="20"/>
        </w:rPr>
        <w:t xml:space="preserve">. 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78039B06">
      <w:pPr>
        <w:numPr>
          <w:ilvl w:val="0"/>
          <w:numId w:val="0"/>
        </w:numPr>
        <w:spacing w:line="480" w:lineRule="auto"/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eastAsia="楷体" w:cs="Times New Roman"/>
          <w:b/>
          <w:bCs/>
          <w:color w:val="FF0000"/>
          <w:kern w:val="0"/>
          <w:sz w:val="20"/>
          <w:szCs w:val="20"/>
          <w:lang w:val="en-US" w:eastAsia="zh-CN"/>
        </w:rPr>
        <w:t xml:space="preserve">3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Under physiological conditions, IER3-KO mice exhibit normal baseline phenotypes</w:t>
      </w:r>
    </w:p>
    <w:p w14:paraId="264E271C">
      <w:pPr>
        <w:numPr>
          <w:ilvl w:val="-1"/>
          <w:numId w:val="0"/>
        </w:numPr>
        <w:spacing w:line="480" w:lineRule="auto"/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</w:rPr>
        <w:t>Volume size of WT mice and IER3ko mice.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  <w:t xml:space="preserve">B. Kidney size of WT mice and IER3ko mice. </w:t>
      </w:r>
      <w:r>
        <w:rPr>
          <w:rStyle w:val="6"/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C-D.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</w:rPr>
        <w:t> </w:t>
      </w:r>
      <w:r>
        <w:rPr>
          <w:rFonts w:hint="eastAsia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  <w:t xml:space="preserve">PAS stain and injury score. E. Scr and BUN 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</w:rPr>
        <w:t>of WT mice and IER3ko mice</w:t>
      </w:r>
      <w:r>
        <w:rPr>
          <w:rFonts w:hint="eastAsia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  <w:t xml:space="preserve">. </w:t>
      </w:r>
      <w:r>
        <w:rPr>
          <w:rFonts w:hint="default" w:ascii="Times New Roman" w:hAnsi="Times New Roman" w:eastAsia="楷体" w:cs="Times New Roman"/>
          <w:i w:val="0"/>
          <w:iCs w:val="0"/>
          <w:caps w:val="0"/>
          <w:color w:val="auto"/>
          <w:spacing w:val="0"/>
          <w:sz w:val="20"/>
          <w:szCs w:val="20"/>
          <w:shd w:val="clear" w:fill="auto"/>
        </w:rPr>
        <w:t> 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535B10C0">
      <w:pPr>
        <w:numPr>
          <w:ilvl w:val="0"/>
          <w:numId w:val="0"/>
        </w:numPr>
        <w:spacing w:line="480" w:lineRule="auto"/>
        <w:rPr>
          <w:rFonts w:hint="eastAsia" w:ascii="Times New Roman" w:hAnsi="Times New Roman" w:eastAsia="楷体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eastAsia="楷体" w:cs="Times New Roman"/>
          <w:b/>
          <w:bCs/>
          <w:color w:val="FF0000"/>
          <w:kern w:val="0"/>
          <w:sz w:val="20"/>
          <w:szCs w:val="20"/>
          <w:lang w:val="en-US" w:eastAsia="zh-CN"/>
        </w:rPr>
        <w:t>4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  <w:t xml:space="preserve">Knockdown of IER3 Attenuates the Progression of </w:t>
      </w:r>
      <w:r>
        <w:rPr>
          <w:rFonts w:hint="eastAsia" w:ascii="Times New Roman" w:hAnsi="Times New Roman" w:eastAsia="楷体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  <w:t>SAKI</w:t>
      </w:r>
    </w:p>
    <w:p w14:paraId="0E958BE2">
      <w:pPr>
        <w:numPr>
          <w:ilvl w:val="-1"/>
          <w:numId w:val="0"/>
        </w:numPr>
        <w:spacing w:line="480" w:lineRule="auto"/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  <w:t xml:space="preserve">A-B. Scr and GFR of mice in different groups. C.PAS stain in different groups. 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46410704">
      <w:pPr>
        <w:numPr>
          <w:ilvl w:val="-1"/>
          <w:numId w:val="0"/>
        </w:numPr>
        <w:spacing w:line="360" w:lineRule="auto"/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eastAsia="楷体" w:cs="Times New Roman"/>
          <w:b/>
          <w:bCs/>
          <w:color w:val="FF0000"/>
          <w:kern w:val="0"/>
          <w:sz w:val="20"/>
          <w:szCs w:val="20"/>
          <w:lang w:val="en-US" w:eastAsia="zh-CN"/>
        </w:rPr>
        <w:t>5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 xml:space="preserve"> Overexpression of IER3 exacerbates LPS-induced stress-associated senescence in RTECs.</w:t>
      </w:r>
    </w:p>
    <w:p w14:paraId="7479AC5E">
      <w:pPr>
        <w:numPr>
          <w:ilvl w:val="0"/>
          <w:numId w:val="3"/>
        </w:numPr>
        <w:spacing w:line="480" w:lineRule="auto"/>
        <w:rPr>
          <w:rFonts w:ascii="Times New Roman" w:hAnsi="Times New Roman" w:eastAsia="楷体" w:cs="Times New Roman"/>
          <w:kern w:val="0"/>
          <w:sz w:val="20"/>
          <w:szCs w:val="20"/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fill="auto"/>
        </w:rPr>
        <w:t>Lentiviral transfection was performed to induce </w:t>
      </w:r>
      <w:r>
        <w:rPr>
          <w:rStyle w:val="6"/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bidi="ar-SA"/>
        </w:rPr>
        <w:t>IER3 overexpression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fill="auto"/>
        </w:rPr>
        <w:t> in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/>
          <w:lang w:val="en-US" w:eastAsia="zh-CN" w:bidi="ar-SA"/>
        </w:rPr>
        <w:t xml:space="preserve"> RTEC. B-C. The overexpression efficiency of IER3 was confirmed by RT-qPCR and WB. D-F. The expression levels of senescence-associated markers</w:t>
      </w:r>
      <w:r>
        <w:rPr>
          <w:rFonts w:hint="eastAsia" w:ascii="Times New Roman" w:hAnsi="Times New Roman" w:eastAsia="楷体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/>
          <w:lang w:val="en-US" w:eastAsia="zh-CN" w:bidi="ar-SA"/>
        </w:rPr>
        <w:t xml:space="preserve"> (P21, DCR2)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/>
          <w:lang w:val="en-US" w:eastAsia="zh-CN" w:bidi="ar-SA"/>
        </w:rPr>
        <w:t> were analyzed via RT-qPCR and WB in different groups. G-H. Cellular senescence was further assessed by</w:t>
      </w:r>
      <w:r>
        <w:rPr>
          <w:rFonts w:hint="eastAsia" w:ascii="Times New Roman" w:hAnsi="Times New Roman" w:eastAsia="楷体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/>
          <w:lang w:val="en-US" w:eastAsia="zh-CN" w:bidi="ar-SA"/>
        </w:rPr>
        <w:t xml:space="preserve"> 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/>
          <w:lang w:val="en-US" w:eastAsia="zh-CN" w:bidi="ar-SA"/>
        </w:rPr>
        <w:t>β-gal staining across treatment groups.</w:t>
      </w:r>
      <w:r>
        <w:rPr>
          <w:rFonts w:hint="eastAsia" w:ascii="Times New Roman" w:hAnsi="Times New Roman" w:eastAsia="楷体" w:cs="Times New Roman"/>
          <w:b w:val="0"/>
          <w:bCs w:val="0"/>
          <w:i w:val="0"/>
          <w:iCs w:val="0"/>
          <w:caps w:val="0"/>
          <w:spacing w:val="0"/>
          <w:sz w:val="20"/>
          <w:szCs w:val="20"/>
          <w:shd w:val="clear"/>
          <w:lang w:val="en-US" w:eastAsia="zh-CN" w:bidi="ar-SA"/>
        </w:rPr>
        <w:t xml:space="preserve"> 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7A10DC0E">
      <w:pP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eastAsia="楷体" w:cs="Times New Roman"/>
          <w:b/>
          <w:bCs/>
          <w:color w:val="FF0000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 xml:space="preserve"> Validation of PRDX5 inhibition efficiency.</w:t>
      </w:r>
    </w:p>
    <w:p w14:paraId="61618E02">
      <w:pPr>
        <w:numPr>
          <w:ilvl w:val="0"/>
          <w:numId w:val="0"/>
        </w:numPr>
        <w:spacing w:line="480" w:lineRule="auto"/>
        <w:rPr>
          <w:rFonts w:ascii="Times New Roman" w:hAnsi="Times New Roman" w:eastAsia="楷体" w:cs="Times New Roman"/>
          <w:kern w:val="0"/>
          <w:sz w:val="20"/>
          <w:szCs w:val="20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C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. The lentiviral knockout efficiency of PRDX5 was verified by 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RT-q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PCR and WB. 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08706950">
      <w:pPr>
        <w:numPr>
          <w:ilvl w:val="-1"/>
          <w:numId w:val="0"/>
        </w:numPr>
        <w:spacing w:line="480" w:lineRule="auto"/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eastAsia="楷体" w:cs="Times New Roman"/>
          <w:b/>
          <w:bCs/>
          <w:color w:val="FF0000"/>
          <w:kern w:val="0"/>
          <w:sz w:val="20"/>
          <w:szCs w:val="20"/>
          <w:lang w:val="en-US" w:eastAsia="zh-CN"/>
        </w:rPr>
        <w:t>7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 xml:space="preserve"> PRDX5 knockdown promotes cellular senescence in RTECs though to a lesser extent than LPS stimulation.</w:t>
      </w:r>
    </w:p>
    <w:p w14:paraId="4E441AFE">
      <w:pPr>
        <w:numPr>
          <w:ilvl w:val="0"/>
          <w:numId w:val="4"/>
        </w:numPr>
        <w:spacing w:line="480" w:lineRule="auto"/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B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RT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-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qPCR detection of P21 and DCR2 expression in different groups.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 C-D. IHC detection of DCR2 and β-gal staining.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E. 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Intracellular ROS levels were quantitatively assessed by flow cytometry in each treatment group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77FC2046">
      <w:pP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</w:pPr>
      <w:r>
        <w:rPr>
          <w:rFonts w:ascii="Times New Roman" w:hAnsi="Times New Roman" w:eastAsia="楷体" w:cs="Times New Roman"/>
          <w:b/>
          <w:bCs/>
          <w:kern w:val="0"/>
          <w:sz w:val="20"/>
          <w:szCs w:val="20"/>
        </w:rPr>
        <w:t xml:space="preserve">Figure 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eastAsia="楷体" w:cs="Times New Roman"/>
          <w:b/>
          <w:bCs/>
          <w:color w:val="FF0000"/>
          <w:kern w:val="0"/>
          <w:sz w:val="20"/>
          <w:szCs w:val="20"/>
          <w:lang w:val="en-US" w:eastAsia="zh-CN"/>
        </w:rPr>
        <w:t>8</w:t>
      </w:r>
      <w:r>
        <w:rPr>
          <w:rFonts w:hint="eastAsia" w:ascii="Times New Roman" w:hAnsi="Times New Roman" w:eastAsia="楷体" w:cs="Times New Roman"/>
          <w:b/>
          <w:bCs/>
          <w:kern w:val="0"/>
          <w:sz w:val="20"/>
          <w:szCs w:val="20"/>
          <w:lang w:val="en-US" w:eastAsia="zh-CN"/>
        </w:rPr>
        <w:t xml:space="preserve"> Validation of Parl inhibition efficiency.</w:t>
      </w:r>
    </w:p>
    <w:p w14:paraId="42FC9799">
      <w:pPr>
        <w:numPr>
          <w:ilvl w:val="0"/>
          <w:numId w:val="0"/>
        </w:numPr>
        <w:spacing w:line="480" w:lineRule="auto"/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A-C.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 The efficiency of siRNA in inhibiting Parl was verified by 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RT-q</w:t>
      </w:r>
      <w:r>
        <w:rPr>
          <w:rFonts w:hint="default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>PCR and WB</w:t>
      </w:r>
      <w:r>
        <w:rPr>
          <w:rFonts w:hint="eastAsia" w:ascii="Times New Roman" w:hAnsi="Times New Roman" w:eastAsia="楷体" w:cs="Times New Roman"/>
          <w:b w:val="0"/>
          <w:bCs w:val="0"/>
          <w:kern w:val="2"/>
          <w:sz w:val="20"/>
          <w:szCs w:val="20"/>
          <w:lang w:val="en-US" w:eastAsia="zh-CN"/>
        </w:rPr>
        <w:t xml:space="preserve">. </w:t>
      </w:r>
      <w:r>
        <w:rPr>
          <w:rFonts w:hint="default" w:ascii="Times New Roman" w:hAnsi="Times New Roman" w:eastAsia="楷体" w:cs="Times New Roman"/>
          <w:kern w:val="0"/>
          <w:sz w:val="20"/>
          <w:szCs w:val="20"/>
          <w:lang w:val="en-US" w:eastAsia="zh-CN"/>
        </w:rPr>
        <w:t>Data are the means ±SD (n= 3 independent experiments); *P&lt; 0.05, **P&lt; 0.01, ***P&lt; 0.001, ****P&lt; 0.0001</w:t>
      </w:r>
      <w:r>
        <w:rPr>
          <w:rFonts w:hint="eastAsia" w:ascii="Times New Roman" w:hAnsi="Times New Roman" w:eastAsia="楷体" w:cs="Times New Roman"/>
          <w:kern w:val="0"/>
          <w:sz w:val="20"/>
          <w:szCs w:val="20"/>
          <w:lang w:val="en-US" w:eastAsia="zh-CN"/>
        </w:rPr>
        <w:t>.</w:t>
      </w:r>
    </w:p>
    <w:p w14:paraId="47D4AB9A">
      <w:pPr>
        <w:numPr>
          <w:ilvl w:val="0"/>
          <w:numId w:val="0"/>
        </w:numPr>
        <w:spacing w:line="480" w:lineRule="auto"/>
        <w:rPr>
          <w:rFonts w:hint="default" w:ascii="Times New Roman" w:hAnsi="Times New Roman" w:eastAsia="楷体" w:cs="Times New Roman"/>
          <w:b w:val="0"/>
          <w:bCs w:val="0"/>
          <w:i w:val="0"/>
          <w:iCs w:val="0"/>
          <w:caps w:val="0"/>
          <w:color w:val="auto"/>
          <w:spacing w:val="0"/>
          <w:sz w:val="20"/>
          <w:szCs w:val="20"/>
          <w:shd w:val="clear" w:fill="auto"/>
          <w:lang w:val="en-US" w:eastAsia="zh-CN"/>
        </w:rPr>
      </w:pPr>
    </w:p>
    <w:p w14:paraId="4DFA0CCB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8595" cy="3919855"/>
            <wp:effectExtent l="0" t="0" r="1905" b="4445"/>
            <wp:docPr id="9" name="图片 9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S1</w:t>
      </w:r>
    </w:p>
    <w:p w14:paraId="03C882F1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71135" cy="4029710"/>
            <wp:effectExtent l="0" t="0" r="12065" b="8890"/>
            <wp:docPr id="8" name="图片 8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 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S2</w:t>
      </w:r>
    </w:p>
    <w:p w14:paraId="05CA29DA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7CC1B8C2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6D3D9B74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28787863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3C2633CB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36C4B71F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17EB699B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8595" cy="2352040"/>
            <wp:effectExtent l="0" t="0" r="1905" b="10160"/>
            <wp:docPr id="16" name="图片 16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 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50770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S3</w:t>
      </w:r>
    </w:p>
    <w:p w14:paraId="46128C90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16D59521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266C96B0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32D4ED60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27AB5E21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17EE73F7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4C099D2B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39A26CD3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8595" cy="3293110"/>
            <wp:effectExtent l="0" t="0" r="1905" b="8890"/>
            <wp:docPr id="15" name="图片 15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 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D7BE5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S4</w:t>
      </w:r>
    </w:p>
    <w:p w14:paraId="460374D9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8595" cy="6743065"/>
            <wp:effectExtent l="0" t="0" r="1905" b="635"/>
            <wp:docPr id="14" name="图片 14" descr="FIG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 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4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BD66F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S5</w:t>
      </w:r>
    </w:p>
    <w:p w14:paraId="467AD68A">
      <w:pPr>
        <w:numPr>
          <w:ilvl w:val="0"/>
          <w:numId w:val="0"/>
        </w:numPr>
        <w:spacing w:line="480" w:lineRule="auto"/>
        <w:jc w:val="both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8595" cy="2823210"/>
            <wp:effectExtent l="0" t="0" r="1905" b="8890"/>
            <wp:docPr id="13" name="图片 13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 S6"/>
                    <pic:cNvPicPr>
                      <a:picLocks noChangeAspect="1"/>
                    </pic:cNvPicPr>
                  </pic:nvPicPr>
                  <pic:blipFill>
                    <a:blip r:embed="rId12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7CC62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S6</w:t>
      </w:r>
    </w:p>
    <w:p w14:paraId="215D6784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6E9BEC3D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56BFE29D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1C0D1550">
      <w:pPr>
        <w:numPr>
          <w:ilvl w:val="0"/>
          <w:numId w:val="0"/>
        </w:numPr>
        <w:spacing w:line="480" w:lineRule="auto"/>
        <w:jc w:val="both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7924742C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8595" cy="4391660"/>
            <wp:effectExtent l="0" t="0" r="1905" b="2540"/>
            <wp:docPr id="11" name="图片 11" descr="FIG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 S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S7</w:t>
      </w:r>
    </w:p>
    <w:p w14:paraId="3C53100B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0DBCB829">
      <w:pPr>
        <w:numPr>
          <w:ilvl w:val="0"/>
          <w:numId w:val="0"/>
        </w:numPr>
        <w:spacing w:line="480" w:lineRule="auto"/>
        <w:jc w:val="center"/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133117AC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</w:p>
    <w:p w14:paraId="14009CF1">
      <w:pPr>
        <w:numPr>
          <w:ilvl w:val="0"/>
          <w:numId w:val="0"/>
        </w:numPr>
        <w:spacing w:line="480" w:lineRule="auto"/>
        <w:jc w:val="center"/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kern w:val="0"/>
          <w:sz w:val="24"/>
          <w:szCs w:val="24"/>
          <w:lang w:val="en-US" w:eastAsia="zh-CN"/>
        </w:rPr>
        <w:drawing>
          <wp:inline distT="0" distB="0" distL="114300" distR="114300">
            <wp:extent cx="5268595" cy="3293110"/>
            <wp:effectExtent l="0" t="0" r="1905" b="8890"/>
            <wp:docPr id="7" name="图片 7" descr="FIG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 S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楷体" w:cs="Times New Roman"/>
          <w:kern w:val="0"/>
          <w:sz w:val="24"/>
          <w:szCs w:val="24"/>
          <w:lang w:val="en-US" w:eastAsia="zh-CN"/>
        </w:rPr>
        <w:t>Fig S8</w:t>
      </w:r>
    </w:p>
    <w:p w14:paraId="3BE265F1">
      <w:pPr>
        <w:jc w:val="center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5DD01F"/>
    <w:multiLevelType w:val="singleLevel"/>
    <w:tmpl w:val="935DD01F"/>
    <w:lvl w:ilvl="0" w:tentative="0">
      <w:start w:val="1"/>
      <w:numFmt w:val="upperLetter"/>
      <w:suff w:val="space"/>
      <w:lvlText w:val="%1."/>
      <w:lvlJc w:val="left"/>
    </w:lvl>
  </w:abstractNum>
  <w:abstractNum w:abstractNumId="1">
    <w:nsid w:val="C1FEB1D0"/>
    <w:multiLevelType w:val="singleLevel"/>
    <w:tmpl w:val="C1FEB1D0"/>
    <w:lvl w:ilvl="0" w:tentative="0">
      <w:start w:val="1"/>
      <w:numFmt w:val="upperLetter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">
    <w:nsid w:val="E4A7E90F"/>
    <w:multiLevelType w:val="singleLevel"/>
    <w:tmpl w:val="E4A7E90F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60F5C8F3"/>
    <w:multiLevelType w:val="singleLevel"/>
    <w:tmpl w:val="60F5C8F3"/>
    <w:lvl w:ilvl="0" w:tentative="0">
      <w:start w:val="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486AACA7-CEBE-45A0-BCCB-BE8328E7DBD0}"/>
    <w:docVar w:name="KY_MEDREF_VERSION" w:val="3"/>
  </w:docVars>
  <w:rsids>
    <w:rsidRoot w:val="00000000"/>
    <w:rsid w:val="00177C71"/>
    <w:rsid w:val="005C088A"/>
    <w:rsid w:val="00615EA1"/>
    <w:rsid w:val="00673549"/>
    <w:rsid w:val="017C6D0A"/>
    <w:rsid w:val="01C761D7"/>
    <w:rsid w:val="0254278E"/>
    <w:rsid w:val="02A1111E"/>
    <w:rsid w:val="02DF57A3"/>
    <w:rsid w:val="03015719"/>
    <w:rsid w:val="039B1D20"/>
    <w:rsid w:val="05087233"/>
    <w:rsid w:val="059B1E55"/>
    <w:rsid w:val="05EE64A2"/>
    <w:rsid w:val="07B342C4"/>
    <w:rsid w:val="08834C5A"/>
    <w:rsid w:val="09B41737"/>
    <w:rsid w:val="09E0077E"/>
    <w:rsid w:val="09E57B43"/>
    <w:rsid w:val="0C030754"/>
    <w:rsid w:val="0CA23AC9"/>
    <w:rsid w:val="0D4A5F0F"/>
    <w:rsid w:val="0DE57C40"/>
    <w:rsid w:val="0E656A9A"/>
    <w:rsid w:val="0E7476E7"/>
    <w:rsid w:val="0F672628"/>
    <w:rsid w:val="0FA77648"/>
    <w:rsid w:val="0FFF7484"/>
    <w:rsid w:val="11176299"/>
    <w:rsid w:val="116F110C"/>
    <w:rsid w:val="117C1CD6"/>
    <w:rsid w:val="12011292"/>
    <w:rsid w:val="134E6759"/>
    <w:rsid w:val="13BD568C"/>
    <w:rsid w:val="156F59E5"/>
    <w:rsid w:val="17090456"/>
    <w:rsid w:val="177061E5"/>
    <w:rsid w:val="182A0E16"/>
    <w:rsid w:val="18754787"/>
    <w:rsid w:val="18802F86"/>
    <w:rsid w:val="18B057C0"/>
    <w:rsid w:val="19541F90"/>
    <w:rsid w:val="19837536"/>
    <w:rsid w:val="1A165AF6"/>
    <w:rsid w:val="1A3F5728"/>
    <w:rsid w:val="1BA710FC"/>
    <w:rsid w:val="1CAF46D5"/>
    <w:rsid w:val="1CBB4733"/>
    <w:rsid w:val="1CCB0E1A"/>
    <w:rsid w:val="1D322C47"/>
    <w:rsid w:val="1DC40A8A"/>
    <w:rsid w:val="1DCF66E8"/>
    <w:rsid w:val="205B4263"/>
    <w:rsid w:val="2062104A"/>
    <w:rsid w:val="227E11E7"/>
    <w:rsid w:val="23A777BF"/>
    <w:rsid w:val="24276259"/>
    <w:rsid w:val="26A9214B"/>
    <w:rsid w:val="27361586"/>
    <w:rsid w:val="27AC35F6"/>
    <w:rsid w:val="28061143"/>
    <w:rsid w:val="288C188E"/>
    <w:rsid w:val="290F208E"/>
    <w:rsid w:val="2964687E"/>
    <w:rsid w:val="29C672AC"/>
    <w:rsid w:val="2B3E6793"/>
    <w:rsid w:val="2BD8066A"/>
    <w:rsid w:val="2C4C35F9"/>
    <w:rsid w:val="2C820DC9"/>
    <w:rsid w:val="2CFA1288"/>
    <w:rsid w:val="2D8D21DF"/>
    <w:rsid w:val="2EAB2859"/>
    <w:rsid w:val="2F866E22"/>
    <w:rsid w:val="2F950E14"/>
    <w:rsid w:val="2FC82F97"/>
    <w:rsid w:val="30DD6F16"/>
    <w:rsid w:val="30FA066E"/>
    <w:rsid w:val="31943C60"/>
    <w:rsid w:val="32D67C6E"/>
    <w:rsid w:val="32F742BF"/>
    <w:rsid w:val="33C1230E"/>
    <w:rsid w:val="345319C9"/>
    <w:rsid w:val="353C799D"/>
    <w:rsid w:val="35D07049"/>
    <w:rsid w:val="378325C5"/>
    <w:rsid w:val="37FA215C"/>
    <w:rsid w:val="38327B47"/>
    <w:rsid w:val="3860058E"/>
    <w:rsid w:val="38D805BB"/>
    <w:rsid w:val="39921977"/>
    <w:rsid w:val="3A10210A"/>
    <w:rsid w:val="3C055478"/>
    <w:rsid w:val="3D2008B6"/>
    <w:rsid w:val="3D2A703F"/>
    <w:rsid w:val="3D406863"/>
    <w:rsid w:val="3E250614"/>
    <w:rsid w:val="3FF179D0"/>
    <w:rsid w:val="401144E6"/>
    <w:rsid w:val="403118A6"/>
    <w:rsid w:val="40A11D0E"/>
    <w:rsid w:val="41432DC5"/>
    <w:rsid w:val="43A51F8D"/>
    <w:rsid w:val="452C2C2C"/>
    <w:rsid w:val="46AB50C7"/>
    <w:rsid w:val="46D544C0"/>
    <w:rsid w:val="47333BD2"/>
    <w:rsid w:val="473C62ED"/>
    <w:rsid w:val="47462CC7"/>
    <w:rsid w:val="48C540C0"/>
    <w:rsid w:val="497B2AF6"/>
    <w:rsid w:val="49CD147E"/>
    <w:rsid w:val="4A25750C"/>
    <w:rsid w:val="4A4060F4"/>
    <w:rsid w:val="4A433F0F"/>
    <w:rsid w:val="4A62250E"/>
    <w:rsid w:val="4AFA6B4B"/>
    <w:rsid w:val="4B4B4D50"/>
    <w:rsid w:val="4B9F509C"/>
    <w:rsid w:val="4C4D2D4A"/>
    <w:rsid w:val="4CA86E9E"/>
    <w:rsid w:val="4D04165B"/>
    <w:rsid w:val="4D322D6F"/>
    <w:rsid w:val="4D325538"/>
    <w:rsid w:val="4D3A543A"/>
    <w:rsid w:val="4D8B6747"/>
    <w:rsid w:val="4DC1579E"/>
    <w:rsid w:val="4E616639"/>
    <w:rsid w:val="4F7909DB"/>
    <w:rsid w:val="4FEB08B0"/>
    <w:rsid w:val="50BF670F"/>
    <w:rsid w:val="514101B0"/>
    <w:rsid w:val="51566B4C"/>
    <w:rsid w:val="51813EF6"/>
    <w:rsid w:val="51B11685"/>
    <w:rsid w:val="522B58DB"/>
    <w:rsid w:val="522B7D04"/>
    <w:rsid w:val="55A81EB1"/>
    <w:rsid w:val="55D6790C"/>
    <w:rsid w:val="56D025AE"/>
    <w:rsid w:val="57390153"/>
    <w:rsid w:val="57770C7B"/>
    <w:rsid w:val="585D4315"/>
    <w:rsid w:val="58737694"/>
    <w:rsid w:val="59430949"/>
    <w:rsid w:val="59981AA8"/>
    <w:rsid w:val="5A380B96"/>
    <w:rsid w:val="5A6C6A91"/>
    <w:rsid w:val="5A7A2F5C"/>
    <w:rsid w:val="5AEA649A"/>
    <w:rsid w:val="5B372BFB"/>
    <w:rsid w:val="5C3D6690"/>
    <w:rsid w:val="5C6A0DAE"/>
    <w:rsid w:val="5CE92CC0"/>
    <w:rsid w:val="5D8A54A4"/>
    <w:rsid w:val="5E1E62F4"/>
    <w:rsid w:val="5E7D419A"/>
    <w:rsid w:val="5E990E12"/>
    <w:rsid w:val="5EB36A3D"/>
    <w:rsid w:val="5EC73A2C"/>
    <w:rsid w:val="5F8D65FE"/>
    <w:rsid w:val="5FB23198"/>
    <w:rsid w:val="60497F9F"/>
    <w:rsid w:val="609E371C"/>
    <w:rsid w:val="62A7702F"/>
    <w:rsid w:val="62EF103A"/>
    <w:rsid w:val="632048BD"/>
    <w:rsid w:val="636C365E"/>
    <w:rsid w:val="63C215D1"/>
    <w:rsid w:val="65EB11B2"/>
    <w:rsid w:val="670047E9"/>
    <w:rsid w:val="67A55390"/>
    <w:rsid w:val="68840010"/>
    <w:rsid w:val="69F61ED3"/>
    <w:rsid w:val="6AAD6A36"/>
    <w:rsid w:val="6B1B6095"/>
    <w:rsid w:val="6C726189"/>
    <w:rsid w:val="6D9D09CE"/>
    <w:rsid w:val="6DF13CCF"/>
    <w:rsid w:val="6E2A65EF"/>
    <w:rsid w:val="6E554BEE"/>
    <w:rsid w:val="6F8A5598"/>
    <w:rsid w:val="6FA64BAF"/>
    <w:rsid w:val="6FAF3250"/>
    <w:rsid w:val="6FB46AB9"/>
    <w:rsid w:val="6FCD1928"/>
    <w:rsid w:val="70DC0075"/>
    <w:rsid w:val="710E21F8"/>
    <w:rsid w:val="713954C7"/>
    <w:rsid w:val="72243294"/>
    <w:rsid w:val="72DD72C2"/>
    <w:rsid w:val="74634609"/>
    <w:rsid w:val="74DF7409"/>
    <w:rsid w:val="758D193E"/>
    <w:rsid w:val="75C53CEF"/>
    <w:rsid w:val="765C7562"/>
    <w:rsid w:val="772207AC"/>
    <w:rsid w:val="77364257"/>
    <w:rsid w:val="77764653"/>
    <w:rsid w:val="78D36201"/>
    <w:rsid w:val="79273628"/>
    <w:rsid w:val="7A603AC5"/>
    <w:rsid w:val="7C3E119D"/>
    <w:rsid w:val="7C831CEC"/>
    <w:rsid w:val="7DD8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标题4"/>
    <w:basedOn w:val="1"/>
    <w:qFormat/>
    <w:uiPriority w:val="99"/>
    <w:rPr>
      <w:rFonts w:ascii="Times New Roman" w:hAnsi="Times New Roman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984</Words>
  <Characters>5363</Characters>
  <Lines>0</Lines>
  <Paragraphs>0</Paragraphs>
  <TotalTime>0</TotalTime>
  <ScaleCrop>false</ScaleCrop>
  <LinksUpToDate>false</LinksUpToDate>
  <CharactersWithSpaces>5919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2025-03-16T12:21:00Z</dcterms:created>
  <dc:creator>Administrator</dc:creator>
  <cp:lastModifiedBy>嗯</cp:lastModifiedBy>
  <dcterms:modified xsi:type="dcterms:W3CDTF">2025-10-13T09:28:18Z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eyJoZGlkIjoiYmJlNThkMzYwMTNiYTVjMTI1ZTcyM2M2YTZhZDY2YjAiLCJ1c2VySWQiOiI3NDMyNjA5MDQifQ==</vt:lpwstr>
  </property>
  <property fmtid="{D5CDD505-2E9C-101B-9397-08002B2CF9AE}" pid="4" name="ICV">
    <vt:lpwstr>6695E81A9613445E9695AD1428C67BC0_12</vt:lpwstr>
  </property>
</Properties>
</file>