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3D6F" w14:textId="2D0DE85A" w:rsidR="00B3062D" w:rsidRDefault="00B3062D" w:rsidP="00B3062D">
      <w:pP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noProof/>
          <w:kern w:val="0"/>
          <w:sz w:val="24"/>
          <w:szCs w:val="24"/>
        </w:rPr>
        <w:drawing>
          <wp:inline distT="0" distB="0" distL="0" distR="0" wp14:anchorId="0B937A79" wp14:editId="26663A66">
            <wp:extent cx="5274310" cy="3706550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5"/>
                    <a:stretch/>
                  </pic:blipFill>
                  <pic:spPr bwMode="auto">
                    <a:xfrm>
                      <a:off x="0" y="0"/>
                      <a:ext cx="5274310" cy="370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79433" w14:textId="77777777" w:rsidR="00B3062D" w:rsidRDefault="00B3062D" w:rsidP="00B3062D">
      <w:pPr>
        <w:autoSpaceDE w:val="0"/>
        <w:autoSpaceDN w:val="0"/>
        <w:adjustRightInd w:val="0"/>
        <w:jc w:val="left"/>
        <w:rPr>
          <w:rFonts w:ascii="Arial-BoldMT" w:hAnsi="Arial-BoldMT" w:cs="Arial-BoldMT"/>
          <w:b/>
          <w:bCs/>
          <w:kern w:val="0"/>
          <w:sz w:val="24"/>
          <w:szCs w:val="24"/>
        </w:rPr>
      </w:pPr>
    </w:p>
    <w:p w14:paraId="075D7C65" w14:textId="77777777" w:rsidR="00B23612" w:rsidRPr="00B23612" w:rsidRDefault="00B3062D" w:rsidP="00B3062D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4"/>
          <w:szCs w:val="24"/>
        </w:rPr>
      </w:pPr>
      <w:r w:rsidRPr="00B3062D">
        <w:rPr>
          <w:rFonts w:ascii="Arial" w:hAnsi="Arial" w:cs="Arial"/>
          <w:b/>
          <w:bCs/>
          <w:kern w:val="0"/>
          <w:sz w:val="24"/>
          <w:szCs w:val="24"/>
        </w:rPr>
        <w:t>Figure S</w:t>
      </w:r>
      <w:r w:rsidRPr="00B23612">
        <w:rPr>
          <w:rFonts w:ascii="Arial" w:hAnsi="Arial" w:cs="Arial"/>
          <w:b/>
          <w:bCs/>
          <w:kern w:val="0"/>
          <w:sz w:val="24"/>
          <w:szCs w:val="24"/>
        </w:rPr>
        <w:t xml:space="preserve">1 </w:t>
      </w:r>
      <w:r w:rsidR="00B23612" w:rsidRPr="00B23612">
        <w:rPr>
          <w:rFonts w:ascii="Arial" w:hAnsi="Arial" w:cs="Arial"/>
          <w:b/>
          <w:bCs/>
          <w:sz w:val="24"/>
          <w:szCs w:val="24"/>
        </w:rPr>
        <w:t xml:space="preserve">Cross-validation of SNP profiling between this study and prior SNP-seq datasets. </w:t>
      </w:r>
    </w:p>
    <w:p w14:paraId="40C73672" w14:textId="7516D104" w:rsidR="00B23612" w:rsidRDefault="00B23612" w:rsidP="00B3062D">
      <w:pPr>
        <w:autoSpaceDE w:val="0"/>
        <w:autoSpaceDN w:val="0"/>
        <w:adjustRightInd w:val="0"/>
        <w:jc w:val="left"/>
        <w:rPr>
          <w:rFonts w:ascii="Arial" w:eastAsia="ArialMT" w:hAnsi="Arial" w:cs="Arial"/>
          <w:b/>
          <w:bCs/>
          <w:kern w:val="0"/>
          <w:sz w:val="24"/>
          <w:szCs w:val="24"/>
        </w:rPr>
      </w:pPr>
      <w:r w:rsidRPr="00CC1358">
        <w:rPr>
          <w:rFonts w:ascii="Arial" w:hAnsi="Arial" w:cs="Arial"/>
          <w:sz w:val="24"/>
          <w:szCs w:val="24"/>
        </w:rPr>
        <w:t>Scatter plot depicting the correlation of log2 read counts across overlapping SNPs, including 903 SNPs from the present study and 374 SNPs from the previous SNP-seq dataset. A total of 116 SNPs were concordantly identified, highlighting the robustness and reproducibility of our SNP-calling strategy.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281A2CB" w14:textId="77777777" w:rsidR="00B23612" w:rsidRPr="00B3062D" w:rsidRDefault="00B23612" w:rsidP="00B3062D">
      <w:pPr>
        <w:autoSpaceDE w:val="0"/>
        <w:autoSpaceDN w:val="0"/>
        <w:adjustRightInd w:val="0"/>
        <w:jc w:val="left"/>
        <w:rPr>
          <w:rFonts w:ascii="Arial" w:eastAsia="ArialMT" w:hAnsi="Arial" w:cs="Arial" w:hint="eastAsia"/>
          <w:kern w:val="0"/>
          <w:sz w:val="24"/>
          <w:szCs w:val="24"/>
        </w:rPr>
      </w:pPr>
    </w:p>
    <w:p w14:paraId="0354C62D" w14:textId="77777777" w:rsidR="00B3062D" w:rsidRDefault="00B3062D">
      <w:pPr>
        <w:widowControl/>
        <w:jc w:val="left"/>
        <w:rPr>
          <w:rFonts w:ascii="ArialMT" w:eastAsia="ArialMT" w:hAnsi="Arial-BoldMT" w:cs="ArialMT"/>
          <w:kern w:val="0"/>
          <w:sz w:val="24"/>
          <w:szCs w:val="24"/>
        </w:rPr>
      </w:pPr>
      <w:r>
        <w:rPr>
          <w:rFonts w:ascii="ArialMT" w:eastAsia="ArialMT" w:hAnsi="Arial-BoldMT" w:cs="ArialMT"/>
          <w:kern w:val="0"/>
          <w:sz w:val="24"/>
          <w:szCs w:val="24"/>
        </w:rPr>
        <w:br w:type="page"/>
      </w:r>
    </w:p>
    <w:p w14:paraId="667A0833" w14:textId="36D62E63" w:rsidR="00B3062D" w:rsidRDefault="00241A5B" w:rsidP="00B3062D">
      <w:pPr>
        <w:rPr>
          <w:rFonts w:ascii="ArialMT" w:eastAsia="ArialMT" w:hAnsi="Arial-BoldMT" w:cs="ArialMT"/>
          <w:kern w:val="0"/>
          <w:sz w:val="24"/>
          <w:szCs w:val="24"/>
        </w:rPr>
      </w:pPr>
      <w:r>
        <w:rPr>
          <w:rFonts w:ascii="ArialMT" w:eastAsia="ArialMT" w:hAnsi="Arial-BoldMT" w:cs="ArialMT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51BE6F2B" wp14:editId="233ADB4A">
            <wp:extent cx="5274310" cy="257608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7"/>
                    <a:stretch/>
                  </pic:blipFill>
                  <pic:spPr bwMode="auto">
                    <a:xfrm>
                      <a:off x="0" y="0"/>
                      <a:ext cx="5274310" cy="2576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E6445" w14:textId="77777777" w:rsidR="005876B5" w:rsidRDefault="005876B5" w:rsidP="00B3062D">
      <w:pPr>
        <w:rPr>
          <w:rFonts w:ascii="ArialMT" w:eastAsia="ArialMT" w:hAnsi="Arial-BoldMT" w:cs="ArialMT"/>
          <w:kern w:val="0"/>
          <w:sz w:val="24"/>
          <w:szCs w:val="24"/>
        </w:rPr>
      </w:pPr>
    </w:p>
    <w:p w14:paraId="09AD93A8" w14:textId="016E095D" w:rsidR="006D2DBC" w:rsidRPr="006D2DBC" w:rsidRDefault="00B3062D" w:rsidP="005876B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sz w:val="24"/>
          <w:szCs w:val="24"/>
        </w:rPr>
      </w:pPr>
      <w:r w:rsidRPr="006D2DBC">
        <w:rPr>
          <w:rFonts w:ascii="Arial" w:hAnsi="Arial" w:cs="Arial"/>
          <w:b/>
          <w:bCs/>
          <w:kern w:val="0"/>
          <w:sz w:val="24"/>
          <w:szCs w:val="24"/>
        </w:rPr>
        <w:t xml:space="preserve">Figure S2 </w:t>
      </w:r>
      <w:r w:rsidR="006D2DBC" w:rsidRPr="006D2DBC">
        <w:rPr>
          <w:rFonts w:ascii="Arial" w:hAnsi="Arial" w:cs="Arial"/>
          <w:b/>
          <w:bCs/>
          <w:sz w:val="24"/>
          <w:szCs w:val="24"/>
        </w:rPr>
        <w:t xml:space="preserve">SNP–gene expression associations in prostate cancer. </w:t>
      </w:r>
    </w:p>
    <w:p w14:paraId="5A3ED92C" w14:textId="4DC7EBCA" w:rsidR="006D2DBC" w:rsidRDefault="006D2DBC" w:rsidP="005876B5">
      <w:pPr>
        <w:autoSpaceDE w:val="0"/>
        <w:autoSpaceDN w:val="0"/>
        <w:adjustRightInd w:val="0"/>
        <w:jc w:val="left"/>
        <w:rPr>
          <w:rFonts w:ascii="Arial" w:eastAsia="ArialMT" w:hAnsi="Arial" w:cs="Arial"/>
          <w:kern w:val="0"/>
          <w:sz w:val="24"/>
          <w:szCs w:val="24"/>
        </w:rPr>
      </w:pPr>
      <w:r w:rsidRPr="00CC1358">
        <w:rPr>
          <w:rFonts w:ascii="Arial" w:hAnsi="Arial" w:cs="Arial"/>
          <w:sz w:val="24"/>
          <w:szCs w:val="24"/>
        </w:rPr>
        <w:t>Boxplots demonstrating the significant correlation of risk variants with target gene expression in TCGA PRAD. Specifically, rs10901849 is associated with altered CTBP2 expression (</w:t>
      </w:r>
      <w:r w:rsidRPr="006D2DBC">
        <w:rPr>
          <w:rFonts w:ascii="Arial" w:hAnsi="Arial" w:cs="Arial"/>
          <w:b/>
          <w:bCs/>
          <w:sz w:val="24"/>
          <w:szCs w:val="24"/>
        </w:rPr>
        <w:t>a</w:t>
      </w:r>
      <w:r w:rsidRPr="00CC1358">
        <w:rPr>
          <w:rFonts w:ascii="Arial" w:hAnsi="Arial" w:cs="Arial"/>
          <w:sz w:val="24"/>
          <w:szCs w:val="24"/>
        </w:rPr>
        <w:t>), and rs6883630 is associated with altered IRX4 expression (</w:t>
      </w:r>
      <w:r w:rsidRPr="006D2DBC">
        <w:rPr>
          <w:rFonts w:ascii="Arial" w:hAnsi="Arial" w:cs="Arial"/>
          <w:b/>
          <w:bCs/>
          <w:sz w:val="24"/>
          <w:szCs w:val="24"/>
        </w:rPr>
        <w:t>b</w:t>
      </w:r>
      <w:r w:rsidRPr="00CC1358">
        <w:rPr>
          <w:rFonts w:ascii="Arial" w:hAnsi="Arial" w:cs="Arial"/>
          <w:sz w:val="24"/>
          <w:szCs w:val="24"/>
        </w:rPr>
        <w:t>). These results strengthen the functional interpretation of prostate cancer–associated loci.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E366B4F" w14:textId="77777777" w:rsidR="006D2DBC" w:rsidRDefault="006D2DBC" w:rsidP="005876B5">
      <w:pPr>
        <w:autoSpaceDE w:val="0"/>
        <w:autoSpaceDN w:val="0"/>
        <w:adjustRightInd w:val="0"/>
        <w:jc w:val="left"/>
        <w:rPr>
          <w:rFonts w:ascii="Arial" w:eastAsia="ArialMT" w:hAnsi="Arial" w:cs="Arial" w:hint="eastAsia"/>
          <w:kern w:val="0"/>
          <w:sz w:val="24"/>
          <w:szCs w:val="24"/>
        </w:rPr>
      </w:pPr>
    </w:p>
    <w:p w14:paraId="2E1F3019" w14:textId="77777777" w:rsidR="005876B5" w:rsidRDefault="005876B5">
      <w:pPr>
        <w:widowControl/>
        <w:jc w:val="left"/>
        <w:rPr>
          <w:rFonts w:ascii="Arial" w:eastAsia="ArialMT" w:hAnsi="Arial" w:cs="Arial"/>
          <w:kern w:val="0"/>
          <w:sz w:val="24"/>
          <w:szCs w:val="24"/>
        </w:rPr>
      </w:pPr>
      <w:r>
        <w:rPr>
          <w:rFonts w:ascii="Arial" w:eastAsia="ArialMT" w:hAnsi="Arial" w:cs="Arial"/>
          <w:kern w:val="0"/>
          <w:sz w:val="24"/>
          <w:szCs w:val="24"/>
        </w:rPr>
        <w:br w:type="page"/>
      </w:r>
    </w:p>
    <w:p w14:paraId="24340F0D" w14:textId="4C628CD2" w:rsidR="00B3062D" w:rsidRDefault="005876B5" w:rsidP="005876B5">
      <w:pPr>
        <w:autoSpaceDE w:val="0"/>
        <w:autoSpaceDN w:val="0"/>
        <w:adjustRightInd w:val="0"/>
        <w:jc w:val="center"/>
        <w:rPr>
          <w:rFonts w:ascii="Arial" w:eastAsia="ArialMT" w:hAnsi="Arial" w:cs="Arial"/>
          <w:kern w:val="0"/>
          <w:sz w:val="24"/>
          <w:szCs w:val="24"/>
        </w:rPr>
      </w:pPr>
      <w:r>
        <w:rPr>
          <w:rFonts w:ascii="Arial" w:eastAsia="ArialMT" w:hAnsi="Arial" w:cs="Arial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7BC13C36" wp14:editId="27D2A97E">
            <wp:extent cx="4243705" cy="6143719"/>
            <wp:effectExtent l="0" t="0" r="444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72"/>
                    <a:stretch/>
                  </pic:blipFill>
                  <pic:spPr bwMode="auto">
                    <a:xfrm>
                      <a:off x="0" y="0"/>
                      <a:ext cx="4256214" cy="6161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070C5" w14:textId="77777777" w:rsidR="005876B5" w:rsidRPr="005876B5" w:rsidRDefault="005876B5" w:rsidP="005876B5">
      <w:pPr>
        <w:autoSpaceDE w:val="0"/>
        <w:autoSpaceDN w:val="0"/>
        <w:adjustRightInd w:val="0"/>
        <w:jc w:val="left"/>
        <w:rPr>
          <w:rFonts w:ascii="Arial" w:eastAsia="ArialMT" w:hAnsi="Arial" w:cs="Arial"/>
          <w:kern w:val="0"/>
          <w:sz w:val="24"/>
          <w:szCs w:val="24"/>
        </w:rPr>
      </w:pPr>
    </w:p>
    <w:p w14:paraId="5E5D8661" w14:textId="42C165F9" w:rsidR="00B3062D" w:rsidRPr="005876B5" w:rsidRDefault="00B3062D" w:rsidP="00B3062D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szCs w:val="24"/>
        </w:rPr>
      </w:pPr>
      <w:r w:rsidRPr="005876B5">
        <w:rPr>
          <w:rFonts w:ascii="Arial" w:hAnsi="Arial" w:cs="Arial"/>
          <w:b/>
          <w:bCs/>
          <w:kern w:val="0"/>
          <w:sz w:val="24"/>
          <w:szCs w:val="24"/>
        </w:rPr>
        <w:t xml:space="preserve">Figure S3 </w:t>
      </w:r>
      <w:bookmarkStart w:id="0" w:name="_Hlk207797275"/>
      <w:r w:rsidR="008B477B" w:rsidRPr="008B477B">
        <w:rPr>
          <w:rFonts w:ascii="Arial" w:hAnsi="Arial" w:cs="Arial"/>
          <w:b/>
          <w:bCs/>
          <w:sz w:val="24"/>
          <w:szCs w:val="24"/>
        </w:rPr>
        <w:t>Clinical relevance of ODC1 expression in prostate cancer progression</w:t>
      </w:r>
      <w:bookmarkEnd w:id="0"/>
      <w:r w:rsidR="008B477B" w:rsidRPr="008B477B">
        <w:rPr>
          <w:rFonts w:ascii="Arial" w:hAnsi="Arial" w:cs="Arial"/>
          <w:b/>
          <w:bCs/>
          <w:sz w:val="24"/>
          <w:szCs w:val="24"/>
        </w:rPr>
        <w:t>.</w:t>
      </w:r>
    </w:p>
    <w:p w14:paraId="15F02B9B" w14:textId="0369D5F0" w:rsidR="009C60D6" w:rsidRDefault="009C60D6" w:rsidP="005876B5">
      <w:pPr>
        <w:autoSpaceDE w:val="0"/>
        <w:autoSpaceDN w:val="0"/>
        <w:adjustRightInd w:val="0"/>
        <w:jc w:val="left"/>
        <w:rPr>
          <w:rFonts w:ascii="Arial" w:eastAsia="ArialMT" w:hAnsi="Arial" w:cs="Arial" w:hint="eastAsia"/>
          <w:kern w:val="0"/>
          <w:sz w:val="24"/>
          <w:szCs w:val="24"/>
        </w:rPr>
      </w:pPr>
      <w:r w:rsidRPr="00CC1358">
        <w:rPr>
          <w:rFonts w:ascii="Arial" w:hAnsi="Arial" w:cs="Arial"/>
          <w:sz w:val="24"/>
          <w:szCs w:val="24"/>
        </w:rPr>
        <w:t>(</w:t>
      </w:r>
      <w:r w:rsidRPr="008B477B">
        <w:rPr>
          <w:rFonts w:ascii="Arial" w:hAnsi="Arial" w:cs="Arial"/>
          <w:b/>
          <w:bCs/>
          <w:sz w:val="24"/>
          <w:szCs w:val="24"/>
        </w:rPr>
        <w:t>a–d</w:t>
      </w:r>
      <w:r w:rsidRPr="00CC1358">
        <w:rPr>
          <w:rFonts w:ascii="Arial" w:hAnsi="Arial" w:cs="Arial"/>
          <w:sz w:val="24"/>
          <w:szCs w:val="24"/>
        </w:rPr>
        <w:t>) Comparative analyses of ODC1 expression across normal, primary tumor, and metastatic samples in four independent cohorts: GSE62872 (</w:t>
      </w:r>
      <w:r w:rsidRPr="008B477B">
        <w:rPr>
          <w:rFonts w:ascii="Arial" w:hAnsi="Arial" w:cs="Arial"/>
          <w:b/>
          <w:bCs/>
          <w:sz w:val="24"/>
          <w:szCs w:val="24"/>
        </w:rPr>
        <w:t>a</w:t>
      </w:r>
      <w:r w:rsidRPr="00CC1358">
        <w:rPr>
          <w:rFonts w:ascii="Arial" w:hAnsi="Arial" w:cs="Arial"/>
          <w:sz w:val="24"/>
          <w:szCs w:val="24"/>
        </w:rPr>
        <w:t>), Rld (</w:t>
      </w:r>
      <w:r w:rsidRPr="008B477B">
        <w:rPr>
          <w:rFonts w:ascii="Arial" w:hAnsi="Arial" w:cs="Arial"/>
          <w:b/>
          <w:bCs/>
          <w:sz w:val="24"/>
          <w:szCs w:val="24"/>
        </w:rPr>
        <w:t>b</w:t>
      </w:r>
      <w:r w:rsidRPr="00CC1358">
        <w:rPr>
          <w:rFonts w:ascii="Arial" w:hAnsi="Arial" w:cs="Arial"/>
          <w:sz w:val="24"/>
          <w:szCs w:val="24"/>
        </w:rPr>
        <w:t>), GSE21034 (</w:t>
      </w:r>
      <w:r w:rsidRPr="008B477B">
        <w:rPr>
          <w:rFonts w:ascii="Arial" w:hAnsi="Arial" w:cs="Arial"/>
          <w:b/>
          <w:bCs/>
          <w:sz w:val="24"/>
          <w:szCs w:val="24"/>
        </w:rPr>
        <w:t>c</w:t>
      </w:r>
      <w:r w:rsidRPr="00CC1358">
        <w:rPr>
          <w:rFonts w:ascii="Arial" w:hAnsi="Arial" w:cs="Arial"/>
          <w:sz w:val="24"/>
          <w:szCs w:val="24"/>
        </w:rPr>
        <w:t>), and GSE6811 (</w:t>
      </w:r>
      <w:r w:rsidRPr="008B477B">
        <w:rPr>
          <w:rFonts w:ascii="Arial" w:hAnsi="Arial" w:cs="Arial"/>
          <w:b/>
          <w:bCs/>
          <w:sz w:val="24"/>
          <w:szCs w:val="24"/>
        </w:rPr>
        <w:t>d</w:t>
      </w:r>
      <w:r w:rsidRPr="00CC1358">
        <w:rPr>
          <w:rFonts w:ascii="Arial" w:hAnsi="Arial" w:cs="Arial"/>
          <w:sz w:val="24"/>
          <w:szCs w:val="24"/>
        </w:rPr>
        <w:t>). In all datasets, ODC1 expression was markedly elevated in tumors and further increased in metastases. (</w:t>
      </w:r>
      <w:r w:rsidRPr="008B477B">
        <w:rPr>
          <w:rFonts w:ascii="Arial" w:hAnsi="Arial" w:cs="Arial"/>
          <w:b/>
          <w:bCs/>
          <w:sz w:val="24"/>
          <w:szCs w:val="24"/>
        </w:rPr>
        <w:t>e–f</w:t>
      </w:r>
      <w:r w:rsidRPr="00CC1358">
        <w:rPr>
          <w:rFonts w:ascii="Arial" w:hAnsi="Arial" w:cs="Arial"/>
          <w:sz w:val="24"/>
          <w:szCs w:val="24"/>
        </w:rPr>
        <w:t>) Subgroup analyses in TCGA PRAD demonstrate significantly higher ODC1 expression in patients with elevated PSA levels (</w:t>
      </w:r>
      <w:r w:rsidRPr="008B477B">
        <w:rPr>
          <w:rFonts w:ascii="Arial" w:hAnsi="Arial" w:cs="Arial"/>
          <w:b/>
          <w:bCs/>
          <w:sz w:val="24"/>
          <w:szCs w:val="24"/>
        </w:rPr>
        <w:t>e</w:t>
      </w:r>
      <w:r w:rsidRPr="00CC1358">
        <w:rPr>
          <w:rFonts w:ascii="Arial" w:hAnsi="Arial" w:cs="Arial"/>
          <w:sz w:val="24"/>
          <w:szCs w:val="24"/>
        </w:rPr>
        <w:t>) and advanced T stage (</w:t>
      </w:r>
      <w:r w:rsidRPr="008B477B">
        <w:rPr>
          <w:rFonts w:ascii="Arial" w:hAnsi="Arial" w:cs="Arial"/>
          <w:b/>
          <w:bCs/>
          <w:sz w:val="24"/>
          <w:szCs w:val="24"/>
        </w:rPr>
        <w:t>f</w:t>
      </w:r>
      <w:r w:rsidRPr="00CC1358">
        <w:rPr>
          <w:rFonts w:ascii="Arial" w:hAnsi="Arial" w:cs="Arial"/>
          <w:sz w:val="24"/>
          <w:szCs w:val="24"/>
        </w:rPr>
        <w:t>). All P-values were determined using the Kruskal–Wallis test. Together, these findings position ODC1 as a clinically relevant marker of aggressive disease.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4FBB21C" w14:textId="77777777" w:rsidR="005876B5" w:rsidRDefault="005876B5">
      <w:pPr>
        <w:widowControl/>
        <w:jc w:val="left"/>
        <w:rPr>
          <w:rFonts w:ascii="Arial" w:eastAsia="ArialMT" w:hAnsi="Arial" w:cs="Arial"/>
          <w:kern w:val="0"/>
          <w:sz w:val="24"/>
          <w:szCs w:val="24"/>
        </w:rPr>
      </w:pPr>
      <w:r>
        <w:rPr>
          <w:rFonts w:ascii="Arial" w:eastAsia="ArialMT" w:hAnsi="Arial" w:cs="Arial"/>
          <w:kern w:val="0"/>
          <w:sz w:val="24"/>
          <w:szCs w:val="24"/>
        </w:rPr>
        <w:br w:type="page"/>
      </w:r>
    </w:p>
    <w:p w14:paraId="303F9F89" w14:textId="66735031" w:rsidR="00B3062D" w:rsidRPr="005876B5" w:rsidRDefault="005876B5" w:rsidP="005876B5">
      <w:pPr>
        <w:autoSpaceDE w:val="0"/>
        <w:autoSpaceDN w:val="0"/>
        <w:adjustRightInd w:val="0"/>
        <w:jc w:val="left"/>
        <w:rPr>
          <w:rFonts w:ascii="Arial" w:eastAsia="ArialMT" w:hAnsi="Arial" w:cs="Arial"/>
          <w:kern w:val="0"/>
          <w:sz w:val="24"/>
          <w:szCs w:val="24"/>
        </w:rPr>
      </w:pPr>
      <w:r>
        <w:rPr>
          <w:rFonts w:ascii="Arial" w:eastAsia="ArialMT" w:hAnsi="Arial" w:cs="Arial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70D8677A" wp14:editId="0A34DFC4">
            <wp:extent cx="5274310" cy="3492887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7"/>
                    <a:stretch/>
                  </pic:blipFill>
                  <pic:spPr bwMode="auto">
                    <a:xfrm>
                      <a:off x="0" y="0"/>
                      <a:ext cx="5274310" cy="3492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9594F9" w14:textId="77777777" w:rsidR="00775306" w:rsidRDefault="00B3062D" w:rsidP="005876B5">
      <w:pPr>
        <w:autoSpaceDE w:val="0"/>
        <w:autoSpaceDN w:val="0"/>
        <w:adjustRightInd w:val="0"/>
        <w:jc w:val="left"/>
        <w:rPr>
          <w:rFonts w:ascii="Arial" w:hAnsi="Arial" w:cs="Arial"/>
          <w:sz w:val="24"/>
          <w:szCs w:val="24"/>
        </w:rPr>
      </w:pPr>
      <w:r w:rsidRPr="005876B5">
        <w:rPr>
          <w:rFonts w:ascii="Arial" w:hAnsi="Arial" w:cs="Arial"/>
          <w:b/>
          <w:bCs/>
          <w:kern w:val="0"/>
          <w:sz w:val="24"/>
          <w:szCs w:val="24"/>
        </w:rPr>
        <w:t xml:space="preserve">Figure S4 </w:t>
      </w:r>
      <w:r w:rsidR="00261AD9" w:rsidRPr="00261AD9">
        <w:rPr>
          <w:rFonts w:ascii="Arial" w:hAnsi="Arial" w:cs="Arial"/>
          <w:b/>
          <w:bCs/>
          <w:sz w:val="24"/>
          <w:szCs w:val="24"/>
        </w:rPr>
        <w:t>ODC1 expression links to MYC-driven oncogenic programs</w:t>
      </w:r>
      <w:r w:rsidR="00261AD9" w:rsidRPr="00CC1358">
        <w:rPr>
          <w:rFonts w:ascii="Arial" w:hAnsi="Arial" w:cs="Arial"/>
          <w:sz w:val="24"/>
          <w:szCs w:val="24"/>
        </w:rPr>
        <w:t xml:space="preserve">. </w:t>
      </w:r>
    </w:p>
    <w:p w14:paraId="7D6CC29F" w14:textId="57810586" w:rsidR="00261AD9" w:rsidRDefault="00261AD9" w:rsidP="005876B5">
      <w:pPr>
        <w:autoSpaceDE w:val="0"/>
        <w:autoSpaceDN w:val="0"/>
        <w:adjustRightInd w:val="0"/>
        <w:jc w:val="left"/>
        <w:rPr>
          <w:rFonts w:ascii="Arial" w:hAnsi="Arial" w:cs="Arial"/>
          <w:sz w:val="24"/>
          <w:szCs w:val="24"/>
        </w:rPr>
      </w:pPr>
      <w:r w:rsidRPr="00CC1358">
        <w:rPr>
          <w:rFonts w:ascii="Arial" w:hAnsi="Arial" w:cs="Arial"/>
          <w:sz w:val="24"/>
          <w:szCs w:val="24"/>
        </w:rPr>
        <w:t>(</w:t>
      </w:r>
      <w:r w:rsidRPr="00261AD9">
        <w:rPr>
          <w:rFonts w:ascii="Arial" w:hAnsi="Arial" w:cs="Arial"/>
          <w:b/>
          <w:bCs/>
          <w:sz w:val="24"/>
          <w:szCs w:val="24"/>
        </w:rPr>
        <w:t>a</w:t>
      </w:r>
      <w:r w:rsidRPr="00CC1358">
        <w:rPr>
          <w:rFonts w:ascii="Arial" w:hAnsi="Arial" w:cs="Arial"/>
          <w:sz w:val="24"/>
          <w:szCs w:val="24"/>
        </w:rPr>
        <w:t>) Heatmap of Hallmark pathway GSVA scores in TCGA PRAD, ranked from low (left) to high (right) ODC1 expression, with pathways ordered by strength of correlation with ODC1. (</w:t>
      </w:r>
      <w:r w:rsidRPr="00261AD9">
        <w:rPr>
          <w:rFonts w:ascii="Arial" w:hAnsi="Arial" w:cs="Arial"/>
          <w:b/>
          <w:bCs/>
          <w:sz w:val="24"/>
          <w:szCs w:val="24"/>
        </w:rPr>
        <w:t>b–c</w:t>
      </w:r>
      <w:r w:rsidRPr="00CC1358">
        <w:rPr>
          <w:rFonts w:ascii="Arial" w:hAnsi="Arial" w:cs="Arial"/>
          <w:sz w:val="24"/>
          <w:szCs w:val="24"/>
        </w:rPr>
        <w:t>) GSEA analyses highlighting the top six pathways enriched in ODC1-high tumors. The MYC pathway (highlighted in red) emerged as the strongest association, underscoring the role of ODC1 as a downstream effector of MYC signaling in prostate cancer.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BBDC345" w14:textId="77777777" w:rsidR="00775306" w:rsidRPr="005876B5" w:rsidRDefault="00775306" w:rsidP="005876B5">
      <w:pPr>
        <w:autoSpaceDE w:val="0"/>
        <w:autoSpaceDN w:val="0"/>
        <w:adjustRightInd w:val="0"/>
        <w:jc w:val="left"/>
        <w:rPr>
          <w:rFonts w:ascii="Arial" w:eastAsia="ArialMT" w:hAnsi="Arial" w:cs="Arial" w:hint="eastAsia"/>
          <w:kern w:val="0"/>
          <w:sz w:val="24"/>
          <w:szCs w:val="24"/>
        </w:rPr>
      </w:pPr>
    </w:p>
    <w:sectPr w:rsidR="00775306" w:rsidRPr="005876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76EDE" w14:textId="77777777" w:rsidR="000A031D" w:rsidRDefault="000A031D" w:rsidP="00EE61BF">
      <w:r>
        <w:separator/>
      </w:r>
    </w:p>
  </w:endnote>
  <w:endnote w:type="continuationSeparator" w:id="0">
    <w:p w14:paraId="17D2FBAC" w14:textId="77777777" w:rsidR="000A031D" w:rsidRDefault="000A031D" w:rsidP="00EE6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等线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AB479" w14:textId="77777777" w:rsidR="000A031D" w:rsidRDefault="000A031D" w:rsidP="00EE61BF">
      <w:r>
        <w:separator/>
      </w:r>
    </w:p>
  </w:footnote>
  <w:footnote w:type="continuationSeparator" w:id="0">
    <w:p w14:paraId="0FE0D765" w14:textId="77777777" w:rsidR="000A031D" w:rsidRDefault="000A031D" w:rsidP="00EE61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8A"/>
    <w:rsid w:val="000738CF"/>
    <w:rsid w:val="000A031D"/>
    <w:rsid w:val="00241A5B"/>
    <w:rsid w:val="00261AD9"/>
    <w:rsid w:val="005876B5"/>
    <w:rsid w:val="006D2DBC"/>
    <w:rsid w:val="00775306"/>
    <w:rsid w:val="008B477B"/>
    <w:rsid w:val="009C60D6"/>
    <w:rsid w:val="00B23612"/>
    <w:rsid w:val="00B3062D"/>
    <w:rsid w:val="00B96D8A"/>
    <w:rsid w:val="00EE61BF"/>
    <w:rsid w:val="00FD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E90C00"/>
  <w15:chartTrackingRefBased/>
  <w15:docId w15:val="{125D03EA-0BBE-4D71-AC57-23B863D6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61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61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61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61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文杰 许</dc:creator>
  <cp:keywords/>
  <dc:description/>
  <cp:lastModifiedBy>ZP</cp:lastModifiedBy>
  <cp:revision>11</cp:revision>
  <dcterms:created xsi:type="dcterms:W3CDTF">2025-08-30T04:49:00Z</dcterms:created>
  <dcterms:modified xsi:type="dcterms:W3CDTF">2025-09-03T05:14:00Z</dcterms:modified>
</cp:coreProperties>
</file>