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5C8A8">
      <w:pPr>
        <w:spacing w:after="120" w:afterLines="50" w:line="480" w:lineRule="auto"/>
        <w:jc w:val="center"/>
        <w:rPr>
          <w:rFonts w:hint="default" w:ascii="Times New Roman" w:hAnsi="Times New Roman" w:cs="Times New Roman"/>
          <w:sz w:val="32"/>
          <w:szCs w:val="32"/>
          <w:highlight w:val="none"/>
        </w:rPr>
      </w:pPr>
      <w:bookmarkStart w:id="3" w:name="_GoBack"/>
      <w:r>
        <w:rPr>
          <w:rFonts w:hint="default" w:ascii="Times New Roman" w:hAnsi="Times New Roman" w:cs="Times New Roman"/>
          <w:sz w:val="32"/>
          <w:szCs w:val="32"/>
          <w:highlight w:val="none"/>
        </w:rPr>
        <w:t>Supplementary Materials for</w:t>
      </w:r>
    </w:p>
    <w:p w14:paraId="798F9A09">
      <w:pPr>
        <w:spacing w:after="120" w:afterLines="50" w:line="48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highlight w:val="none"/>
        </w:rPr>
        <w:t>IL-38 Attenuates Vascular Calcification by Upregulating GPX3-Mediated Antioxidant Defense via the PPAR-γ/NRF2 Axis</w:t>
      </w:r>
    </w:p>
    <w:p w14:paraId="151556A4">
      <w:pPr>
        <w:spacing w:after="120" w:afterLines="50" w:line="480" w:lineRule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t>Lei Zhu</w:t>
      </w:r>
      <w:r>
        <w:rPr>
          <w:rFonts w:hint="default" w:ascii="Times New Roman" w:hAnsi="Times New Roman" w:cs="Times New Roman"/>
          <w:highlight w:val="none"/>
          <w:vertAlign w:val="superscript"/>
        </w:rPr>
        <w:t>1, #</w:t>
      </w:r>
      <w:r>
        <w:rPr>
          <w:rFonts w:hint="default" w:ascii="Times New Roman" w:hAnsi="Times New Roman" w:cs="Times New Roman"/>
          <w:highlight w:val="none"/>
        </w:rPr>
        <w:t>, Qiang Wang</w:t>
      </w:r>
      <w:r>
        <w:rPr>
          <w:rFonts w:hint="default" w:ascii="Times New Roman" w:hAnsi="Times New Roman" w:cs="Times New Roman"/>
          <w:highlight w:val="none"/>
          <w:vertAlign w:val="superscript"/>
        </w:rPr>
        <w:t>2, #</w:t>
      </w:r>
      <w:r>
        <w:rPr>
          <w:rFonts w:hint="default" w:ascii="Times New Roman" w:hAnsi="Times New Roman" w:cs="Times New Roman"/>
          <w:highlight w:val="none"/>
        </w:rPr>
        <w:t>, Bingliang Shang</w:t>
      </w:r>
      <w:r>
        <w:rPr>
          <w:rFonts w:hint="default" w:ascii="Times New Roman" w:hAnsi="Times New Roman" w:cs="Times New Roman"/>
          <w:highlight w:val="none"/>
          <w:vertAlign w:val="superscript"/>
        </w:rPr>
        <w:t>2, #</w:t>
      </w:r>
      <w:r>
        <w:rPr>
          <w:rFonts w:hint="default" w:ascii="Times New Roman" w:hAnsi="Times New Roman" w:cs="Times New Roman"/>
          <w:highlight w:val="none"/>
        </w:rPr>
        <w:t>, Jun Cui</w:t>
      </w:r>
      <w:r>
        <w:rPr>
          <w:rFonts w:hint="default" w:ascii="Times New Roman" w:hAnsi="Times New Roman" w:cs="Times New Roman"/>
          <w:highlight w:val="none"/>
          <w:vertAlign w:val="superscript"/>
        </w:rPr>
        <w:t>2</w:t>
      </w:r>
      <w:r>
        <w:rPr>
          <w:rFonts w:hint="default" w:ascii="Times New Roman" w:hAnsi="Times New Roman" w:cs="Times New Roman"/>
          <w:highlight w:val="none"/>
        </w:rPr>
        <w:t>, Yujie Song</w:t>
      </w:r>
      <w:r>
        <w:rPr>
          <w:rFonts w:hint="default" w:ascii="Times New Roman" w:hAnsi="Times New Roman" w:cs="Times New Roman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highlight w:val="none"/>
        </w:rPr>
        <w:t>, Bing Zhang</w:t>
      </w:r>
      <w:r>
        <w:rPr>
          <w:rFonts w:hint="default" w:ascii="Times New Roman" w:hAnsi="Times New Roman" w:cs="Times New Roman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highlight w:val="none"/>
        </w:rPr>
        <w:t>, Wenlong Chen</w:t>
      </w:r>
      <w:r>
        <w:rPr>
          <w:rFonts w:hint="default" w:ascii="Times New Roman" w:hAnsi="Times New Roman" w:cs="Times New Roman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highlight w:val="none"/>
        </w:rPr>
        <w:t>, Jialin Xin</w:t>
      </w:r>
      <w:r>
        <w:rPr>
          <w:rFonts w:hint="default" w:ascii="Times New Roman" w:hAnsi="Times New Roman" w:cs="Times New Roman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highlight w:val="none"/>
        </w:rPr>
        <w:t>, Yang Cui</w:t>
      </w:r>
      <w:r>
        <w:rPr>
          <w:rFonts w:hint="default" w:ascii="Times New Roman" w:hAnsi="Times New Roman" w:cs="Times New Roman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highlight w:val="none"/>
        </w:rPr>
        <w:t>, Rui Liu</w:t>
      </w:r>
      <w:r>
        <w:rPr>
          <w:rFonts w:hint="default" w:ascii="Times New Roman" w:hAnsi="Times New Roman" w:cs="Times New Roman"/>
          <w:highlight w:val="none"/>
          <w:vertAlign w:val="superscript"/>
        </w:rPr>
        <w:t xml:space="preserve"> 2</w:t>
      </w:r>
      <w:r>
        <w:rPr>
          <w:rFonts w:hint="default" w:ascii="Times New Roman" w:hAnsi="Times New Roman" w:cs="Times New Roman"/>
          <w:highlight w:val="none"/>
        </w:rPr>
        <w:t>, Panpan Li</w:t>
      </w:r>
      <w:r>
        <w:rPr>
          <w:rFonts w:hint="default" w:ascii="Times New Roman" w:hAnsi="Times New Roman" w:cs="Times New Roman"/>
          <w:highlight w:val="none"/>
          <w:vertAlign w:val="superscript"/>
        </w:rPr>
        <w:t>2</w:t>
      </w:r>
      <w:r>
        <w:rPr>
          <w:rFonts w:hint="default" w:ascii="Times New Roman" w:hAnsi="Times New Roman" w:cs="Times New Roman"/>
          <w:highlight w:val="none"/>
        </w:rPr>
        <w:t>, Lanrui Jing</w:t>
      </w:r>
      <w:r>
        <w:rPr>
          <w:rFonts w:hint="default" w:ascii="Times New Roman" w:hAnsi="Times New Roman" w:cs="Times New Roman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highlight w:val="none"/>
        </w:rPr>
        <w:t>, Haitao Zhou</w:t>
      </w:r>
      <w:r>
        <w:rPr>
          <w:rFonts w:hint="default" w:ascii="Times New Roman" w:hAnsi="Times New Roman" w:cs="Times New Roman"/>
          <w:highlight w:val="none"/>
          <w:vertAlign w:val="superscript"/>
        </w:rPr>
        <w:t>2</w:t>
      </w:r>
      <w:r>
        <w:rPr>
          <w:rFonts w:hint="default" w:ascii="Times New Roman" w:hAnsi="Times New Roman" w:cs="Times New Roman"/>
          <w:highlight w:val="none"/>
        </w:rPr>
        <w:t>, Wangxia</w:t>
      </w:r>
      <w:r>
        <w:rPr>
          <w:rFonts w:hint="default" w:ascii="Times New Roman" w:hAnsi="Times New Roman" w:cs="Times New Roman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</w:rPr>
        <w:t>Tang</w:t>
      </w:r>
      <w:r>
        <w:rPr>
          <w:rFonts w:hint="default" w:ascii="Times New Roman" w:hAnsi="Times New Roman" w:cs="Times New Roman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highlight w:val="none"/>
        </w:rPr>
        <w:t>, Yang Sun</w:t>
      </w:r>
      <w:r>
        <w:rPr>
          <w:rFonts w:hint="default" w:ascii="Times New Roman" w:hAnsi="Times New Roman" w:cs="Times New Roman"/>
          <w:highlight w:val="none"/>
          <w:vertAlign w:val="superscript"/>
        </w:rPr>
        <w:t>2,</w:t>
      </w:r>
      <w:r>
        <w:rPr>
          <w:rFonts w:hint="default" w:ascii="Times New Roman" w:hAnsi="Times New Roman" w:cs="Times New Roman"/>
          <w:highlight w:val="none"/>
        </w:rPr>
        <w:t>*, and Wei Yi</w:t>
      </w:r>
      <w:r>
        <w:rPr>
          <w:rFonts w:hint="default" w:ascii="Times New Roman" w:hAnsi="Times New Roman" w:cs="Times New Roman"/>
          <w:highlight w:val="none"/>
          <w:vertAlign w:val="superscript"/>
        </w:rPr>
        <w:t>1,</w:t>
      </w:r>
      <w:r>
        <w:rPr>
          <w:rFonts w:hint="default" w:ascii="Times New Roman" w:hAnsi="Times New Roman" w:cs="Times New Roman"/>
          <w:highlight w:val="none"/>
        </w:rPr>
        <w:t xml:space="preserve">** </w:t>
      </w:r>
    </w:p>
    <w:p w14:paraId="6EA97F5B">
      <w:pPr>
        <w:spacing w:after="120" w:afterLines="50" w:line="480" w:lineRule="auto"/>
        <w:rPr>
          <w:rFonts w:hint="default" w:ascii="Times New Roman" w:hAnsi="Times New Roman" w:cs="Times New Roman"/>
          <w:color w:val="558ED5" w:themeColor="text2" w:themeTint="99"/>
          <w:highlight w:val="non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highlight w:val="none"/>
        </w:rPr>
        <w:t xml:space="preserve">*Correspondence: </w:t>
      </w:r>
      <w:bookmarkStart w:id="0" w:name="_Hlk198738768"/>
      <w:r>
        <w:rPr>
          <w:rFonts w:hint="default" w:ascii="Times New Roman" w:hAnsi="Times New Roman" w:cs="Times New Roman"/>
          <w:color w:val="558ED5" w:themeColor="text2" w:themeTint="99"/>
          <w:highlight w:val="non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drsunyang@</w:t>
      </w:r>
      <w:bookmarkEnd w:id="0"/>
      <w:r>
        <w:rPr>
          <w:rFonts w:hint="default" w:ascii="Times New Roman" w:hAnsi="Times New Roman" w:cs="Times New Roman"/>
          <w:color w:val="558ED5" w:themeColor="text2" w:themeTint="99"/>
          <w:highlight w:val="non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fmmu.edu.cn</w:t>
      </w:r>
    </w:p>
    <w:p w14:paraId="7787C595">
      <w:pPr>
        <w:spacing w:after="120" w:afterLines="50" w:line="480" w:lineRule="auto"/>
        <w:rPr>
          <w:rFonts w:hint="default" w:ascii="Times New Roman" w:hAnsi="Times New Roman" w:cs="Times New Roman"/>
          <w:color w:val="558ED5" w:themeColor="text2" w:themeTint="99"/>
          <w:highlight w:val="none"/>
          <w:lang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highlight w:val="none"/>
        </w:rPr>
        <w:t xml:space="preserve">**Correspondence: </w:t>
      </w:r>
      <w:r>
        <w:rPr>
          <w:rFonts w:hint="default" w:ascii="Times New Roman" w:hAnsi="Times New Roman" w:cs="Times New Roman"/>
          <w:highlight w:val="none"/>
        </w:rPr>
        <w:fldChar w:fldCharType="begin"/>
      </w:r>
      <w:r>
        <w:rPr>
          <w:rFonts w:hint="default" w:ascii="Times New Roman" w:hAnsi="Times New Roman" w:cs="Times New Roman"/>
          <w:highlight w:val="none"/>
        </w:rPr>
        <w:instrText xml:space="preserve"> HYPERLINK "mailto:yiwei@fmmu.edu.cn" </w:instrText>
      </w:r>
      <w:r>
        <w:rPr>
          <w:rFonts w:hint="default" w:ascii="Times New Roman" w:hAnsi="Times New Roman" w:cs="Times New Roman"/>
          <w:highlight w:val="none"/>
        </w:rPr>
        <w:fldChar w:fldCharType="separate"/>
      </w:r>
      <w:r>
        <w:rPr>
          <w:rStyle w:val="94"/>
          <w:rFonts w:hint="default" w:ascii="Times New Roman" w:hAnsi="Times New Roman" w:cs="Times New Roman"/>
          <w:color w:val="558ED5" w:themeColor="text2" w:themeTint="99"/>
          <w:highlight w:val="non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yiwei@fmmu.edu.cn</w:t>
      </w:r>
      <w:r>
        <w:rPr>
          <w:rStyle w:val="94"/>
          <w:rFonts w:hint="default" w:ascii="Times New Roman" w:hAnsi="Times New Roman" w:cs="Times New Roman"/>
          <w:color w:val="558ED5" w:themeColor="text2" w:themeTint="99"/>
          <w:highlight w:val="non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fldChar w:fldCharType="end"/>
      </w:r>
    </w:p>
    <w:p w14:paraId="2EB3EB54">
      <w:pPr>
        <w:spacing w:after="120" w:afterLines="50" w:line="480" w:lineRule="auto"/>
        <w:rPr>
          <w:rFonts w:hint="default" w:ascii="Times New Roman" w:hAnsi="Times New Roman" w:cs="Times New Roman"/>
          <w:color w:val="558ED5" w:themeColor="text2" w:themeTint="99"/>
          <w:highlight w:val="none"/>
          <w:lang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4757B548">
      <w:pPr>
        <w:spacing w:after="120" w:afterLines="50" w:line="480" w:lineRule="auto"/>
        <w:rPr>
          <w:rFonts w:hint="default" w:ascii="Times New Roman" w:hAnsi="Times New Roman" w:cs="Times New Roman"/>
          <w:b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  <w:highlight w:val="none"/>
        </w:rPr>
        <w:t>This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</w:rPr>
        <w:t>file includes:</w:t>
      </w:r>
    </w:p>
    <w:p w14:paraId="0AD254BD">
      <w:pPr>
        <w:spacing w:after="120" w:afterLines="50" w:line="480" w:lineRule="auto"/>
        <w:rPr>
          <w:rFonts w:hint="default" w:ascii="Times New Roman" w:hAnsi="Times New Roman" w:cs="Times New Roman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Cs w:val="24"/>
          <w:highlight w:val="none"/>
          <w:lang w:eastAsia="zh-CN"/>
        </w:rPr>
        <w:t xml:space="preserve"> Fig. S</w:t>
      </w:r>
      <w:r>
        <w:rPr>
          <w:rFonts w:hint="default" w:ascii="Times New Roman" w:hAnsi="Times New Roman" w:cs="Times New Roman"/>
          <w:szCs w:val="24"/>
          <w:highlight w:val="none"/>
        </w:rPr>
        <w:t xml:space="preserve">1 to </w:t>
      </w:r>
      <w:r>
        <w:rPr>
          <w:rFonts w:hint="default" w:ascii="Times New Roman" w:hAnsi="Times New Roman" w:cs="Times New Roman"/>
          <w:szCs w:val="24"/>
          <w:highlight w:val="none"/>
          <w:lang w:eastAsia="zh-CN"/>
        </w:rPr>
        <w:t>S</w:t>
      </w:r>
      <w:r>
        <w:rPr>
          <w:rFonts w:hint="eastAsia" w:cs="Times New Roman"/>
          <w:szCs w:val="24"/>
          <w:highlight w:val="none"/>
          <w:lang w:val="en-US" w:eastAsia="zh-CN"/>
        </w:rPr>
        <w:t>7</w:t>
      </w:r>
    </w:p>
    <w:p w14:paraId="4209985F">
      <w:pPr>
        <w:spacing w:after="120" w:afterLines="50" w:line="480" w:lineRule="auto"/>
        <w:rPr>
          <w:rFonts w:hint="default" w:ascii="Times New Roman" w:hAnsi="Times New Roman" w:cs="Times New Roman"/>
          <w:b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sz w:val="28"/>
          <w:szCs w:val="28"/>
          <w:highlight w:val="none"/>
        </w:rPr>
        <w:t xml:space="preserve">Other Supplementary Materials for this manuscript include the following: </w:t>
      </w:r>
    </w:p>
    <w:p w14:paraId="052759D2">
      <w:pPr>
        <w:spacing w:after="120" w:afterLines="50" w:line="480" w:lineRule="auto"/>
        <w:rPr>
          <w:rFonts w:hint="default" w:ascii="Times New Roman" w:hAnsi="Times New Roman" w:cs="Times New Roman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Cs w:val="24"/>
          <w:highlight w:val="none"/>
          <w:lang w:eastAsia="zh-CN"/>
        </w:rPr>
        <w:t xml:space="preserve">Table S1 </w:t>
      </w:r>
      <w:r>
        <w:rPr>
          <w:rFonts w:hint="default" w:ascii="Times New Roman" w:hAnsi="Times New Roman" w:cs="Times New Roman"/>
          <w:szCs w:val="24"/>
          <w:highlight w:val="none"/>
        </w:rPr>
        <w:t>to</w:t>
      </w:r>
      <w:r>
        <w:rPr>
          <w:rFonts w:hint="default" w:ascii="Times New Roman" w:hAnsi="Times New Roman" w:cs="Times New Roman"/>
          <w:szCs w:val="24"/>
          <w:highlight w:val="none"/>
          <w:lang w:eastAsia="zh-CN"/>
        </w:rPr>
        <w:t xml:space="preserve"> S2</w:t>
      </w:r>
      <w:r>
        <w:rPr>
          <w:rFonts w:hint="default" w:ascii="Times New Roman" w:hAnsi="Times New Roman" w:cs="Times New Roman"/>
          <w:szCs w:val="24"/>
          <w:highlight w:val="none"/>
        </w:rPr>
        <w:br w:type="page"/>
      </w:r>
      <w:bookmarkStart w:id="1" w:name="Tables"/>
      <w:bookmarkEnd w:id="1"/>
      <w:bookmarkStart w:id="2" w:name="MaterialsMethods"/>
      <w:bookmarkEnd w:id="2"/>
    </w:p>
    <w:p w14:paraId="560E5FBB">
      <w:pPr>
        <w:numPr>
          <w:ilvl w:val="0"/>
          <w:numId w:val="0"/>
        </w:numPr>
        <w:ind w:leftChars="0"/>
        <w:jc w:val="center"/>
        <w:rPr>
          <w:rFonts w:hint="eastAsia" w:ascii="Times New Roman" w:hAnsi="Times New Roman" w:eastAsia="微软雅黑" w:cs="Times New Roman"/>
          <w:color w:val="4F81BD" w:themeColor="accent1"/>
          <w:szCs w:val="21"/>
          <w:highlight w:val="none"/>
          <w:shd w:val="clear" w:color="auto" w:fill="FFFFFF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Times New Roman" w:hAnsi="Times New Roman" w:eastAsia="微软雅黑" w:cs="Times New Roman"/>
          <w:color w:val="4F81BD" w:themeColor="accent1"/>
          <w:szCs w:val="21"/>
          <w:highlight w:val="none"/>
          <w:shd w:val="clear" w:color="auto" w:fill="FFFFFF"/>
          <w:lang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3042285" cy="2638425"/>
            <wp:effectExtent l="0" t="0" r="5715" b="317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6"/>
                    <a:srcRect l="11637" t="8146" r="30647" b="56450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1C5CB">
      <w:pPr>
        <w:widowControl w:val="0"/>
        <w:spacing w:after="120" w:afterLines="50" w:line="480" w:lineRule="auto"/>
        <w:contextualSpacing/>
        <w:jc w:val="both"/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 xml:space="preserve">Changes in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M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ice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B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 xml:space="preserve">ody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W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 xml:space="preserve">eight during the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E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 xml:space="preserve">xperimental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P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</w:rPr>
        <w:t>erio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d.</w:t>
      </w:r>
    </w:p>
    <w:p w14:paraId="63139DC6">
      <w:pPr>
        <w:spacing w:after="120" w:afterLines="50" w:line="480" w:lineRule="auto"/>
        <w:jc w:val="both"/>
        <w:rPr>
          <w:rFonts w:hint="default"/>
          <w:highlight w:val="none"/>
          <w:lang w:val="en-US" w:eastAsia="zh-CN"/>
        </w:rPr>
        <w:sectPr>
          <w:headerReference r:id="rId3" w:type="default"/>
          <w:footerReference r:id="rId4" w:type="default"/>
          <w:pgSz w:w="12240" w:h="15840"/>
          <w:pgMar w:top="1440" w:right="1440" w:bottom="1440" w:left="1440" w:header="720" w:footer="720" w:gutter="0"/>
          <w:lnNumType w:countBy="1" w:restart="continuous"/>
          <w:pgNumType w:fmt="decimal" w:start="1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(A)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Body weight changes in WT and IL-38 KO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mice (n=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Body weight changes in mice with and without rIL-38 treatment (n=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). Statistical analysis was performed using multiple t-tests with appropriate correction for multiple comparisons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(B)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. All data were presented as mean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± SD.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0.001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>.</w:t>
      </w:r>
      <w:r>
        <w:rPr>
          <w:rFonts w:hint="eastAsia"/>
          <w:highlight w:val="none"/>
          <w:lang w:val="en-US" w:eastAsia="zh-CN"/>
        </w:rPr>
        <w:tab/>
      </w:r>
    </w:p>
    <w:p w14:paraId="51AD7094">
      <w:pPr>
        <w:widowControl w:val="0"/>
        <w:spacing w:after="120" w:afterLines="50" w:line="480" w:lineRule="auto"/>
        <w:contextualSpacing/>
        <w:jc w:val="center"/>
        <w:rPr>
          <w:rFonts w:hint="default" w:ascii="Times New Roman" w:hAnsi="Times New Roman" w:eastAsia="宋体" w:cs="Times New Roman"/>
          <w:b/>
          <w:bCs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Cs w:val="24"/>
          <w:highlight w:val="none"/>
          <w:lang w:eastAsia="zh-CN"/>
        </w:rPr>
        <w:drawing>
          <wp:inline distT="0" distB="0" distL="114300" distR="114300">
            <wp:extent cx="4232910" cy="1538605"/>
            <wp:effectExtent l="0" t="0" r="0" b="0"/>
            <wp:docPr id="5" name="图片 5" descr="supplementary 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1"/>
                    <pic:cNvPicPr>
                      <a:picLocks noChangeAspect="1"/>
                    </pic:cNvPicPr>
                  </pic:nvPicPr>
                  <pic:blipFill>
                    <a:blip r:embed="rId7"/>
                    <a:srcRect t="7283" r="27211" b="74004"/>
                    <a:stretch>
                      <a:fillRect/>
                    </a:stretch>
                  </pic:blipFill>
                  <pic:spPr>
                    <a:xfrm>
                      <a:off x="0" y="0"/>
                      <a:ext cx="423291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4CCD0">
      <w:pPr>
        <w:widowControl w:val="0"/>
        <w:spacing w:after="120" w:afterLines="50" w:line="480" w:lineRule="auto"/>
        <w:contextualSpacing/>
        <w:jc w:val="both"/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Genotyping of IL-38 K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O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Mice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.</w:t>
      </w:r>
    </w:p>
    <w:p w14:paraId="1374F828">
      <w:pPr>
        <w:spacing w:after="120" w:afterLines="50" w:line="480" w:lineRule="auto"/>
        <w:jc w:val="both"/>
        <w:rPr>
          <w:rFonts w:hint="default" w:ascii="Times New Roman" w:hAnsi="Times New Roman" w:cs="Times New Roman"/>
          <w:sz w:val="21"/>
          <w:szCs w:val="21"/>
          <w:highlight w:val="none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pgNumType w:fmt="decimal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(A)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IL-38 genotyping verification by agarose gel electrophoresis.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Plasma IL-38 levels in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WT and IL-38 KO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mice (n=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6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). Statistical significance was evaluated via two-tailed, unpaired Student’s t-test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(B)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. All data were presented as mean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± SD.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0.001.</w:t>
      </w:r>
    </w:p>
    <w:p w14:paraId="3B1809B6">
      <w:pPr>
        <w:spacing w:after="120" w:afterLines="50" w:line="480" w:lineRule="auto"/>
        <w:jc w:val="center"/>
        <w:rPr>
          <w:rFonts w:hint="default" w:ascii="Times New Roman" w:hAnsi="Times New Roman" w:cs="Times New Roman" w:eastAsiaTheme="minorEastAsia"/>
          <w:b/>
          <w:bCs/>
          <w:highlight w:val="none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highlight w:val="none"/>
          <w:lang w:eastAsia="zh-CN"/>
        </w:rPr>
        <w:drawing>
          <wp:inline distT="0" distB="0" distL="114300" distR="114300">
            <wp:extent cx="2950210" cy="2199640"/>
            <wp:effectExtent l="0" t="0" r="0" b="0"/>
            <wp:docPr id="11" name="图片 11" descr="supplementary fig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lementary figure3"/>
                    <pic:cNvPicPr>
                      <a:picLocks noChangeAspect="1"/>
                    </pic:cNvPicPr>
                  </pic:nvPicPr>
                  <pic:blipFill>
                    <a:blip r:embed="rId8"/>
                    <a:srcRect l="11684" t="7437" r="37585" b="65809"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A61A">
      <w:pPr>
        <w:widowControl w:val="0"/>
        <w:spacing w:after="120" w:afterLines="50" w:line="480" w:lineRule="auto"/>
        <w:contextualSpacing/>
        <w:jc w:val="both"/>
        <w:rPr>
          <w:rFonts w:hint="default" w:ascii="Times New Roman" w:hAnsi="Times New Roman" w:cs="Times New Roman" w:eastAsiaTheme="minorEastAsia"/>
          <w:b/>
          <w:bCs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IL-38 Ameliorates Vascular Calcification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both </w:t>
      </w:r>
      <w:r>
        <w:rPr>
          <w:rFonts w:hint="default" w:ascii="Times New Roman" w:hAnsi="Times New Roman" w:cs="Times New Roman"/>
          <w:b/>
          <w:bCs/>
          <w:i/>
          <w:iCs/>
          <w:sz w:val="21"/>
          <w:szCs w:val="21"/>
          <w:highlight w:val="none"/>
        </w:rPr>
        <w:t>in vivo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and </w:t>
      </w:r>
      <w:r>
        <w:rPr>
          <w:rFonts w:hint="default" w:ascii="Times New Roman" w:hAnsi="Times New Roman" w:cs="Times New Roman"/>
          <w:b/>
          <w:bCs/>
          <w:i/>
          <w:iCs/>
          <w:sz w:val="21"/>
          <w:szCs w:val="21"/>
          <w:highlight w:val="none"/>
        </w:rPr>
        <w:t>in vitro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.</w:t>
      </w:r>
    </w:p>
    <w:p w14:paraId="2AE4A8D4">
      <w:pPr>
        <w:spacing w:after="120" w:afterLines="50" w:line="48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highlight w:val="none"/>
          <w:lang w:val="en-US" w:eastAsia="zh-CN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pgNumType w:fmt="decimal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Quantification of </w:t>
      </w:r>
      <w:r>
        <w:rPr>
          <w:rFonts w:hint="eastAsia" w:cs="Times New Roman"/>
          <w:b w:val="0"/>
          <w:bCs w:val="0"/>
          <w:sz w:val="21"/>
          <w:szCs w:val="21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lizarin red staining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4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(n=6).</w:t>
      </w:r>
      <w:r>
        <w:rPr>
          <w:rFonts w:hint="eastAsia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Quantification of immunofluorescence staining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4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J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(n=4).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Quantification of immunoblots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4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(n=6).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Statistical significance was evaluated via two-way ANOVA followed by the Bonferroni multiple-comparison test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,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. All data were presented as mean ± SD. 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0.05, ***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0.001.</w:t>
      </w:r>
    </w:p>
    <w:p w14:paraId="306BD6B7">
      <w:pPr>
        <w:spacing w:after="120" w:afterLines="50" w:line="480" w:lineRule="auto"/>
        <w:jc w:val="both"/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drawing>
          <wp:inline distT="0" distB="0" distL="114300" distR="114300">
            <wp:extent cx="5815330" cy="5514975"/>
            <wp:effectExtent l="0" t="0" r="0" b="0"/>
            <wp:docPr id="1" name="图片 1" descr="supplementary 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4"/>
                    <pic:cNvPicPr>
                      <a:picLocks noChangeAspect="1"/>
                    </pic:cNvPicPr>
                  </pic:nvPicPr>
                  <pic:blipFill>
                    <a:blip r:embed="rId9"/>
                    <a:srcRect t="6642" b="26282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39302">
      <w:pPr>
        <w:widowControl w:val="0"/>
        <w:spacing w:after="120" w:afterLines="50" w:line="480" w:lineRule="auto"/>
        <w:contextualSpacing/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. IL-38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lleviates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O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xidative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tress in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V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ascular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alcification.</w:t>
      </w:r>
    </w:p>
    <w:p w14:paraId="78452706">
      <w:pPr>
        <w:spacing w:after="120" w:afterLines="50" w:line="480" w:lineRule="auto"/>
        <w:rPr>
          <w:rFonts w:hint="default" w:ascii="Times New Roman" w:hAnsi="Times New Roman" w:cs="Times New Roman"/>
          <w:sz w:val="21"/>
          <w:szCs w:val="21"/>
          <w:highlight w:val="none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pgNumType w:fmt="decimal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(A)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Principal component analysis (PCA) of RNA-seq samples.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(B)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D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ifferentially expressed genes (DEGs) identified by RNA-seq analysis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(C)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Volcano plot of downregulated genes in the antioxidant activity signaling pathway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Relative mRNA expression of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 xml:space="preserve"> GPX3 </w:t>
      </w:r>
      <w:r>
        <w:rPr>
          <w:rFonts w:ascii="Times New Roman" w:hAnsi="Times New Roman" w:cs="Times New Roman"/>
          <w:highlight w:val="none"/>
        </w:rPr>
        <w:t>from aortas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</w:t>
      </w:r>
      <w:r>
        <w:rPr>
          <w:rFonts w:hint="eastAsia" w:cs="Times New Roman"/>
          <w:highlight w:val="none"/>
          <w:lang w:val="en-US" w:eastAsia="zh-CN"/>
        </w:rPr>
        <w:t>.</w:t>
      </w:r>
      <w:r>
        <w:rPr>
          <w:rFonts w:hint="eastAsia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Relative mRNA expression of down-regulated genes in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antioxidant activity signaling pathway from hASMCs 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Statistical significance was evaluated via two-way ANOVA followed by the Bonferroni multiple-comparison test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D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, E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. All data were presented as mean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± SD. 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0.05,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0.01,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0.001.</w:t>
      </w:r>
    </w:p>
    <w:p w14:paraId="57135080">
      <w:pPr>
        <w:spacing w:after="120" w:afterLines="50" w:line="480" w:lineRule="auto"/>
        <w:jc w:val="center"/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drawing>
          <wp:inline distT="0" distB="0" distL="114300" distR="114300">
            <wp:extent cx="4525010" cy="3384550"/>
            <wp:effectExtent l="0" t="0" r="8890" b="6350"/>
            <wp:docPr id="8" name="图片 8" descr="supplementary figur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5"/>
                    <pic:cNvPicPr>
                      <a:picLocks noChangeAspect="1"/>
                    </pic:cNvPicPr>
                  </pic:nvPicPr>
                  <pic:blipFill>
                    <a:blip r:embed="rId10"/>
                    <a:srcRect l="10832" t="7144" r="11356" b="51691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CD385">
      <w:pPr>
        <w:widowControl w:val="0"/>
        <w:spacing w:after="120" w:afterLines="50" w:line="480" w:lineRule="auto"/>
        <w:contextualSpacing/>
        <w:rPr>
          <w:rFonts w:hint="eastAsia" w:ascii="Times New Roman" w:hAnsi="Times New Roman" w:cs="Times New Roman" w:eastAsiaTheme="minorEastAsia"/>
          <w:b/>
          <w:b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.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IL-38 Knockdown Leads to Downregulation of Antioxidant-Related Genes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.</w:t>
      </w:r>
    </w:p>
    <w:p w14:paraId="091274E1">
      <w:pPr>
        <w:widowControl w:val="0"/>
        <w:spacing w:after="120" w:afterLines="50" w:line="480" w:lineRule="auto"/>
        <w:contextualSpacing/>
        <w:jc w:val="left"/>
        <w:rPr>
          <w:rFonts w:hint="default" w:ascii="Times New Roman" w:hAnsi="Times New Roman" w:cs="Times New Roman"/>
          <w:sz w:val="21"/>
          <w:szCs w:val="21"/>
          <w:highlight w:val="none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pgNumType w:fmt="decimal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A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Relative mRNA expression of 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>IL-38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(B)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Representative Western blot results of 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>IL-38 and q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uantification of immunoblots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(C)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Relative mRNA expression of down-regulated genes in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antioxidant activity signaling pathway from hASMCs (n=6).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Statistical significance was evaluated via one-way ANOVA followed by the Bonferroni multiple-comparison test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 (A, 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</w:rPr>
        <w:t>tw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o-way ANOVA followed by the Bonferroni multiple-comparison test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. All data were presented as mean ± SD.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0.05,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0.01,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0.001.</w:t>
      </w:r>
    </w:p>
    <w:p w14:paraId="235581E5">
      <w:pPr>
        <w:widowControl w:val="0"/>
        <w:spacing w:after="120" w:afterLines="50" w:line="480" w:lineRule="auto"/>
        <w:contextualSpacing/>
        <w:jc w:val="center"/>
        <w:rPr>
          <w:rFonts w:hint="default" w:ascii="Times New Roman" w:hAnsi="Times New Roman" w:eastAsia="宋体" w:cs="Times New Roman"/>
          <w:b/>
          <w:bCs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Cs w:val="24"/>
          <w:highlight w:val="none"/>
          <w:lang w:eastAsia="zh-CN"/>
        </w:rPr>
        <w:drawing>
          <wp:inline distT="0" distB="0" distL="114300" distR="114300">
            <wp:extent cx="5815330" cy="2223770"/>
            <wp:effectExtent l="0" t="0" r="0" b="0"/>
            <wp:docPr id="12" name="图片 12" descr="supplementary figur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upplementary figure6"/>
                    <pic:cNvPicPr>
                      <a:picLocks noChangeAspect="1"/>
                    </pic:cNvPicPr>
                  </pic:nvPicPr>
                  <pic:blipFill>
                    <a:blip r:embed="rId11"/>
                    <a:srcRect t="8774" b="64180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E5219">
      <w:pPr>
        <w:widowControl w:val="0"/>
        <w:spacing w:after="120" w:afterLines="50" w:line="480" w:lineRule="auto"/>
        <w:contextualSpacing/>
        <w:jc w:val="both"/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IL-38 Alleviates Vascular Calcification via GPX3-mediated Antioxidant Defenses.</w:t>
      </w:r>
    </w:p>
    <w:p w14:paraId="70A19811">
      <w:pPr>
        <w:widowControl w:val="0"/>
        <w:spacing w:after="120" w:afterLines="50" w:line="480" w:lineRule="auto"/>
        <w:contextualSpacing/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pgNumType w:fmt="decimal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A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Relative mRNA expression of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GPX3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(B)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Representative Western blot results of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GPX3.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(C)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Quantification of immunoblots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D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highlight w:val="none"/>
        </w:rPr>
        <w:t xml:space="preserve">Quantification of </w:t>
      </w:r>
      <w:r>
        <w:rPr>
          <w:rFonts w:hint="eastAsia" w:cs="Times New Roman"/>
          <w:highlight w:val="none"/>
          <w:lang w:val="en-US" w:eastAsia="zh-CN"/>
        </w:rPr>
        <w:t>A</w:t>
      </w:r>
      <w:r>
        <w:rPr>
          <w:rFonts w:ascii="Times New Roman" w:hAnsi="Times New Roman" w:cs="Times New Roman"/>
          <w:highlight w:val="none"/>
        </w:rPr>
        <w:t>lizarin red staining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6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Quantification of immunoblots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(Fig.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6G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(n=6).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Statistical significance was evaluated via one-way ANOVA followed by the Bonferroni multiple-comparison test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 (A, C)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</w:rPr>
        <w:t>tw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o-way ANOVA followed by the Bonferroni multiple-comparison test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D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, E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. All data were presented as mean ± SD.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0.01,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0.001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.</w:t>
      </w:r>
    </w:p>
    <w:p w14:paraId="0724E80B">
      <w:pPr>
        <w:widowControl w:val="0"/>
        <w:spacing w:after="120" w:afterLines="50" w:line="480" w:lineRule="auto"/>
        <w:contextualSpacing/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drawing>
          <wp:inline distT="0" distB="0" distL="114300" distR="114300">
            <wp:extent cx="5815330" cy="4183380"/>
            <wp:effectExtent l="0" t="0" r="0" b="0"/>
            <wp:docPr id="10" name="图片 10" descr="supplementary figur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7"/>
                    <pic:cNvPicPr>
                      <a:picLocks noChangeAspect="1"/>
                    </pic:cNvPicPr>
                  </pic:nvPicPr>
                  <pic:blipFill>
                    <a:blip r:embed="rId12"/>
                    <a:srcRect t="7383" b="41736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1AE9">
      <w:pPr>
        <w:widowControl w:val="0"/>
        <w:spacing w:after="120" w:afterLines="50" w:line="480" w:lineRule="auto"/>
        <w:contextualSpacing/>
        <w:jc w:val="both"/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Fig.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IL-38 Alleviates Vascular Calcification by Activating the PPAR-γ/NRF2 Axis to Enhance GPX3 Expression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.</w:t>
      </w:r>
    </w:p>
    <w:p w14:paraId="17F44119">
      <w:pPr>
        <w:widowControl w:val="0"/>
        <w:spacing w:after="120" w:afterLines="50" w:line="480" w:lineRule="auto"/>
        <w:contextualSpacing/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Gene set enrichment analysis (GSEA) showing enrichment of genes involve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</w:rPr>
        <w:t>d in PPAR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signaling pathway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</w:rPr>
        <w:t>.</w:t>
      </w:r>
    </w:p>
    <w:p w14:paraId="7DAB381E">
      <w:pPr>
        <w:spacing w:after="120" w:afterLines="50" w:line="480" w:lineRule="auto"/>
        <w:rPr>
          <w:rFonts w:hint="default" w:ascii="Times New Roman" w:hAnsi="Times New Roman" w:cs="Times New Roman" w:eastAsiaTheme="minorEastAsia"/>
          <w:b/>
          <w:bCs/>
          <w:szCs w:val="24"/>
          <w:highlight w:val="none"/>
          <w:lang w:val="en-US" w:eastAsia="zh-CN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pgNumType w:fmt="decimal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Quantification of immunoblots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(Fig.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7B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Quantification of immunoblots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(Fig.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7D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Quantification of </w:t>
      </w:r>
      <w:r>
        <w:rPr>
          <w:rFonts w:hint="eastAsia" w:cs="Times New Roman"/>
          <w:b w:val="0"/>
          <w:bCs w:val="0"/>
          <w:sz w:val="21"/>
          <w:szCs w:val="21"/>
          <w:highlight w:val="none"/>
          <w:lang w:eastAsia="zh-CN"/>
        </w:rPr>
        <w:t>Alizarin red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staining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7E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(n=6).</w:t>
      </w:r>
      <w:r>
        <w:rPr>
          <w:rFonts w:hint="eastAsia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Quantification of immunofluorescence staining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7K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eastAsia="zh-CN"/>
        </w:rPr>
        <w:t xml:space="preserve"> (n=4).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Quantification of immunoblots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(Fig.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 7M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Representative Western blot results of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>GPX3.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Quantification of immunoblots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 (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)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(n=6).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Statistical significance was evaluated via two-way ANOVA followed by the Bonferroni multiple-comparison test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(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 xml:space="preserve">B, C,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D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, E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/>
        </w:rPr>
        <w:t>, H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)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. All data were presented as mean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± SD. 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,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0.01,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***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</w:rPr>
        <w:t>p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 &lt; 0.001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.</w:t>
      </w:r>
    </w:p>
    <w:tbl>
      <w:tblPr>
        <w:tblStyle w:val="89"/>
        <w:tblW w:w="9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6"/>
        <w:gridCol w:w="2464"/>
        <w:gridCol w:w="2421"/>
        <w:gridCol w:w="932"/>
      </w:tblGrid>
      <w:tr w14:paraId="5AE7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4424E25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Characteristic</w:t>
            </w:r>
          </w:p>
        </w:tc>
        <w:tc>
          <w:tcPr>
            <w:tcW w:w="24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EBCC219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Non-CAC</w:t>
            </w:r>
          </w:p>
          <w:p w14:paraId="6A6F1F0F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(n=40)</w:t>
            </w:r>
          </w:p>
        </w:tc>
        <w:tc>
          <w:tcPr>
            <w:tcW w:w="242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4076475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CAC</w:t>
            </w:r>
          </w:p>
          <w:p w14:paraId="6AA5A675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(n=40)</w:t>
            </w:r>
          </w:p>
        </w:tc>
        <w:tc>
          <w:tcPr>
            <w:tcW w:w="9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FEFBB0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highlight w:val="none"/>
                <w:lang w:eastAsia="zh-CN"/>
              </w:rPr>
              <w:t xml:space="preserve">P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Value</w:t>
            </w:r>
          </w:p>
        </w:tc>
      </w:tr>
      <w:tr w14:paraId="5E72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4206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Demographics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C1A3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5663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E864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 w14:paraId="1B46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CA78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Age, y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4090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60.53(3.16)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A94A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62.10(6.80)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4A47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＜0.001</w:t>
            </w:r>
          </w:p>
        </w:tc>
      </w:tr>
      <w:tr w14:paraId="4D3A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94C8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Women, n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A7D4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20(50.00)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53EF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12(30.00)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DAE0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0.068</w:t>
            </w:r>
          </w:p>
        </w:tc>
      </w:tr>
      <w:tr w14:paraId="69BA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128BB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BMI, kg/m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vertAlign w:val="superscript"/>
                <w:lang w:eastAsia="zh-CN"/>
              </w:rPr>
              <w:t>2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610E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25.60(2.49)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2E3E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25.33(1.65)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2CFB8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0.015</w:t>
            </w:r>
          </w:p>
        </w:tc>
      </w:tr>
      <w:tr w14:paraId="0960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873F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Clinical features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5ED1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5C98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0F3A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5FF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7A4F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Heart rate, bpm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FEF8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79.68(9.60)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3A03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79.86(12.22)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6705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0.180</w:t>
            </w:r>
          </w:p>
        </w:tc>
      </w:tr>
      <w:tr w14:paraId="1372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6337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SBP, mmHg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2069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119.58(15.11)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C3DA7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125.35(18.38)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0308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0.388</w:t>
            </w:r>
          </w:p>
        </w:tc>
      </w:tr>
      <w:tr w14:paraId="28CC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B7079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Cigarette smoking(Current/Ever), n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AB933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12(30.00)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C3B0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14(35.00)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1CB2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0.633</w:t>
            </w:r>
          </w:p>
        </w:tc>
      </w:tr>
      <w:tr w14:paraId="541BA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A2D1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Medical history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0B50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CC58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63720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3729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3CD7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Hypertension, n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DA16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11(27.50)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6949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21(52.50)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FFF7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0.022</w:t>
            </w:r>
          </w:p>
        </w:tc>
      </w:tr>
      <w:tr w14:paraId="612A1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7A794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Dyslipidemia, n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C9EC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1(2.50)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B4BC7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1(2.50)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E2E1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1.000</w:t>
            </w:r>
          </w:p>
        </w:tc>
      </w:tr>
      <w:tr w14:paraId="7F7C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76432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Diabetes mellitus, n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B082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4(10.00)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5C4D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9(22.50)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0C8CA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0.130</w:t>
            </w:r>
          </w:p>
        </w:tc>
      </w:tr>
      <w:tr w14:paraId="70393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D364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Nonhemorrhagic stroke, n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7E3E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3(7.50)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E47B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3(7.50)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31A6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</w:p>
        </w:tc>
      </w:tr>
      <w:tr w14:paraId="2281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32014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Renal insufficiency, n (%)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8797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0(0.00)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09385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5(12.5)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3B84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0.021</w:t>
            </w:r>
          </w:p>
        </w:tc>
      </w:tr>
      <w:tr w14:paraId="15DB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F611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Biomarkers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CD08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899B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DF70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</w:p>
        </w:tc>
      </w:tr>
      <w:tr w14:paraId="12C7C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455C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Leukocyte count, 10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vertAlign w:val="superscript"/>
                <w:lang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/L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C7F3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7.10[5.53,10.82]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9A12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8.56[7.13,11.91]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8EB4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0.036</w:t>
            </w:r>
          </w:p>
        </w:tc>
      </w:tr>
      <w:tr w14:paraId="667E5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966C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Total cholesterol, mmol/L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E7E41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4.73[3.46,5.71]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250D8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4.46[3.31,5.29]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409F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0.473</w:t>
            </w:r>
          </w:p>
        </w:tc>
      </w:tr>
      <w:tr w14:paraId="4785E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4653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Triglyceride, mmol/L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5C8EC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1.27[1.08,2.07]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DE5C4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1.35[0.98,2.00]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716E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0.810</w:t>
            </w:r>
          </w:p>
        </w:tc>
      </w:tr>
      <w:tr w14:paraId="0AF2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E6D0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LDL-C, mmol/L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9963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2.70[2.05,3.46]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55CD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2.66[1.57,3.30]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7137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0.470</w:t>
            </w:r>
          </w:p>
        </w:tc>
      </w:tr>
      <w:tr w14:paraId="65C2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6535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HDL-C, mmol/L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7711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1.24[1.02,1.40]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971D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1.26[0.97,1.41]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0344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0.784</w:t>
            </w:r>
          </w:p>
        </w:tc>
      </w:tr>
      <w:tr w14:paraId="184EC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5015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Blood glucose, mmol/L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10AB4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5.12[4.70,6.13]</w:t>
            </w: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7089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5.39[4.84,6.66]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0C41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0.258</w:t>
            </w:r>
          </w:p>
        </w:tc>
      </w:tr>
      <w:tr w14:paraId="5A6D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1ACCA1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Platelet counts, 10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vertAlign w:val="superscript"/>
                <w:lang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/L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CD1FBD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sz w:val="21"/>
                <w:szCs w:val="21"/>
                <w:highlight w:val="none"/>
                <w:lang w:eastAsia="zh-CN"/>
              </w:rPr>
              <w:t>171.50[122.00,205.75]</w:t>
            </w:r>
          </w:p>
        </w:tc>
        <w:tc>
          <w:tcPr>
            <w:tcW w:w="24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EB67FD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174.50[112.75,224.00]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A53C30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0.946</w:t>
            </w:r>
          </w:p>
        </w:tc>
      </w:tr>
    </w:tbl>
    <w:p w14:paraId="234E0995">
      <w:pPr>
        <w:spacing w:after="120" w:afterLines="50" w:line="480" w:lineRule="auto"/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</w:pPr>
    </w:p>
    <w:p w14:paraId="03D254C7">
      <w:pPr>
        <w:spacing w:after="120" w:afterLines="50" w:line="480" w:lineRule="auto"/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1. Characteristics and biomarkers of non-CAC and CAC patients at baseline.</w:t>
      </w:r>
    </w:p>
    <w:p w14:paraId="16BCFCAB">
      <w:pPr>
        <w:spacing w:after="120" w:afterLines="50" w:line="480" w:lineRule="auto"/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>Patient inclusion required complete baseline data for all variables. Analysis employed appropriate statistical tests based on variable type: Continuous variables were summarized and analyzed differently; specifically, demographics/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clinical features (age, BMI, heart rate, SBP) were reported as mean± standard deviation and compared using unpaired t-tests, whereas biomarker levels were presented as median (interquartile range) with Wilcoxon rank-sum tests for significance. Categorical variables are provided as frequencies and percentages (n (%)) and were evaluated using χ² tests or Fisher's exact tests. Abbreviations: BMI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body mass index, SBP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systolic blood pressure, LDL-C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low-density lipoprotein cholesterol, HDL-C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  <w:t xml:space="preserve">: </w:t>
      </w:r>
      <w:r>
        <w:rPr>
          <w:rFonts w:hint="default" w:ascii="Times New Roman" w:hAnsi="Times New Roman" w:cs="Times New Roman"/>
          <w:sz w:val="21"/>
          <w:szCs w:val="21"/>
          <w:highlight w:val="none"/>
        </w:rPr>
        <w:t>high-density lipoprotein cholesterol.</w:t>
      </w:r>
      <w:r>
        <w:rPr>
          <w:rFonts w:hint="default" w:ascii="Times New Roman" w:hAnsi="Times New Roman" w:cs="Times New Roman"/>
          <w:highlight w:val="none"/>
          <w:lang w:eastAsia="zh-CN"/>
        </w:rPr>
        <w:br w:type="page"/>
      </w:r>
    </w:p>
    <w:p w14:paraId="0460F8BC">
      <w:pPr>
        <w:spacing w:line="480" w:lineRule="auto"/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 w:bidi="ar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/>
        </w:rPr>
        <w:t>S2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</w:rPr>
        <w:t>. Major Resources Table</w:t>
      </w:r>
    </w:p>
    <w:p w14:paraId="1BE00481">
      <w:pPr>
        <w:spacing w:line="480" w:lineRule="auto"/>
        <w:rPr>
          <w:rFonts w:hint="default" w:ascii="Times New Roman" w:hAnsi="Times New Roman" w:eastAsia="Calibri-Bold" w:cs="Times New Roman"/>
          <w:b/>
          <w:bCs/>
          <w:sz w:val="21"/>
          <w:szCs w:val="21"/>
          <w:highlight w:val="none"/>
          <w:lang w:val="en-US" w:eastAsia="zh-CN" w:bidi="ar"/>
        </w:rPr>
      </w:pPr>
      <w:r>
        <w:rPr>
          <w:rFonts w:hint="default" w:ascii="Times New Roman" w:hAnsi="Times New Roman" w:eastAsia="Calibri-Bold" w:cs="Times New Roman"/>
          <w:b/>
          <w:bCs/>
          <w:sz w:val="21"/>
          <w:szCs w:val="21"/>
          <w:highlight w:val="none"/>
          <w:lang w:eastAsia="zh-CN" w:bidi="ar"/>
        </w:rPr>
        <w:t>qPCR primer sequences</w:t>
      </w:r>
      <w:r>
        <w:rPr>
          <w:rFonts w:hint="eastAsia" w:eastAsia="Calibri-Bold" w:cs="Times New Roman"/>
          <w:b/>
          <w:bCs/>
          <w:sz w:val="21"/>
          <w:szCs w:val="21"/>
          <w:highlight w:val="none"/>
          <w:lang w:val="en-US" w:eastAsia="zh-CN" w:bidi="ar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 w:bidi="ar"/>
        </w:rPr>
        <w:t>siRNA sequence</w:t>
      </w:r>
      <w:r>
        <w:rPr>
          <w:rFonts w:hint="eastAsia" w:cs="Times New Roman"/>
          <w:b/>
          <w:bCs/>
          <w:sz w:val="21"/>
          <w:szCs w:val="21"/>
          <w:highlight w:val="none"/>
          <w:lang w:val="en-US" w:eastAsia="zh-CN" w:bidi="ar"/>
        </w:rPr>
        <w:t>s</w:t>
      </w:r>
    </w:p>
    <w:tbl>
      <w:tblPr>
        <w:tblStyle w:val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3600"/>
        <w:gridCol w:w="3728"/>
      </w:tblGrid>
      <w:tr w14:paraId="0C60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1733314E">
            <w:pPr>
              <w:widowControl/>
              <w:jc w:val="left"/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  <w:t>Gene</w:t>
            </w:r>
          </w:p>
        </w:tc>
        <w:tc>
          <w:tcPr>
            <w:tcW w:w="3600" w:type="dxa"/>
          </w:tcPr>
          <w:p w14:paraId="21F74438">
            <w:pPr>
              <w:widowControl/>
              <w:jc w:val="left"/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  <w:t>Forward primer(5’→3’)</w:t>
            </w:r>
          </w:p>
        </w:tc>
        <w:tc>
          <w:tcPr>
            <w:tcW w:w="3728" w:type="dxa"/>
          </w:tcPr>
          <w:p w14:paraId="2600EBBE">
            <w:pPr>
              <w:widowControl/>
              <w:jc w:val="left"/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  <w:t>Reverse primer(5’→3’)</w:t>
            </w:r>
          </w:p>
        </w:tc>
      </w:tr>
      <w:tr w14:paraId="76B3F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6FC8D42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 GPX3</w:t>
            </w:r>
          </w:p>
        </w:tc>
        <w:tc>
          <w:tcPr>
            <w:tcW w:w="3600" w:type="dxa"/>
            <w:vAlign w:val="center"/>
          </w:tcPr>
          <w:p w14:paraId="0680BD1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GAGCTTGCACCATTCGGTCT</w:t>
            </w:r>
          </w:p>
        </w:tc>
        <w:tc>
          <w:tcPr>
            <w:tcW w:w="3728" w:type="dxa"/>
            <w:vAlign w:val="center"/>
          </w:tcPr>
          <w:p w14:paraId="13E2967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GGGTAGGAAGGATCTCTGAGTTC</w:t>
            </w:r>
          </w:p>
        </w:tc>
      </w:tr>
      <w:tr w14:paraId="7A4D9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70B02555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3095155B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BMP2</w:t>
            </w:r>
          </w:p>
        </w:tc>
        <w:tc>
          <w:tcPr>
            <w:tcW w:w="3600" w:type="dxa"/>
            <w:vAlign w:val="center"/>
          </w:tcPr>
          <w:p w14:paraId="6261180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ACCCGCTGTCTTCTAGCGT</w:t>
            </w:r>
          </w:p>
        </w:tc>
        <w:tc>
          <w:tcPr>
            <w:tcW w:w="3728" w:type="dxa"/>
            <w:vAlign w:val="center"/>
          </w:tcPr>
          <w:p w14:paraId="41E49C5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TTTCAGGCCGAACATGCTGAG</w:t>
            </w:r>
          </w:p>
        </w:tc>
      </w:tr>
      <w:tr w14:paraId="54F3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0CC0114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  <w:p w14:paraId="3F63A2D7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BMP2</w:t>
            </w:r>
          </w:p>
        </w:tc>
        <w:tc>
          <w:tcPr>
            <w:tcW w:w="3600" w:type="dxa"/>
            <w:vAlign w:val="center"/>
          </w:tcPr>
          <w:p w14:paraId="6C6AE7F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GGGACCCGCTGTCTTCTAGT</w:t>
            </w:r>
          </w:p>
        </w:tc>
        <w:tc>
          <w:tcPr>
            <w:tcW w:w="3728" w:type="dxa"/>
            <w:vAlign w:val="center"/>
          </w:tcPr>
          <w:p w14:paraId="5C521B7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TCAACTCAAATTCGCTGAGGAC</w:t>
            </w:r>
          </w:p>
        </w:tc>
      </w:tr>
      <w:tr w14:paraId="36AC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1E452C7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5EC7209A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Runx2</w:t>
            </w:r>
          </w:p>
        </w:tc>
        <w:tc>
          <w:tcPr>
            <w:tcW w:w="3600" w:type="dxa"/>
            <w:vAlign w:val="center"/>
          </w:tcPr>
          <w:p w14:paraId="183A9235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TGGTTACTGTCATGGCGGGTA</w:t>
            </w:r>
          </w:p>
        </w:tc>
        <w:tc>
          <w:tcPr>
            <w:tcW w:w="3728" w:type="dxa"/>
            <w:vAlign w:val="center"/>
          </w:tcPr>
          <w:p w14:paraId="1A07C21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TCTCAGATCGTTGAACCTTGCTA</w:t>
            </w:r>
          </w:p>
        </w:tc>
      </w:tr>
      <w:tr w14:paraId="4A9E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1958847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  <w:p w14:paraId="73DF919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Runx2</w:t>
            </w:r>
          </w:p>
        </w:tc>
        <w:tc>
          <w:tcPr>
            <w:tcW w:w="3600" w:type="dxa"/>
            <w:vAlign w:val="center"/>
          </w:tcPr>
          <w:p w14:paraId="62E03F9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GACTGTGGTTACCGTCATGGC</w:t>
            </w:r>
          </w:p>
        </w:tc>
        <w:tc>
          <w:tcPr>
            <w:tcW w:w="3728" w:type="dxa"/>
            <w:vAlign w:val="center"/>
          </w:tcPr>
          <w:p w14:paraId="4FF37A1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ACTTGGTTTTTCATAACAGCGGA</w:t>
            </w:r>
          </w:p>
        </w:tc>
      </w:tr>
      <w:tr w14:paraId="6C0A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400FE7C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3D3C581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OPN</w:t>
            </w:r>
          </w:p>
        </w:tc>
        <w:tc>
          <w:tcPr>
            <w:tcW w:w="3600" w:type="dxa"/>
            <w:vAlign w:val="center"/>
          </w:tcPr>
          <w:p w14:paraId="4F0B980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CTCCATTGACTCGAACGACTC</w:t>
            </w:r>
          </w:p>
        </w:tc>
        <w:tc>
          <w:tcPr>
            <w:tcW w:w="3728" w:type="dxa"/>
            <w:vAlign w:val="center"/>
          </w:tcPr>
          <w:p w14:paraId="0AD36D0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CAGGTCTGCGAAACTTCTTAGAT</w:t>
            </w:r>
          </w:p>
        </w:tc>
      </w:tr>
      <w:tr w14:paraId="75DF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68DFAE9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  <w:p w14:paraId="683AD3B7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OPN</w:t>
            </w:r>
          </w:p>
        </w:tc>
        <w:tc>
          <w:tcPr>
            <w:tcW w:w="3600" w:type="dxa"/>
            <w:vAlign w:val="center"/>
          </w:tcPr>
          <w:p w14:paraId="33D8F80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ATCTCACCATTCGGATGAGTCT</w:t>
            </w:r>
          </w:p>
        </w:tc>
        <w:tc>
          <w:tcPr>
            <w:tcW w:w="3728" w:type="dxa"/>
            <w:vAlign w:val="center"/>
          </w:tcPr>
          <w:p w14:paraId="25B041F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TGTAGGGACGATTGGAGTGAAA</w:t>
            </w:r>
          </w:p>
        </w:tc>
      </w:tr>
      <w:tr w14:paraId="480B9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1D08BB3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73025A7B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IL-38</w:t>
            </w:r>
          </w:p>
        </w:tc>
        <w:tc>
          <w:tcPr>
            <w:tcW w:w="3600" w:type="dxa"/>
            <w:vAlign w:val="center"/>
          </w:tcPr>
          <w:p w14:paraId="3C56216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AGAGGGGCCTTCCCTACAG</w:t>
            </w:r>
          </w:p>
        </w:tc>
        <w:tc>
          <w:tcPr>
            <w:tcW w:w="3728" w:type="dxa"/>
            <w:vAlign w:val="center"/>
          </w:tcPr>
          <w:p w14:paraId="4F4C956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CAGCAGCCTCAAGCCTGAA</w:t>
            </w:r>
          </w:p>
        </w:tc>
      </w:tr>
      <w:tr w14:paraId="3365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00493D3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  <w:p w14:paraId="14BF010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IL-38</w:t>
            </w:r>
          </w:p>
        </w:tc>
        <w:tc>
          <w:tcPr>
            <w:tcW w:w="3600" w:type="dxa"/>
            <w:vAlign w:val="center"/>
          </w:tcPr>
          <w:p w14:paraId="7E969E3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TCAAGGATGCACATCAAAAGGC</w:t>
            </w:r>
          </w:p>
        </w:tc>
        <w:tc>
          <w:tcPr>
            <w:tcW w:w="3728" w:type="dxa"/>
            <w:vAlign w:val="center"/>
          </w:tcPr>
          <w:p w14:paraId="734183A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AGGCAGCAACTTCCTCCCT</w:t>
            </w:r>
          </w:p>
        </w:tc>
      </w:tr>
      <w:tr w14:paraId="641D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51CB061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74B4858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APOE</w:t>
            </w:r>
          </w:p>
        </w:tc>
        <w:tc>
          <w:tcPr>
            <w:tcW w:w="3600" w:type="dxa"/>
            <w:vAlign w:val="center"/>
          </w:tcPr>
          <w:p w14:paraId="4C74681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GTTGCTGGTCACATTCCTGG</w:t>
            </w:r>
          </w:p>
        </w:tc>
        <w:tc>
          <w:tcPr>
            <w:tcW w:w="3728" w:type="dxa"/>
            <w:vAlign w:val="center"/>
          </w:tcPr>
          <w:p w14:paraId="28C9E33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GCAGGTAATCCCAAAAGCGAC</w:t>
            </w:r>
          </w:p>
        </w:tc>
      </w:tr>
      <w:tr w14:paraId="3EEE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60D2CDA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1227CBF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Mb</w:t>
            </w:r>
          </w:p>
        </w:tc>
        <w:tc>
          <w:tcPr>
            <w:tcW w:w="3600" w:type="dxa"/>
            <w:vAlign w:val="center"/>
          </w:tcPr>
          <w:p w14:paraId="1BC8B63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TTGGTGCTGAACGTCTGGG</w:t>
            </w:r>
          </w:p>
        </w:tc>
        <w:tc>
          <w:tcPr>
            <w:tcW w:w="3728" w:type="dxa"/>
            <w:vAlign w:val="center"/>
          </w:tcPr>
          <w:p w14:paraId="7E02727A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TGGGTGACCCTTAAAGAGCCT</w:t>
            </w:r>
          </w:p>
        </w:tc>
      </w:tr>
      <w:tr w14:paraId="024A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67B37FDF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6C3D77F5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Mgst1</w:t>
            </w:r>
          </w:p>
        </w:tc>
        <w:tc>
          <w:tcPr>
            <w:tcW w:w="3600" w:type="dxa"/>
            <w:vAlign w:val="center"/>
          </w:tcPr>
          <w:p w14:paraId="0D2FEC1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ATGACAGAGTAGAACGTGTACGC</w:t>
            </w:r>
          </w:p>
        </w:tc>
        <w:tc>
          <w:tcPr>
            <w:tcW w:w="3728" w:type="dxa"/>
            <w:vAlign w:val="center"/>
          </w:tcPr>
          <w:p w14:paraId="027FF79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TACAGGAGGCCAATTCCAAGA</w:t>
            </w:r>
          </w:p>
        </w:tc>
      </w:tr>
      <w:tr w14:paraId="5562B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0ADA17E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6BD3C9E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Cygb</w:t>
            </w:r>
          </w:p>
        </w:tc>
        <w:tc>
          <w:tcPr>
            <w:tcW w:w="3600" w:type="dxa"/>
            <w:vAlign w:val="center"/>
          </w:tcPr>
          <w:p w14:paraId="36F5CF6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CCCGGCTCTATGCCAACTG</w:t>
            </w:r>
          </w:p>
        </w:tc>
        <w:tc>
          <w:tcPr>
            <w:tcW w:w="3728" w:type="dxa"/>
            <w:vAlign w:val="center"/>
          </w:tcPr>
          <w:p w14:paraId="0F233987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CCATGTGCTTGAACTGGCTGA</w:t>
            </w:r>
          </w:p>
        </w:tc>
      </w:tr>
      <w:tr w14:paraId="4830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47ABAE8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2052991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Hp</w:t>
            </w:r>
          </w:p>
        </w:tc>
        <w:tc>
          <w:tcPr>
            <w:tcW w:w="3600" w:type="dxa"/>
            <w:vAlign w:val="center"/>
          </w:tcPr>
          <w:p w14:paraId="1BC764AB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CAGCACAGTCCCCGAAAAGAA</w:t>
            </w:r>
          </w:p>
        </w:tc>
        <w:tc>
          <w:tcPr>
            <w:tcW w:w="3728" w:type="dxa"/>
            <w:vAlign w:val="center"/>
          </w:tcPr>
          <w:p w14:paraId="4B6DA3C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CAGTCGCATACCAGGTGTCC</w:t>
            </w:r>
          </w:p>
        </w:tc>
      </w:tr>
      <w:tr w14:paraId="1B0F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13C90095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21280F4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Ptges</w:t>
            </w:r>
          </w:p>
        </w:tc>
        <w:tc>
          <w:tcPr>
            <w:tcW w:w="3600" w:type="dxa"/>
            <w:vAlign w:val="center"/>
          </w:tcPr>
          <w:p w14:paraId="18DDC9CB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TCCTAACCCTTTTGTCGCCTG</w:t>
            </w:r>
          </w:p>
        </w:tc>
        <w:tc>
          <w:tcPr>
            <w:tcW w:w="3728" w:type="dxa"/>
            <w:vAlign w:val="center"/>
          </w:tcPr>
          <w:p w14:paraId="0F93256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CGCTTCCCAGAGGATCTGC</w:t>
            </w:r>
          </w:p>
        </w:tc>
      </w:tr>
      <w:tr w14:paraId="2D88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3A07B0E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54197BF5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S100a8</w:t>
            </w:r>
          </w:p>
        </w:tc>
        <w:tc>
          <w:tcPr>
            <w:tcW w:w="3600" w:type="dxa"/>
            <w:vAlign w:val="center"/>
          </w:tcPr>
          <w:p w14:paraId="70B5462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ATGCCGTCTACAGGGATGAC</w:t>
            </w:r>
          </w:p>
        </w:tc>
        <w:tc>
          <w:tcPr>
            <w:tcW w:w="3728" w:type="dxa"/>
            <w:vAlign w:val="center"/>
          </w:tcPr>
          <w:p w14:paraId="7550884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ACTGAGGACACTCGGTCTCTA</w:t>
            </w:r>
          </w:p>
        </w:tc>
      </w:tr>
      <w:tr w14:paraId="20A1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77B04BAA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4153B4B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Ltc4s</w:t>
            </w:r>
          </w:p>
        </w:tc>
        <w:tc>
          <w:tcPr>
            <w:tcW w:w="3600" w:type="dxa"/>
            <w:vAlign w:val="center"/>
          </w:tcPr>
          <w:p w14:paraId="4347AE9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CGCTTCCGCATCCTAGTCTC</w:t>
            </w:r>
          </w:p>
        </w:tc>
        <w:tc>
          <w:tcPr>
            <w:tcW w:w="3728" w:type="dxa"/>
            <w:vAlign w:val="center"/>
          </w:tcPr>
          <w:p w14:paraId="30008FFF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GTTCCTTCGCAGCCACTCT</w:t>
            </w:r>
          </w:p>
        </w:tc>
      </w:tr>
      <w:tr w14:paraId="68BD9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</w:tcPr>
          <w:p w14:paraId="5BA1F5E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Human</w:t>
            </w:r>
          </w:p>
          <w:p w14:paraId="6F63A1D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GAPDH</w:t>
            </w:r>
          </w:p>
        </w:tc>
        <w:tc>
          <w:tcPr>
            <w:tcW w:w="3600" w:type="dxa"/>
            <w:vAlign w:val="center"/>
          </w:tcPr>
          <w:p w14:paraId="5C43B547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GGAGCGAGATCCCTCCAAAAT</w:t>
            </w:r>
          </w:p>
        </w:tc>
        <w:tc>
          <w:tcPr>
            <w:tcW w:w="3728" w:type="dxa"/>
            <w:vAlign w:val="center"/>
          </w:tcPr>
          <w:p w14:paraId="2C8E436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GGCTGTTGTCATACTTCTCATGG</w:t>
            </w:r>
          </w:p>
        </w:tc>
      </w:tr>
      <w:tr w14:paraId="7FF4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shd w:val="clear" w:color="auto" w:fill="auto"/>
          </w:tcPr>
          <w:p w14:paraId="4C39CD1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</w:p>
          <w:p w14:paraId="607D11BD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GAPDH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91E769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AGGTCGGTGTGAACGGATTTG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60B7A2F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TGTAGACCATGTAGTTGAGGTCA</w:t>
            </w:r>
          </w:p>
        </w:tc>
      </w:tr>
      <w:tr w14:paraId="444F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shd w:val="clear" w:color="auto" w:fill="auto"/>
            <w:vAlign w:val="top"/>
          </w:tcPr>
          <w:p w14:paraId="350C2A62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Mouse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GPX3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D55583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AGCCAGCTACTGAGGTCTGA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4E8CCCD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GGGAAGCCCAGAATGACCAA</w:t>
            </w:r>
          </w:p>
        </w:tc>
      </w:tr>
      <w:tr w14:paraId="31C5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shd w:val="clear" w:color="auto" w:fill="auto"/>
            <w:vAlign w:val="top"/>
          </w:tcPr>
          <w:p w14:paraId="6F99C78B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  <w:t>si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GPX3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133482BA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GGAUGUCAAUGGAGAGAAATT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04C30A2C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UUUCUCUCCAUUGACAUCCTT</w:t>
            </w:r>
          </w:p>
        </w:tc>
      </w:tr>
      <w:tr w14:paraId="7A7E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shd w:val="clear" w:color="auto" w:fill="auto"/>
            <w:vAlign w:val="top"/>
          </w:tcPr>
          <w:p w14:paraId="44E8304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 w:bidi="ar"/>
              </w:rPr>
              <w:t>siIL-38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B162C1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GAAGAUCUGCAUACUUCCUAATT</w:t>
            </w:r>
          </w:p>
        </w:tc>
        <w:tc>
          <w:tcPr>
            <w:tcW w:w="3728" w:type="dxa"/>
            <w:shd w:val="clear" w:color="auto" w:fill="auto"/>
            <w:vAlign w:val="center"/>
          </w:tcPr>
          <w:p w14:paraId="05DD8605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UUAGGAAGUAUGCAGAUCUUCTT</w:t>
            </w:r>
          </w:p>
        </w:tc>
      </w:tr>
    </w:tbl>
    <w:p w14:paraId="4496F53F">
      <w:pPr>
        <w:spacing w:line="480" w:lineRule="auto"/>
        <w:rPr>
          <w:rFonts w:hint="default" w:ascii="Times New Roman" w:hAnsi="Times New Roman" w:eastAsia="Calibri-Bold" w:cs="Times New Roman"/>
          <w:b/>
          <w:bCs/>
          <w:sz w:val="21"/>
          <w:szCs w:val="21"/>
          <w:highlight w:val="none"/>
          <w:lang w:eastAsia="zh-CN" w:bidi="ar"/>
        </w:rPr>
      </w:pPr>
    </w:p>
    <w:p w14:paraId="73E44B5E">
      <w:pPr>
        <w:spacing w:line="480" w:lineRule="auto"/>
        <w:rPr>
          <w:rFonts w:hint="default" w:ascii="Times New Roman" w:hAnsi="Times New Roman" w:eastAsia="Calibri-Bold" w:cs="Times New Roman"/>
          <w:b/>
          <w:bCs/>
          <w:sz w:val="21"/>
          <w:szCs w:val="21"/>
          <w:highlight w:val="none"/>
          <w:lang w:eastAsia="zh-CN" w:bidi="ar"/>
        </w:rPr>
      </w:pPr>
      <w:r>
        <w:rPr>
          <w:rFonts w:hint="default" w:ascii="Times New Roman" w:hAnsi="Times New Roman" w:eastAsia="Calibri-Bold" w:cs="Times New Roman"/>
          <w:b/>
          <w:bCs/>
          <w:sz w:val="21"/>
          <w:szCs w:val="21"/>
          <w:highlight w:val="none"/>
          <w:lang w:eastAsia="zh-CN" w:bidi="ar"/>
        </w:rPr>
        <w:t>Software and algorithms</w:t>
      </w:r>
    </w:p>
    <w:tbl>
      <w:tblPr>
        <w:tblStyle w:val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1951"/>
        <w:gridCol w:w="4599"/>
      </w:tblGrid>
      <w:tr w14:paraId="72A8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</w:tcPr>
          <w:p w14:paraId="182C3848">
            <w:pPr>
              <w:widowControl/>
              <w:jc w:val="left"/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  <w:t>Name</w:t>
            </w:r>
          </w:p>
        </w:tc>
        <w:tc>
          <w:tcPr>
            <w:tcW w:w="1951" w:type="dxa"/>
          </w:tcPr>
          <w:p w14:paraId="7377E19E">
            <w:pPr>
              <w:widowControl/>
              <w:jc w:val="left"/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  <w:t>Vendor or Source</w:t>
            </w:r>
          </w:p>
        </w:tc>
        <w:tc>
          <w:tcPr>
            <w:tcW w:w="4599" w:type="dxa"/>
          </w:tcPr>
          <w:p w14:paraId="718411B9">
            <w:pPr>
              <w:widowControl/>
              <w:jc w:val="left"/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sz w:val="21"/>
                <w:szCs w:val="21"/>
                <w:highlight w:val="none"/>
                <w:lang w:eastAsia="zh-CN" w:bidi="ar"/>
              </w:rPr>
              <w:t>Persistent ID / URL</w:t>
            </w:r>
          </w:p>
        </w:tc>
      </w:tr>
      <w:tr w14:paraId="00295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</w:tcPr>
          <w:p w14:paraId="527154ED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ImageJ</w:t>
            </w:r>
          </w:p>
        </w:tc>
        <w:tc>
          <w:tcPr>
            <w:tcW w:w="1951" w:type="dxa"/>
          </w:tcPr>
          <w:p w14:paraId="60D3E53B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Isolated from adult mice</w:t>
            </w:r>
          </w:p>
        </w:tc>
        <w:tc>
          <w:tcPr>
            <w:tcW w:w="4599" w:type="dxa"/>
          </w:tcPr>
          <w:p w14:paraId="3C0E002B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https://imagej.nih.gov/ij/download.html</w:t>
            </w:r>
          </w:p>
        </w:tc>
      </w:tr>
      <w:tr w14:paraId="13800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</w:tcPr>
          <w:p w14:paraId="4CC1EE35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GraphPad Prism 10.5 software</w:t>
            </w:r>
          </w:p>
        </w:tc>
        <w:tc>
          <w:tcPr>
            <w:tcW w:w="1951" w:type="dxa"/>
            <w:shd w:val="clear" w:color="auto" w:fill="auto"/>
          </w:tcPr>
          <w:p w14:paraId="46DC57DF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GraphPad Software</w:t>
            </w:r>
          </w:p>
        </w:tc>
        <w:tc>
          <w:tcPr>
            <w:tcW w:w="4599" w:type="dxa"/>
          </w:tcPr>
          <w:p w14:paraId="0E23EE77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http://www.graphpad.com/</w:t>
            </w:r>
          </w:p>
        </w:tc>
      </w:tr>
      <w:tr w14:paraId="7307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  <w:vAlign w:val="center"/>
          </w:tcPr>
          <w:p w14:paraId="318BE9B8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OlyVIA 4.1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5F920265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Olympus</w:t>
            </w:r>
          </w:p>
        </w:tc>
        <w:tc>
          <w:tcPr>
            <w:tcW w:w="4599" w:type="dxa"/>
          </w:tcPr>
          <w:p w14:paraId="7F72D2A0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https://lifescience.evidentscientific.com.cn/zh/downloads/detail-iframe/?0[downloads][id]=847254102</w:t>
            </w:r>
          </w:p>
        </w:tc>
      </w:tr>
      <w:tr w14:paraId="306C6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  <w:vAlign w:val="center"/>
          </w:tcPr>
          <w:p w14:paraId="784562BA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Leica Application Suite X 3.7.4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8E9683E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Leica</w:t>
            </w:r>
          </w:p>
        </w:tc>
        <w:tc>
          <w:tcPr>
            <w:tcW w:w="4599" w:type="dxa"/>
          </w:tcPr>
          <w:p w14:paraId="4D50D0F0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https://www.leica-microsystems.com.cn/cn/products/microscope-software/p/leica-application-suite/downloads/</w:t>
            </w:r>
          </w:p>
        </w:tc>
      </w:tr>
    </w:tbl>
    <w:p w14:paraId="4A9666E9">
      <w:pP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eastAsia="zh-CN" w:bidi="ar"/>
        </w:rPr>
      </w:pPr>
    </w:p>
    <w:p w14:paraId="06F6D735">
      <w:pPr>
        <w:spacing w:line="480" w:lineRule="auto"/>
        <w:rPr>
          <w:rFonts w:hint="default" w:ascii="Times New Roman" w:hAnsi="Times New Roman" w:cs="Times New Roman"/>
          <w:b/>
          <w:bCs/>
          <w:color w:val="000000"/>
          <w:sz w:val="21"/>
          <w:szCs w:val="21"/>
          <w:highlight w:val="none"/>
        </w:rPr>
      </w:pPr>
      <w:r>
        <w:rPr>
          <w:rFonts w:hint="default" w:ascii="Times New Roman" w:hAnsi="Times New Roman" w:eastAsia="Calibri-Bold" w:cs="Times New Roman"/>
          <w:b/>
          <w:bCs/>
          <w:sz w:val="21"/>
          <w:szCs w:val="21"/>
          <w:highlight w:val="none"/>
          <w:lang w:eastAsia="zh-CN" w:bidi="ar"/>
        </w:rPr>
        <w:t>Antibodies</w:t>
      </w:r>
    </w:p>
    <w:tbl>
      <w:tblPr>
        <w:tblStyle w:val="88"/>
        <w:tblW w:w="8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034"/>
        <w:gridCol w:w="1807"/>
        <w:gridCol w:w="3257"/>
      </w:tblGrid>
      <w:tr w14:paraId="6FE2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46AAC892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  <w:t>Antibodies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20DD6B59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  <w:t>Source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96BF4CB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  <w:t>Catalogue No.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6D9B0A2D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highlight w:val="none"/>
              </w:rPr>
              <w:t>Application and dilution</w:t>
            </w:r>
          </w:p>
        </w:tc>
      </w:tr>
      <w:tr w14:paraId="4EDB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5979A029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BMP2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2A0223AE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Abcam, 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2F1F9B6F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ab214821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6A9AC744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5E9DF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51649089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BMP2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1A09B8E1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Santa, Mouse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020652CE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sc-137087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47A34BC1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500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29DD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6D25C4DA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R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unx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5CFDC4A6">
            <w:pPr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CST, 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0E6DEC0D">
            <w:pPr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highlight w:val="none"/>
                <w:lang w:eastAsia="zh-CN" w:bidi="ar"/>
              </w:rPr>
              <w:t>8486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2A0556BC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3F3B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288604A6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R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unx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386D0F93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Santa, Mouse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4AFB47E1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sc-390351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25015589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500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3B72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5DD09F5A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R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unx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277E376F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CST, 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30215AD7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12556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0AA6C8D2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IF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400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PBS</w:t>
            </w:r>
          </w:p>
        </w:tc>
      </w:tr>
      <w:tr w14:paraId="1A4F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3CDCF2C6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OPN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035A7C83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Santa, Mouse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41675441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sc-21742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341810F7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500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3C69C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7A10D642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OPN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72F8887A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Proteintech, 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43989CBE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83341-1-RR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50C1F891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1000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4FDA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40171294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α-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SMA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50308CE2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ABclonal,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7199A120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A11032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2DC73F76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3000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4D44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09E14ABD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α-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SMA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22FCF22E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Abc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am, Mouse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5CE3870E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ab9465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1FC114B5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IF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200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PBS</w:t>
            </w:r>
          </w:p>
        </w:tc>
      </w:tr>
      <w:tr w14:paraId="04C1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4844A3B8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GAPDH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0C4996E0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ABclonal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，Rabbit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7E2DB85B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A19056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3B0688F9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000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2E0C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11443D37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GPX3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01ED24CD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Abcam,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01A97A55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ab275965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5DC6C8A6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500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28F8F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2FD252F8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IL-38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32C5B00A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Abcam, 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64FF2F18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ab180898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2CBEA627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 1:1000 in TBST</w:t>
            </w:r>
          </w:p>
        </w:tc>
      </w:tr>
      <w:tr w14:paraId="40C9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725CEB96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IL-38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71C6D798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Proteintech, Rabbit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7449D707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60319-1-Ig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4FCB2EA3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5354B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7C80B2A6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IL-38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705276E0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R&amp;D Systems, Rat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26A750DC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MAB7774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7BD5C788"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IF, 1:200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PBS</w:t>
            </w:r>
          </w:p>
        </w:tc>
      </w:tr>
      <w:tr w14:paraId="64D5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35" w:type="dxa"/>
            <w:shd w:val="clear" w:color="auto" w:fill="auto"/>
            <w:noWrap/>
            <w:vAlign w:val="center"/>
          </w:tcPr>
          <w:p w14:paraId="2E0998B0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PPAR-α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 w14:paraId="707DD958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Proteintech,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Mouse</w:t>
            </w:r>
          </w:p>
        </w:tc>
        <w:tc>
          <w:tcPr>
            <w:tcW w:w="1807" w:type="dxa"/>
            <w:shd w:val="clear" w:color="auto" w:fill="auto"/>
            <w:noWrap/>
            <w:vAlign w:val="center"/>
          </w:tcPr>
          <w:p w14:paraId="52AAD6C3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66826-1-Ig</w:t>
            </w:r>
          </w:p>
        </w:tc>
        <w:tc>
          <w:tcPr>
            <w:tcW w:w="3257" w:type="dxa"/>
            <w:shd w:val="clear" w:color="auto" w:fill="auto"/>
            <w:noWrap/>
            <w:vAlign w:val="center"/>
          </w:tcPr>
          <w:p w14:paraId="3ECA8E0B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72A7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4C908FDA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PPAR-δ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079790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Proteintech, 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0F2AED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0156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-AP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C64EC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5E18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63D84D35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PPAR-γ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CBD5CD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Proteintech, 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88695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-1-AP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C48D7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09BE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15A21EB4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NRF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566CEF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Immunoway，Rabbit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B8849E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YM8624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4F773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2000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34171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11434539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NRF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FF8FF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Abcam, 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25423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ab62352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B2125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IF，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1: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PBS</w:t>
            </w:r>
          </w:p>
        </w:tc>
      </w:tr>
      <w:tr w14:paraId="0A5FF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202FA7AC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Histone H3(D1H2)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3ED993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CST,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38D6D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4499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C1103">
            <w:pPr>
              <w:rPr>
                <w:rFonts w:hint="default" w:ascii="Times New Roman" w:hAnsi="Times New Roman" w:cs="Times New Roman" w:eastAsiaTheme="minorEastAsia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2000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082FC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2B710CD7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CACNA1C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65BD6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Proteintech, 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E2D97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21774-1-AP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60D0A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551EC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0410F807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PMCA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11A31B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Santa, Mouse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C7CEE">
            <w:pPr>
              <w:rPr>
                <w:rFonts w:hint="default" w:cs="Times New Roman" w:eastAsiaTheme="minorEastAsia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sc-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271917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64A73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500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43BB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7605486A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TRPM7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03B885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Proteintech, 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DABCD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55251-1-AP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668AE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WB,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4E1B1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4AF9B056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Vinculin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33581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Santa, Mouse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8AB4D">
            <w:pPr>
              <w:rPr>
                <w:rFonts w:hint="default" w:cs="Times New Roman" w:eastAsiaTheme="minorEastAsia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sc-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73614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9B958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500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66EA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010282B2">
            <w:pP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Calponin1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AD460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Abcam, Rabbit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9A7860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b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46794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755DB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WB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, 1: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000 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TBST</w:t>
            </w:r>
          </w:p>
        </w:tc>
      </w:tr>
      <w:tr w14:paraId="14AEF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shd w:val="clear" w:color="auto" w:fill="auto"/>
            <w:vAlign w:val="center"/>
          </w:tcPr>
          <w:p w14:paraId="4682B404">
            <w:pP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Calponin1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DC8A0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Santa, Mouse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42CEA">
            <w:pPr>
              <w:rPr>
                <w:rFonts w:hint="default" w:cs="Times New Roman" w:eastAsiaTheme="minorEastAsia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>sc-</w:t>
            </w:r>
            <w:r>
              <w:rPr>
                <w:rFonts w:hint="eastAsia" w:cs="Times New Roman"/>
                <w:color w:val="000000"/>
                <w:sz w:val="21"/>
                <w:szCs w:val="21"/>
                <w:highlight w:val="none"/>
                <w:lang w:val="en-US" w:eastAsia="zh-CN"/>
              </w:rPr>
              <w:t>58707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2134D">
            <w:pPr>
              <w:rPr>
                <w:rFonts w:hint="default" w:cs="Times New Roman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 xml:space="preserve">IF, 1:200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</w:rPr>
              <w:t xml:space="preserve">in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highlight w:val="none"/>
                <w:lang w:eastAsia="zh-CN"/>
              </w:rPr>
              <w:t>PBS</w:t>
            </w:r>
          </w:p>
        </w:tc>
      </w:tr>
    </w:tbl>
    <w:p w14:paraId="069D49FF">
      <w:pPr>
        <w:widowControl w:val="0"/>
        <w:spacing w:after="120" w:afterLines="50"/>
        <w:contextualSpacing/>
        <w:rPr>
          <w:rFonts w:hint="default" w:ascii="Times New Roman" w:hAnsi="Times New Roman" w:cs="Times New Roman"/>
          <w:sz w:val="21"/>
          <w:szCs w:val="21"/>
          <w:highlight w:val="none"/>
          <w:lang w:eastAsia="zh-CN"/>
        </w:rPr>
      </w:pPr>
    </w:p>
    <w:bookmarkEnd w:id="3"/>
    <w:sectPr>
      <w:pgSz w:w="12240" w:h="15840"/>
      <w:pgMar w:top="1440" w:right="1440" w:bottom="1440" w:left="1440" w:header="720" w:footer="720" w:gutter="0"/>
      <w:lnNumType w:countBy="1" w:restart="continuous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6B12E">
    <w:pPr>
      <w:pStyle w:val="55"/>
      <w:jc w:val="righ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D72DFB">
                          <w:pPr>
                            <w:pStyle w:val="55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D72DFB">
                    <w:pPr>
                      <w:pStyle w:val="55"/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7F7F871"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DC43">
    <w:pPr>
      <w:jc w:val="right"/>
      <w:rPr>
        <w:sz w:val="20"/>
      </w:rPr>
    </w:pPr>
  </w:p>
  <w:p w14:paraId="18A3CE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nforcement="0"/>
  <w:defaultTabStop w:val="720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5F74"/>
    <w:rsid w:val="0005479F"/>
    <w:rsid w:val="00065EBD"/>
    <w:rsid w:val="00083B44"/>
    <w:rsid w:val="000850DC"/>
    <w:rsid w:val="0009164E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313A2"/>
    <w:rsid w:val="001441B5"/>
    <w:rsid w:val="0016337A"/>
    <w:rsid w:val="00164269"/>
    <w:rsid w:val="001A1BDE"/>
    <w:rsid w:val="001F0876"/>
    <w:rsid w:val="001F167C"/>
    <w:rsid w:val="001F5E91"/>
    <w:rsid w:val="002077B9"/>
    <w:rsid w:val="00262D72"/>
    <w:rsid w:val="002877FC"/>
    <w:rsid w:val="00294FBB"/>
    <w:rsid w:val="002B3205"/>
    <w:rsid w:val="002C030F"/>
    <w:rsid w:val="002C717F"/>
    <w:rsid w:val="00331D75"/>
    <w:rsid w:val="00355362"/>
    <w:rsid w:val="00363E44"/>
    <w:rsid w:val="00395E86"/>
    <w:rsid w:val="003A2FD8"/>
    <w:rsid w:val="003B40E6"/>
    <w:rsid w:val="003E74FB"/>
    <w:rsid w:val="003F6E14"/>
    <w:rsid w:val="00403281"/>
    <w:rsid w:val="00405336"/>
    <w:rsid w:val="00422A58"/>
    <w:rsid w:val="00426A1F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6453A"/>
    <w:rsid w:val="005A558C"/>
    <w:rsid w:val="005E28F8"/>
    <w:rsid w:val="005E6513"/>
    <w:rsid w:val="00600710"/>
    <w:rsid w:val="00651114"/>
    <w:rsid w:val="00664560"/>
    <w:rsid w:val="00670299"/>
    <w:rsid w:val="00691985"/>
    <w:rsid w:val="006A1B64"/>
    <w:rsid w:val="006C216C"/>
    <w:rsid w:val="006F517B"/>
    <w:rsid w:val="007108F5"/>
    <w:rsid w:val="00713E5B"/>
    <w:rsid w:val="007402FC"/>
    <w:rsid w:val="007411A1"/>
    <w:rsid w:val="00793072"/>
    <w:rsid w:val="007B5D89"/>
    <w:rsid w:val="007C2D55"/>
    <w:rsid w:val="00807D35"/>
    <w:rsid w:val="008218C4"/>
    <w:rsid w:val="00821F38"/>
    <w:rsid w:val="0086389E"/>
    <w:rsid w:val="00867A98"/>
    <w:rsid w:val="00870867"/>
    <w:rsid w:val="00885C9B"/>
    <w:rsid w:val="008948F8"/>
    <w:rsid w:val="00895161"/>
    <w:rsid w:val="008A4D26"/>
    <w:rsid w:val="008C66D6"/>
    <w:rsid w:val="008D5D2A"/>
    <w:rsid w:val="0091446E"/>
    <w:rsid w:val="00914B63"/>
    <w:rsid w:val="009354F3"/>
    <w:rsid w:val="009447DC"/>
    <w:rsid w:val="00961BA5"/>
    <w:rsid w:val="009743A9"/>
    <w:rsid w:val="009A5287"/>
    <w:rsid w:val="009A5C21"/>
    <w:rsid w:val="009B2AC5"/>
    <w:rsid w:val="009B7984"/>
    <w:rsid w:val="009F4BED"/>
    <w:rsid w:val="009F7D93"/>
    <w:rsid w:val="00A21DCE"/>
    <w:rsid w:val="00A3403B"/>
    <w:rsid w:val="00A51A12"/>
    <w:rsid w:val="00A627D4"/>
    <w:rsid w:val="00A74DA2"/>
    <w:rsid w:val="00AB399E"/>
    <w:rsid w:val="00AC59D0"/>
    <w:rsid w:val="00AD16B1"/>
    <w:rsid w:val="00AD499C"/>
    <w:rsid w:val="00B047DE"/>
    <w:rsid w:val="00B36869"/>
    <w:rsid w:val="00B43B31"/>
    <w:rsid w:val="00B47CFA"/>
    <w:rsid w:val="00B57F00"/>
    <w:rsid w:val="00B77B2A"/>
    <w:rsid w:val="00B77E26"/>
    <w:rsid w:val="00B80435"/>
    <w:rsid w:val="00B80E5D"/>
    <w:rsid w:val="00B82C22"/>
    <w:rsid w:val="00B93DBA"/>
    <w:rsid w:val="00B9440A"/>
    <w:rsid w:val="00BB2D2A"/>
    <w:rsid w:val="00BC3E04"/>
    <w:rsid w:val="00BD58CF"/>
    <w:rsid w:val="00BF0C92"/>
    <w:rsid w:val="00C016BB"/>
    <w:rsid w:val="00C04CC1"/>
    <w:rsid w:val="00C4096C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71F50"/>
    <w:rsid w:val="00D766F1"/>
    <w:rsid w:val="00DD322F"/>
    <w:rsid w:val="00E257C8"/>
    <w:rsid w:val="00E41512"/>
    <w:rsid w:val="00E4519A"/>
    <w:rsid w:val="00E71153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0431202E"/>
    <w:rsid w:val="064A2E72"/>
    <w:rsid w:val="07014A23"/>
    <w:rsid w:val="0735379A"/>
    <w:rsid w:val="08D00067"/>
    <w:rsid w:val="0BE300B2"/>
    <w:rsid w:val="10026CC3"/>
    <w:rsid w:val="10464BF3"/>
    <w:rsid w:val="111759AC"/>
    <w:rsid w:val="12916AA7"/>
    <w:rsid w:val="136A106C"/>
    <w:rsid w:val="146E4BD8"/>
    <w:rsid w:val="157D50D3"/>
    <w:rsid w:val="1A764718"/>
    <w:rsid w:val="1AA66E7A"/>
    <w:rsid w:val="1C9F376E"/>
    <w:rsid w:val="1D144E3D"/>
    <w:rsid w:val="1D514610"/>
    <w:rsid w:val="1E4C7D38"/>
    <w:rsid w:val="20675467"/>
    <w:rsid w:val="20DA787E"/>
    <w:rsid w:val="216363B0"/>
    <w:rsid w:val="21D06A21"/>
    <w:rsid w:val="23445482"/>
    <w:rsid w:val="241A24D3"/>
    <w:rsid w:val="26FB22FC"/>
    <w:rsid w:val="27313F6F"/>
    <w:rsid w:val="27C2106B"/>
    <w:rsid w:val="281012B4"/>
    <w:rsid w:val="28B07116"/>
    <w:rsid w:val="2ADE440E"/>
    <w:rsid w:val="2FA61702"/>
    <w:rsid w:val="31CD0D39"/>
    <w:rsid w:val="32A14A4D"/>
    <w:rsid w:val="357E454E"/>
    <w:rsid w:val="372A4537"/>
    <w:rsid w:val="3787124A"/>
    <w:rsid w:val="3951224F"/>
    <w:rsid w:val="3AB24F6F"/>
    <w:rsid w:val="3B44299C"/>
    <w:rsid w:val="3C836BC3"/>
    <w:rsid w:val="3CB925E5"/>
    <w:rsid w:val="3CEA6C43"/>
    <w:rsid w:val="40564D05"/>
    <w:rsid w:val="42A3182D"/>
    <w:rsid w:val="442D7D0B"/>
    <w:rsid w:val="457A48DC"/>
    <w:rsid w:val="45AC718B"/>
    <w:rsid w:val="46DF70EC"/>
    <w:rsid w:val="49AD1DAD"/>
    <w:rsid w:val="49D12759"/>
    <w:rsid w:val="4AAA2D06"/>
    <w:rsid w:val="4BE331DB"/>
    <w:rsid w:val="4D5D6FBD"/>
    <w:rsid w:val="4DD54DA5"/>
    <w:rsid w:val="4F6B6D60"/>
    <w:rsid w:val="509B2109"/>
    <w:rsid w:val="52643057"/>
    <w:rsid w:val="52923E5B"/>
    <w:rsid w:val="529C40E3"/>
    <w:rsid w:val="53EC109A"/>
    <w:rsid w:val="54450AAF"/>
    <w:rsid w:val="54574766"/>
    <w:rsid w:val="556E7657"/>
    <w:rsid w:val="55A0308A"/>
    <w:rsid w:val="566118CC"/>
    <w:rsid w:val="5A0A4022"/>
    <w:rsid w:val="5B5E7D38"/>
    <w:rsid w:val="5CF54B1C"/>
    <w:rsid w:val="5ED82F1E"/>
    <w:rsid w:val="62606EDB"/>
    <w:rsid w:val="628A2B4A"/>
    <w:rsid w:val="633839B4"/>
    <w:rsid w:val="63471E49"/>
    <w:rsid w:val="64D84CF7"/>
    <w:rsid w:val="64F32289"/>
    <w:rsid w:val="69E5416A"/>
    <w:rsid w:val="6A164324"/>
    <w:rsid w:val="6AB778B5"/>
    <w:rsid w:val="6AF659BA"/>
    <w:rsid w:val="6C9854C4"/>
    <w:rsid w:val="6CF82A29"/>
    <w:rsid w:val="6E9246AC"/>
    <w:rsid w:val="6F696E7D"/>
    <w:rsid w:val="71A469C4"/>
    <w:rsid w:val="71AF7537"/>
    <w:rsid w:val="72CC5EC7"/>
    <w:rsid w:val="731C29AB"/>
    <w:rsid w:val="758E3908"/>
    <w:rsid w:val="77F739E6"/>
    <w:rsid w:val="78146346"/>
    <w:rsid w:val="793F3897"/>
    <w:rsid w:val="7A0806B0"/>
    <w:rsid w:val="7B1E74DC"/>
    <w:rsid w:val="7E042739"/>
    <w:rsid w:val="7E29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nhideWhenUsed="0" w:uiPriority="0" w:name="heading 6"/>
    <w:lsdException w:qFormat="1" w:unhideWhenUsed="0" w:uiPriority="0" w:name="heading 7"/>
    <w:lsdException w:qFormat="1" w:unhideWhenUsed="0" w:uiPriority="0" w:name="heading 8"/>
    <w:lsdException w:qFormat="1" w:unhideWhenUsed="0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name="header"/>
    <w:lsdException w:qFormat="1" w:unhideWhenUsed="0" w:uiPriority="0" w:name="footer"/>
    <w:lsdException w:qFormat="1" w:unhideWhenUsed="0" w:uiPriority="0" w:name="index heading"/>
    <w:lsdException w:qFormat="1" w:unhideWhenUsed="0" w:uiPriority="0" w:name="caption"/>
    <w:lsdException w:qFormat="1" w:unhideWhenUsed="0" w:uiPriority="0" w:name="table of figures"/>
    <w:lsdException w:qFormat="1" w:unhideWhenUsed="0" w:uiPriority="0" w:name="envelope address"/>
    <w:lsdException w:qFormat="1" w:unhideWhenUsed="0" w:uiPriority="0" w:name="envelope return"/>
    <w:lsdException w:uiPriority="0" w:name="footnote reference"/>
    <w:lsdException w:qFormat="1" w:uiPriority="0" w:name="annotation reference"/>
    <w:lsdException w:qFormat="1" w:uiPriority="0" w:name="line number"/>
    <w:lsdException w:qFormat="1" w:unhideWhenUsed="0" w:uiPriority="0" w:name="page number"/>
    <w:lsdException w:uiPriority="0" w:name="endnote reference"/>
    <w:lsdException w:qFormat="1" w:unhideWhenUsed="0" w:uiPriority="0" w:name="endnote text"/>
    <w:lsdException w:qFormat="1" w:unhideWhenUsed="0" w:uiPriority="0" w:name="table of authorities"/>
    <w:lsdException w:qFormat="1" w:unhideWhenUsed="0" w:uiPriority="0" w:name="macro"/>
    <w:lsdException w:qFormat="1" w:unhideWhenUsed="0" w:uiPriority="0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name="Subtitle"/>
    <w:lsdException w:qFormat="1" w:unhideWhenUsed="0" w:uiPriority="0" w:name="Salutation"/>
    <w:lsdException w:qFormat="1" w:unhideWhenUsed="0" w:uiPriority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0" w:name="Hyperlink"/>
    <w:lsdException w:qFormat="1" w:uiPriority="0" w:name="FollowedHyperlink"/>
    <w:lsdException w:qFormat="1" w:unhideWhenUsed="0" w:uiPriority="0" w:name="Strong"/>
    <w:lsdException w:qFormat="1" w:unhideWhenUsed="0" w:uiPriority="0" w:name="Emphasis"/>
    <w:lsdException w:qFormat="1" w:unhideWhenUsed="0" w:uiPriority="0" w:name="Document Map"/>
    <w:lsdException w:qFormat="1" w:unhideWhenUsed="0" w:uiPriority="0" w:name="Plain Text"/>
    <w:lsdException w:qFormat="1" w:unhideWhenUsed="0" w:uiPriority="0" w:name="E-mail Signature"/>
    <w:lsdException w:qFormat="1" w:unhideWhenUsed="0" w:uiPriority="0" w:name="Normal (Web)"/>
    <w:lsdException w:uiPriority="0" w:name="HTML Acronym"/>
    <w:lsdException w:qFormat="1" w:unhideWhenUsed="0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name="List Paragraph"/>
    <w:lsdException w:qFormat="1" w:unhideWhenUsed="0" w:uiPriority="29" w:name="Quote"/>
    <w:lsdException w:qFormat="1"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lang w:val="en-US" w:eastAsia="en-US" w:bidi="ar-SA"/>
    </w:rPr>
  </w:style>
  <w:style w:type="paragraph" w:styleId="3">
    <w:name w:val="heading 1"/>
    <w:basedOn w:val="1"/>
    <w:next w:val="1"/>
    <w:link w:val="96"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4">
    <w:name w:val="heading 2"/>
    <w:basedOn w:val="1"/>
    <w:next w:val="1"/>
    <w:link w:val="97"/>
    <w:semiHidden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3"/>
    <w:basedOn w:val="1"/>
    <w:next w:val="1"/>
    <w:semiHidden/>
    <w:qFormat/>
    <w:uiPriority w:val="0"/>
    <w:pPr>
      <w:keepNext/>
      <w:spacing w:line="480" w:lineRule="auto"/>
      <w:outlineLvl w:val="2"/>
    </w:pPr>
    <w:rPr>
      <w:rFonts w:ascii="Times" w:hAnsi="Times" w:eastAsia="Times"/>
      <w:b/>
    </w:rPr>
  </w:style>
  <w:style w:type="paragraph" w:styleId="6">
    <w:name w:val="heading 4"/>
    <w:basedOn w:val="1"/>
    <w:next w:val="1"/>
    <w:semiHidden/>
    <w:qFormat/>
    <w:uiPriority w:val="0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7">
    <w:name w:val="heading 5"/>
    <w:basedOn w:val="1"/>
    <w:next w:val="1"/>
    <w:link w:val="98"/>
    <w:semiHidden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99"/>
    <w:semiHidden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7"/>
    <w:basedOn w:val="1"/>
    <w:next w:val="1"/>
    <w:link w:val="100"/>
    <w:semiHidden/>
    <w:qFormat/>
    <w:uiPriority w:val="0"/>
    <w:pPr>
      <w:spacing w:before="240" w:after="60"/>
      <w:outlineLvl w:val="6"/>
    </w:pPr>
    <w:rPr>
      <w:rFonts w:ascii="Calibri" w:hAnsi="Calibri"/>
      <w:szCs w:val="24"/>
    </w:rPr>
  </w:style>
  <w:style w:type="paragraph" w:styleId="10">
    <w:name w:val="heading 8"/>
    <w:basedOn w:val="1"/>
    <w:next w:val="1"/>
    <w:link w:val="101"/>
    <w:semiHidden/>
    <w:qFormat/>
    <w:uiPriority w:val="0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11">
    <w:name w:val="heading 9"/>
    <w:basedOn w:val="1"/>
    <w:next w:val="1"/>
    <w:link w:val="102"/>
    <w:semiHidden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90">
    <w:name w:val="Default Paragraph Font"/>
    <w:semiHidden/>
    <w:unhideWhenUsed/>
    <w:qFormat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32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 w:eastAsiaTheme="minorEastAsia"/>
      <w:lang w:val="en-US" w:eastAsia="en-US" w:bidi="ar-SA"/>
    </w:rPr>
  </w:style>
  <w:style w:type="paragraph" w:styleId="12">
    <w:name w:val="List 3"/>
    <w:basedOn w:val="1"/>
    <w:semiHidden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autoRedefine/>
    <w:semiHidden/>
    <w:qFormat/>
    <w:uiPriority w:val="0"/>
    <w:pPr>
      <w:ind w:left="1440"/>
    </w:pPr>
  </w:style>
  <w:style w:type="paragraph" w:styleId="14">
    <w:name w:val="List Number 2"/>
    <w:basedOn w:val="1"/>
    <w:semiHidden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semiHidden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135"/>
    <w:semiHidden/>
    <w:qFormat/>
    <w:uiPriority w:val="0"/>
  </w:style>
  <w:style w:type="paragraph" w:styleId="17">
    <w:name w:val="List Bullet 4"/>
    <w:basedOn w:val="1"/>
    <w:semiHidden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qFormat/>
    <w:uiPriority w:val="0"/>
    <w:pPr>
      <w:ind w:left="1920" w:hanging="240"/>
    </w:pPr>
  </w:style>
  <w:style w:type="paragraph" w:styleId="19">
    <w:name w:val="E-mail Signature"/>
    <w:basedOn w:val="1"/>
    <w:link w:val="122"/>
    <w:semiHidden/>
    <w:qFormat/>
    <w:uiPriority w:val="0"/>
  </w:style>
  <w:style w:type="paragraph" w:styleId="20">
    <w:name w:val="List Number"/>
    <w:basedOn w:val="1"/>
    <w:semiHidden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semiHidden/>
    <w:qFormat/>
    <w:uiPriority w:val="0"/>
    <w:pPr>
      <w:ind w:left="720"/>
    </w:pPr>
  </w:style>
  <w:style w:type="paragraph" w:styleId="22">
    <w:name w:val="caption"/>
    <w:basedOn w:val="1"/>
    <w:next w:val="1"/>
    <w:semiHidden/>
    <w:qFormat/>
    <w:uiPriority w:val="0"/>
    <w:rPr>
      <w:b/>
      <w:bCs/>
      <w:sz w:val="20"/>
    </w:rPr>
  </w:style>
  <w:style w:type="paragraph" w:styleId="23">
    <w:name w:val="index 5"/>
    <w:basedOn w:val="1"/>
    <w:next w:val="1"/>
    <w:autoRedefine/>
    <w:semiHidden/>
    <w:qFormat/>
    <w:uiPriority w:val="0"/>
    <w:pPr>
      <w:ind w:left="1200" w:hanging="240"/>
    </w:pPr>
  </w:style>
  <w:style w:type="paragraph" w:styleId="24">
    <w:name w:val="List Bullet"/>
    <w:basedOn w:val="1"/>
    <w:semiHidden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Cambria" w:hAnsi="Cambria"/>
      <w:szCs w:val="24"/>
    </w:rPr>
  </w:style>
  <w:style w:type="paragraph" w:styleId="26">
    <w:name w:val="Document Map"/>
    <w:basedOn w:val="1"/>
    <w:link w:val="121"/>
    <w:semiHidden/>
    <w:qFormat/>
    <w:uiPriority w:val="0"/>
    <w:rPr>
      <w:rFonts w:ascii="Tahoma" w:hAnsi="Tahoma" w:cs="Tahoma"/>
      <w:sz w:val="16"/>
      <w:szCs w:val="16"/>
    </w:rPr>
  </w:style>
  <w:style w:type="paragraph" w:styleId="27">
    <w:name w:val="toa heading"/>
    <w:basedOn w:val="1"/>
    <w:next w:val="1"/>
    <w:semiHidden/>
    <w:qFormat/>
    <w:uiPriority w:val="0"/>
    <w:pPr>
      <w:spacing w:before="120"/>
    </w:pPr>
    <w:rPr>
      <w:rFonts w:ascii="Cambria" w:hAnsi="Cambria"/>
      <w:b/>
      <w:bCs/>
      <w:szCs w:val="24"/>
    </w:rPr>
  </w:style>
  <w:style w:type="paragraph" w:styleId="28">
    <w:name w:val="annotation text"/>
    <w:basedOn w:val="1"/>
    <w:link w:val="118"/>
    <w:semiHidden/>
    <w:qFormat/>
    <w:uiPriority w:val="0"/>
    <w:rPr>
      <w:sz w:val="20"/>
    </w:rPr>
  </w:style>
  <w:style w:type="paragraph" w:styleId="29">
    <w:name w:val="index 6"/>
    <w:basedOn w:val="1"/>
    <w:next w:val="1"/>
    <w:autoRedefine/>
    <w:semiHidden/>
    <w:qFormat/>
    <w:uiPriority w:val="0"/>
    <w:pPr>
      <w:ind w:left="1440" w:hanging="240"/>
    </w:pPr>
  </w:style>
  <w:style w:type="paragraph" w:styleId="30">
    <w:name w:val="Salutation"/>
    <w:basedOn w:val="1"/>
    <w:next w:val="1"/>
    <w:link w:val="139"/>
    <w:semiHidden/>
    <w:qFormat/>
    <w:uiPriority w:val="0"/>
  </w:style>
  <w:style w:type="paragraph" w:styleId="31">
    <w:name w:val="Body Text 3"/>
    <w:basedOn w:val="1"/>
    <w:link w:val="111"/>
    <w:semiHidden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17"/>
    <w:semiHidden/>
    <w:qFormat/>
    <w:uiPriority w:val="0"/>
    <w:pPr>
      <w:ind w:left="4320"/>
    </w:pPr>
  </w:style>
  <w:style w:type="paragraph" w:styleId="33">
    <w:name w:val="List Bullet 3"/>
    <w:basedOn w:val="1"/>
    <w:semiHidden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09"/>
    <w:semiHidden/>
    <w:qFormat/>
    <w:uiPriority w:val="0"/>
    <w:pPr>
      <w:spacing w:after="120"/>
    </w:pPr>
  </w:style>
  <w:style w:type="paragraph" w:styleId="35">
    <w:name w:val="Body Text Indent"/>
    <w:basedOn w:val="1"/>
    <w:link w:val="113"/>
    <w:semiHidden/>
    <w:qFormat/>
    <w:uiPriority w:val="0"/>
    <w:pPr>
      <w:spacing w:after="120"/>
      <w:ind w:left="360"/>
    </w:pPr>
  </w:style>
  <w:style w:type="paragraph" w:styleId="36">
    <w:name w:val="List Number 3"/>
    <w:basedOn w:val="1"/>
    <w:semiHidden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semiHidden/>
    <w:qFormat/>
    <w:uiPriority w:val="0"/>
    <w:pPr>
      <w:ind w:left="720" w:hanging="360"/>
      <w:contextualSpacing/>
    </w:pPr>
  </w:style>
  <w:style w:type="paragraph" w:styleId="38">
    <w:name w:val="List Continue"/>
    <w:basedOn w:val="1"/>
    <w:semiHidden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semiHidden/>
    <w:qFormat/>
    <w:uiPriority w:val="0"/>
    <w:pPr>
      <w:spacing w:after="120"/>
      <w:ind w:left="1440" w:right="1440"/>
    </w:pPr>
  </w:style>
  <w:style w:type="paragraph" w:styleId="40">
    <w:name w:val="List Bullet 2"/>
    <w:basedOn w:val="1"/>
    <w:semiHidden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27"/>
    <w:semiHidden/>
    <w:qFormat/>
    <w:uiPriority w:val="0"/>
    <w:rPr>
      <w:i/>
      <w:iCs/>
    </w:rPr>
  </w:style>
  <w:style w:type="paragraph" w:styleId="42">
    <w:name w:val="index 4"/>
    <w:basedOn w:val="1"/>
    <w:next w:val="1"/>
    <w:autoRedefine/>
    <w:semiHidden/>
    <w:qFormat/>
    <w:uiPriority w:val="0"/>
    <w:pPr>
      <w:ind w:left="960" w:hanging="240"/>
    </w:pPr>
  </w:style>
  <w:style w:type="paragraph" w:styleId="43">
    <w:name w:val="toc 5"/>
    <w:basedOn w:val="1"/>
    <w:next w:val="1"/>
    <w:autoRedefine/>
    <w:semiHidden/>
    <w:qFormat/>
    <w:uiPriority w:val="0"/>
    <w:pPr>
      <w:ind w:left="960"/>
    </w:pPr>
  </w:style>
  <w:style w:type="paragraph" w:styleId="44">
    <w:name w:val="toc 3"/>
    <w:basedOn w:val="1"/>
    <w:next w:val="1"/>
    <w:autoRedefine/>
    <w:semiHidden/>
    <w:qFormat/>
    <w:uiPriority w:val="0"/>
    <w:pPr>
      <w:ind w:left="480"/>
    </w:pPr>
  </w:style>
  <w:style w:type="paragraph" w:styleId="45">
    <w:name w:val="Plain Text"/>
    <w:basedOn w:val="1"/>
    <w:link w:val="136"/>
    <w:semiHidden/>
    <w:qFormat/>
    <w:uiPriority w:val="0"/>
    <w:rPr>
      <w:rFonts w:ascii="Courier New" w:hAnsi="Courier New" w:cs="Courier New"/>
      <w:sz w:val="20"/>
    </w:rPr>
  </w:style>
  <w:style w:type="paragraph" w:styleId="46">
    <w:name w:val="List Bullet 5"/>
    <w:basedOn w:val="1"/>
    <w:semiHidden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qFormat/>
    <w:uiPriority w:val="0"/>
    <w:pPr>
      <w:ind w:left="1680"/>
    </w:pPr>
  </w:style>
  <w:style w:type="paragraph" w:styleId="49">
    <w:name w:val="index 3"/>
    <w:basedOn w:val="1"/>
    <w:next w:val="1"/>
    <w:autoRedefine/>
    <w:semiHidden/>
    <w:qFormat/>
    <w:uiPriority w:val="0"/>
    <w:pPr>
      <w:ind w:left="720" w:hanging="240"/>
    </w:pPr>
  </w:style>
  <w:style w:type="paragraph" w:styleId="50">
    <w:name w:val="Date"/>
    <w:basedOn w:val="1"/>
    <w:next w:val="1"/>
    <w:link w:val="120"/>
    <w:semiHidden/>
    <w:qFormat/>
    <w:uiPriority w:val="0"/>
  </w:style>
  <w:style w:type="paragraph" w:styleId="51">
    <w:name w:val="Body Text Indent 2"/>
    <w:basedOn w:val="1"/>
    <w:link w:val="115"/>
    <w:semiHidden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123"/>
    <w:semiHidden/>
    <w:qFormat/>
    <w:uiPriority w:val="0"/>
    <w:rPr>
      <w:sz w:val="20"/>
    </w:rPr>
  </w:style>
  <w:style w:type="paragraph" w:styleId="53">
    <w:name w:val="List Continue 5"/>
    <w:basedOn w:val="1"/>
    <w:semiHidden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107"/>
    <w:semiHidden/>
    <w:qFormat/>
    <w:uiPriority w:val="0"/>
    <w:rPr>
      <w:rFonts w:ascii="Tahoma" w:hAnsi="Tahoma" w:cs="Tahoma"/>
      <w:sz w:val="16"/>
      <w:szCs w:val="16"/>
    </w:rPr>
  </w:style>
  <w:style w:type="paragraph" w:styleId="55">
    <w:name w:val="footer"/>
    <w:basedOn w:val="1"/>
    <w:link w:val="124"/>
    <w:semiHidden/>
    <w:qFormat/>
    <w:uiPriority w:val="0"/>
    <w:pPr>
      <w:tabs>
        <w:tab w:val="center" w:pos="4680"/>
        <w:tab w:val="right" w:pos="9360"/>
      </w:tabs>
    </w:pPr>
  </w:style>
  <w:style w:type="paragraph" w:styleId="56">
    <w:name w:val="envelope return"/>
    <w:basedOn w:val="1"/>
    <w:semiHidden/>
    <w:qFormat/>
    <w:uiPriority w:val="0"/>
    <w:rPr>
      <w:rFonts w:ascii="Cambria" w:hAnsi="Cambria"/>
      <w:sz w:val="20"/>
    </w:rPr>
  </w:style>
  <w:style w:type="paragraph" w:styleId="57">
    <w:name w:val="header"/>
    <w:basedOn w:val="1"/>
    <w:link w:val="126"/>
    <w:semiHidden/>
    <w:qFormat/>
    <w:uiPriority w:val="0"/>
    <w:pPr>
      <w:tabs>
        <w:tab w:val="center" w:pos="4680"/>
        <w:tab w:val="right" w:pos="9360"/>
      </w:tabs>
    </w:pPr>
  </w:style>
  <w:style w:type="paragraph" w:styleId="58">
    <w:name w:val="Signature"/>
    <w:basedOn w:val="1"/>
    <w:link w:val="140"/>
    <w:semiHidden/>
    <w:qFormat/>
    <w:uiPriority w:val="0"/>
    <w:pPr>
      <w:ind w:left="4320"/>
    </w:pPr>
  </w:style>
  <w:style w:type="paragraph" w:styleId="59">
    <w:name w:val="toc 1"/>
    <w:basedOn w:val="1"/>
    <w:next w:val="1"/>
    <w:autoRedefine/>
    <w:semiHidden/>
    <w:qFormat/>
    <w:uiPriority w:val="0"/>
  </w:style>
  <w:style w:type="paragraph" w:styleId="60">
    <w:name w:val="List Continue 4"/>
    <w:basedOn w:val="1"/>
    <w:semiHidden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autoRedefine/>
    <w:semiHidden/>
    <w:qFormat/>
    <w:uiPriority w:val="0"/>
    <w:pPr>
      <w:ind w:left="720"/>
    </w:pPr>
  </w:style>
  <w:style w:type="paragraph" w:styleId="62">
    <w:name w:val="index heading"/>
    <w:basedOn w:val="1"/>
    <w:next w:val="63"/>
    <w:semiHidden/>
    <w:qFormat/>
    <w:uiPriority w:val="0"/>
    <w:rPr>
      <w:rFonts w:ascii="Cambria" w:hAnsi="Cambria"/>
      <w:b/>
      <w:bCs/>
    </w:rPr>
  </w:style>
  <w:style w:type="paragraph" w:styleId="63">
    <w:name w:val="index 1"/>
    <w:basedOn w:val="1"/>
    <w:next w:val="1"/>
    <w:autoRedefine/>
    <w:semiHidden/>
    <w:qFormat/>
    <w:uiPriority w:val="0"/>
    <w:pPr>
      <w:ind w:left="240" w:hanging="240"/>
    </w:pPr>
  </w:style>
  <w:style w:type="paragraph" w:styleId="64">
    <w:name w:val="Subtitle"/>
    <w:basedOn w:val="1"/>
    <w:next w:val="1"/>
    <w:link w:val="141"/>
    <w:semiHidden/>
    <w:qFormat/>
    <w:uiPriority w:val="0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65">
    <w:name w:val="List Number 5"/>
    <w:basedOn w:val="1"/>
    <w:semiHidden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semiHidden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125"/>
    <w:semiHidden/>
    <w:qFormat/>
    <w:uiPriority w:val="0"/>
    <w:rPr>
      <w:sz w:val="20"/>
    </w:rPr>
  </w:style>
  <w:style w:type="paragraph" w:styleId="68">
    <w:name w:val="toc 6"/>
    <w:basedOn w:val="1"/>
    <w:next w:val="1"/>
    <w:autoRedefine/>
    <w:semiHidden/>
    <w:qFormat/>
    <w:uiPriority w:val="0"/>
    <w:pPr>
      <w:ind w:left="1200"/>
    </w:pPr>
  </w:style>
  <w:style w:type="paragraph" w:styleId="69">
    <w:name w:val="List 5"/>
    <w:basedOn w:val="1"/>
    <w:semiHidden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116"/>
    <w:semiHidden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qFormat/>
    <w:uiPriority w:val="0"/>
    <w:pPr>
      <w:ind w:left="1680" w:hanging="240"/>
    </w:pPr>
  </w:style>
  <w:style w:type="paragraph" w:styleId="72">
    <w:name w:val="index 9"/>
    <w:basedOn w:val="1"/>
    <w:next w:val="1"/>
    <w:autoRedefine/>
    <w:semiHidden/>
    <w:qFormat/>
    <w:uiPriority w:val="0"/>
    <w:pPr>
      <w:ind w:left="2160" w:hanging="240"/>
    </w:pPr>
  </w:style>
  <w:style w:type="paragraph" w:styleId="73">
    <w:name w:val="table of figures"/>
    <w:basedOn w:val="1"/>
    <w:next w:val="1"/>
    <w:semiHidden/>
    <w:qFormat/>
    <w:uiPriority w:val="0"/>
  </w:style>
  <w:style w:type="paragraph" w:styleId="74">
    <w:name w:val="toc 2"/>
    <w:basedOn w:val="1"/>
    <w:next w:val="1"/>
    <w:autoRedefine/>
    <w:semiHidden/>
    <w:qFormat/>
    <w:uiPriority w:val="0"/>
    <w:pPr>
      <w:ind w:left="240"/>
    </w:pPr>
  </w:style>
  <w:style w:type="paragraph" w:styleId="75">
    <w:name w:val="toc 9"/>
    <w:basedOn w:val="1"/>
    <w:next w:val="1"/>
    <w:autoRedefine/>
    <w:semiHidden/>
    <w:qFormat/>
    <w:uiPriority w:val="0"/>
    <w:pPr>
      <w:ind w:left="1920"/>
    </w:pPr>
  </w:style>
  <w:style w:type="paragraph" w:styleId="76">
    <w:name w:val="Body Text 2"/>
    <w:basedOn w:val="1"/>
    <w:link w:val="110"/>
    <w:semiHidden/>
    <w:qFormat/>
    <w:uiPriority w:val="0"/>
    <w:pPr>
      <w:spacing w:after="120" w:line="480" w:lineRule="auto"/>
    </w:pPr>
  </w:style>
  <w:style w:type="paragraph" w:styleId="77">
    <w:name w:val="List 4"/>
    <w:basedOn w:val="1"/>
    <w:semiHidden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semiHidden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133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80">
    <w:name w:val="HTML Preformatted"/>
    <w:basedOn w:val="1"/>
    <w:link w:val="128"/>
    <w:semiHidden/>
    <w:qFormat/>
    <w:uiPriority w:val="0"/>
    <w:rPr>
      <w:rFonts w:ascii="Courier New" w:hAnsi="Courier New" w:cs="Courier New"/>
      <w:sz w:val="20"/>
    </w:rPr>
  </w:style>
  <w:style w:type="paragraph" w:styleId="81">
    <w:name w:val="Normal (Web)"/>
    <w:basedOn w:val="1"/>
    <w:semiHidden/>
    <w:qFormat/>
    <w:uiPriority w:val="0"/>
    <w:rPr>
      <w:szCs w:val="24"/>
    </w:rPr>
  </w:style>
  <w:style w:type="paragraph" w:styleId="82">
    <w:name w:val="List Continue 3"/>
    <w:basedOn w:val="1"/>
    <w:semiHidden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autoRedefine/>
    <w:semiHidden/>
    <w:qFormat/>
    <w:uiPriority w:val="0"/>
    <w:pPr>
      <w:ind w:left="480" w:hanging="240"/>
    </w:pPr>
  </w:style>
  <w:style w:type="paragraph" w:styleId="84">
    <w:name w:val="Title"/>
    <w:basedOn w:val="1"/>
    <w:next w:val="1"/>
    <w:link w:val="142"/>
    <w:semiHidden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85">
    <w:name w:val="annotation subject"/>
    <w:basedOn w:val="28"/>
    <w:next w:val="28"/>
    <w:link w:val="119"/>
    <w:semiHidden/>
    <w:qFormat/>
    <w:uiPriority w:val="0"/>
    <w:rPr>
      <w:b/>
      <w:bCs/>
    </w:rPr>
  </w:style>
  <w:style w:type="paragraph" w:styleId="86">
    <w:name w:val="Body Text First Indent"/>
    <w:basedOn w:val="34"/>
    <w:link w:val="112"/>
    <w:semiHidden/>
    <w:qFormat/>
    <w:uiPriority w:val="0"/>
    <w:pPr>
      <w:ind w:firstLine="210"/>
    </w:pPr>
  </w:style>
  <w:style w:type="paragraph" w:styleId="87">
    <w:name w:val="Body Text First Indent 2"/>
    <w:basedOn w:val="35"/>
    <w:link w:val="114"/>
    <w:semiHidden/>
    <w:qFormat/>
    <w:uiPriority w:val="0"/>
    <w:pPr>
      <w:ind w:firstLine="210"/>
    </w:pPr>
  </w:style>
  <w:style w:type="table" w:styleId="89">
    <w:name w:val="Table Grid"/>
    <w:basedOn w:val="8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basedOn w:val="90"/>
    <w:semiHidden/>
    <w:qFormat/>
    <w:uiPriority w:val="0"/>
  </w:style>
  <w:style w:type="character" w:styleId="92">
    <w:name w:val="FollowedHyperlink"/>
    <w:semiHidden/>
    <w:unhideWhenUsed/>
    <w:qFormat/>
    <w:uiPriority w:val="0"/>
    <w:rPr>
      <w:color w:val="800080"/>
      <w:u w:val="single"/>
    </w:rPr>
  </w:style>
  <w:style w:type="character" w:styleId="93">
    <w:name w:val="line number"/>
    <w:basedOn w:val="90"/>
    <w:semiHidden/>
    <w:unhideWhenUsed/>
    <w:qFormat/>
    <w:uiPriority w:val="0"/>
  </w:style>
  <w:style w:type="character" w:styleId="94">
    <w:name w:val="Hyperlink"/>
    <w:semiHidden/>
    <w:qFormat/>
    <w:uiPriority w:val="0"/>
    <w:rPr>
      <w:color w:val="0000FF"/>
      <w:u w:val="single"/>
    </w:rPr>
  </w:style>
  <w:style w:type="character" w:styleId="95">
    <w:name w:val="annotation reference"/>
    <w:semiHidden/>
    <w:unhideWhenUsed/>
    <w:qFormat/>
    <w:uiPriority w:val="0"/>
    <w:rPr>
      <w:sz w:val="16"/>
      <w:szCs w:val="16"/>
    </w:rPr>
  </w:style>
  <w:style w:type="character" w:customStyle="1" w:styleId="96">
    <w:name w:val="标题 1 字符"/>
    <w:link w:val="3"/>
    <w:semiHidden/>
    <w:qFormat/>
    <w:uiPriority w:val="0"/>
    <w:rPr>
      <w:b/>
      <w:bCs/>
      <w:kern w:val="32"/>
      <w:sz w:val="24"/>
      <w:szCs w:val="24"/>
    </w:rPr>
  </w:style>
  <w:style w:type="character" w:customStyle="1" w:styleId="97">
    <w:name w:val="标题 2 字符"/>
    <w:link w:val="4"/>
    <w:semiHidden/>
    <w:qFormat/>
    <w:uiPriority w:val="0"/>
    <w:rPr>
      <w:rFonts w:ascii="Cambria" w:hAnsi="Cambria"/>
      <w:b/>
      <w:bCs/>
      <w:i/>
      <w:iCs/>
      <w:sz w:val="28"/>
      <w:szCs w:val="28"/>
    </w:rPr>
  </w:style>
  <w:style w:type="character" w:customStyle="1" w:styleId="98">
    <w:name w:val="标题 5 字符"/>
    <w:link w:val="7"/>
    <w:semiHidden/>
    <w:qFormat/>
    <w:uiPriority w:val="0"/>
    <w:rPr>
      <w:rFonts w:ascii="Calibri" w:hAnsi="Calibri"/>
      <w:b/>
      <w:bCs/>
      <w:i/>
      <w:iCs/>
      <w:sz w:val="26"/>
      <w:szCs w:val="26"/>
    </w:rPr>
  </w:style>
  <w:style w:type="character" w:customStyle="1" w:styleId="99">
    <w:name w:val="标题 6 字符"/>
    <w:link w:val="8"/>
    <w:semiHidden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100">
    <w:name w:val="标题 7 字符"/>
    <w:link w:val="9"/>
    <w:semiHidden/>
    <w:qFormat/>
    <w:uiPriority w:val="0"/>
    <w:rPr>
      <w:rFonts w:ascii="Calibri" w:hAnsi="Calibri"/>
      <w:sz w:val="24"/>
      <w:szCs w:val="24"/>
    </w:rPr>
  </w:style>
  <w:style w:type="character" w:customStyle="1" w:styleId="101">
    <w:name w:val="标题 8 字符"/>
    <w:link w:val="10"/>
    <w:semiHidden/>
    <w:qFormat/>
    <w:uiPriority w:val="0"/>
    <w:rPr>
      <w:rFonts w:ascii="Calibri" w:hAnsi="Calibri"/>
      <w:i/>
      <w:iCs/>
      <w:sz w:val="24"/>
      <w:szCs w:val="24"/>
    </w:rPr>
  </w:style>
  <w:style w:type="character" w:customStyle="1" w:styleId="102">
    <w:name w:val="标题 9 字符"/>
    <w:link w:val="11"/>
    <w:semiHidden/>
    <w:qFormat/>
    <w:uiPriority w:val="0"/>
    <w:rPr>
      <w:rFonts w:ascii="Cambria" w:hAnsi="Cambria"/>
      <w:sz w:val="22"/>
      <w:szCs w:val="22"/>
    </w:rPr>
  </w:style>
  <w:style w:type="paragraph" w:customStyle="1" w:styleId="103">
    <w:name w:val="SM Heading"/>
    <w:basedOn w:val="3"/>
    <w:qFormat/>
    <w:uiPriority w:val="0"/>
  </w:style>
  <w:style w:type="paragraph" w:customStyle="1" w:styleId="104">
    <w:name w:val="SM Subheading"/>
    <w:basedOn w:val="1"/>
    <w:qFormat/>
    <w:uiPriority w:val="0"/>
    <w:rPr>
      <w:u w:val="words"/>
    </w:rPr>
  </w:style>
  <w:style w:type="paragraph" w:customStyle="1" w:styleId="105">
    <w:name w:val="SM Text"/>
    <w:basedOn w:val="1"/>
    <w:qFormat/>
    <w:uiPriority w:val="0"/>
    <w:pPr>
      <w:ind w:firstLine="480"/>
    </w:pPr>
  </w:style>
  <w:style w:type="paragraph" w:customStyle="1" w:styleId="106">
    <w:name w:val="SM caption"/>
    <w:basedOn w:val="105"/>
    <w:qFormat/>
    <w:uiPriority w:val="0"/>
    <w:pPr>
      <w:ind w:firstLine="0"/>
    </w:pPr>
  </w:style>
  <w:style w:type="character" w:customStyle="1" w:styleId="107">
    <w:name w:val="批注框文本 字符"/>
    <w:link w:val="54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08">
    <w:name w:val="书目1"/>
    <w:basedOn w:val="1"/>
    <w:next w:val="1"/>
    <w:semiHidden/>
    <w:qFormat/>
    <w:uiPriority w:val="37"/>
  </w:style>
  <w:style w:type="character" w:customStyle="1" w:styleId="109">
    <w:name w:val="正文文本 字符"/>
    <w:link w:val="34"/>
    <w:semiHidden/>
    <w:qFormat/>
    <w:uiPriority w:val="0"/>
    <w:rPr>
      <w:sz w:val="24"/>
    </w:rPr>
  </w:style>
  <w:style w:type="character" w:customStyle="1" w:styleId="110">
    <w:name w:val="正文文本 2 字符"/>
    <w:link w:val="76"/>
    <w:semiHidden/>
    <w:qFormat/>
    <w:uiPriority w:val="0"/>
    <w:rPr>
      <w:sz w:val="24"/>
    </w:rPr>
  </w:style>
  <w:style w:type="character" w:customStyle="1" w:styleId="111">
    <w:name w:val="正文文本 3 字符"/>
    <w:link w:val="31"/>
    <w:semiHidden/>
    <w:qFormat/>
    <w:uiPriority w:val="0"/>
    <w:rPr>
      <w:sz w:val="16"/>
      <w:szCs w:val="16"/>
    </w:rPr>
  </w:style>
  <w:style w:type="character" w:customStyle="1" w:styleId="112">
    <w:name w:val="正文文本首行缩进 字符"/>
    <w:link w:val="86"/>
    <w:semiHidden/>
    <w:qFormat/>
    <w:uiPriority w:val="0"/>
    <w:rPr>
      <w:sz w:val="24"/>
    </w:rPr>
  </w:style>
  <w:style w:type="character" w:customStyle="1" w:styleId="113">
    <w:name w:val="正文文本缩进 字符"/>
    <w:link w:val="35"/>
    <w:semiHidden/>
    <w:qFormat/>
    <w:uiPriority w:val="0"/>
    <w:rPr>
      <w:sz w:val="24"/>
    </w:rPr>
  </w:style>
  <w:style w:type="character" w:customStyle="1" w:styleId="114">
    <w:name w:val="正文文本首行缩进 2 字符"/>
    <w:link w:val="87"/>
    <w:semiHidden/>
    <w:qFormat/>
    <w:uiPriority w:val="0"/>
    <w:rPr>
      <w:sz w:val="24"/>
    </w:rPr>
  </w:style>
  <w:style w:type="character" w:customStyle="1" w:styleId="115">
    <w:name w:val="正文文本缩进 2 字符"/>
    <w:link w:val="51"/>
    <w:semiHidden/>
    <w:qFormat/>
    <w:uiPriority w:val="0"/>
    <w:rPr>
      <w:sz w:val="24"/>
    </w:rPr>
  </w:style>
  <w:style w:type="character" w:customStyle="1" w:styleId="116">
    <w:name w:val="正文文本缩进 3 字符"/>
    <w:link w:val="70"/>
    <w:semiHidden/>
    <w:qFormat/>
    <w:uiPriority w:val="0"/>
    <w:rPr>
      <w:sz w:val="16"/>
      <w:szCs w:val="16"/>
    </w:rPr>
  </w:style>
  <w:style w:type="character" w:customStyle="1" w:styleId="117">
    <w:name w:val="结束语 字符"/>
    <w:link w:val="32"/>
    <w:semiHidden/>
    <w:qFormat/>
    <w:uiPriority w:val="0"/>
    <w:rPr>
      <w:sz w:val="24"/>
    </w:rPr>
  </w:style>
  <w:style w:type="character" w:customStyle="1" w:styleId="118">
    <w:name w:val="批注文字 字符"/>
    <w:basedOn w:val="90"/>
    <w:link w:val="28"/>
    <w:semiHidden/>
    <w:qFormat/>
    <w:uiPriority w:val="0"/>
  </w:style>
  <w:style w:type="character" w:customStyle="1" w:styleId="119">
    <w:name w:val="批注主题 字符"/>
    <w:link w:val="85"/>
    <w:semiHidden/>
    <w:qFormat/>
    <w:uiPriority w:val="0"/>
    <w:rPr>
      <w:b/>
      <w:bCs/>
    </w:rPr>
  </w:style>
  <w:style w:type="character" w:customStyle="1" w:styleId="120">
    <w:name w:val="日期 字符"/>
    <w:link w:val="50"/>
    <w:semiHidden/>
    <w:qFormat/>
    <w:uiPriority w:val="0"/>
    <w:rPr>
      <w:sz w:val="24"/>
    </w:rPr>
  </w:style>
  <w:style w:type="character" w:customStyle="1" w:styleId="121">
    <w:name w:val="文档结构图 字符"/>
    <w:link w:val="26"/>
    <w:semiHidden/>
    <w:qFormat/>
    <w:uiPriority w:val="0"/>
    <w:rPr>
      <w:rFonts w:ascii="Tahoma" w:hAnsi="Tahoma" w:cs="Tahoma"/>
      <w:sz w:val="16"/>
      <w:szCs w:val="16"/>
    </w:rPr>
  </w:style>
  <w:style w:type="character" w:customStyle="1" w:styleId="122">
    <w:name w:val="电子邮件签名 字符"/>
    <w:link w:val="19"/>
    <w:semiHidden/>
    <w:qFormat/>
    <w:uiPriority w:val="0"/>
    <w:rPr>
      <w:sz w:val="24"/>
    </w:rPr>
  </w:style>
  <w:style w:type="character" w:customStyle="1" w:styleId="123">
    <w:name w:val="尾注文本 字符"/>
    <w:basedOn w:val="90"/>
    <w:link w:val="52"/>
    <w:semiHidden/>
    <w:qFormat/>
    <w:uiPriority w:val="0"/>
  </w:style>
  <w:style w:type="character" w:customStyle="1" w:styleId="124">
    <w:name w:val="页脚 字符"/>
    <w:link w:val="55"/>
    <w:semiHidden/>
    <w:qFormat/>
    <w:uiPriority w:val="0"/>
    <w:rPr>
      <w:sz w:val="24"/>
    </w:rPr>
  </w:style>
  <w:style w:type="character" w:customStyle="1" w:styleId="125">
    <w:name w:val="脚注文本 字符"/>
    <w:basedOn w:val="90"/>
    <w:link w:val="67"/>
    <w:semiHidden/>
    <w:qFormat/>
    <w:uiPriority w:val="0"/>
  </w:style>
  <w:style w:type="character" w:customStyle="1" w:styleId="126">
    <w:name w:val="页眉 字符"/>
    <w:link w:val="57"/>
    <w:semiHidden/>
    <w:qFormat/>
    <w:uiPriority w:val="0"/>
    <w:rPr>
      <w:sz w:val="24"/>
    </w:rPr>
  </w:style>
  <w:style w:type="character" w:customStyle="1" w:styleId="127">
    <w:name w:val="HTML 地址 字符"/>
    <w:link w:val="41"/>
    <w:semiHidden/>
    <w:qFormat/>
    <w:uiPriority w:val="0"/>
    <w:rPr>
      <w:i/>
      <w:iCs/>
      <w:sz w:val="24"/>
    </w:rPr>
  </w:style>
  <w:style w:type="character" w:customStyle="1" w:styleId="128">
    <w:name w:val="HTML 预设格式 字符"/>
    <w:link w:val="80"/>
    <w:semiHidden/>
    <w:qFormat/>
    <w:uiPriority w:val="0"/>
    <w:rPr>
      <w:rFonts w:ascii="Courier New" w:hAnsi="Courier New" w:cs="Courier New"/>
    </w:rPr>
  </w:style>
  <w:style w:type="paragraph" w:styleId="129">
    <w:name w:val="Intense Quote"/>
    <w:basedOn w:val="1"/>
    <w:next w:val="1"/>
    <w:link w:val="130"/>
    <w:semiHidden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30">
    <w:name w:val="明显引用 字符"/>
    <w:link w:val="129"/>
    <w:semiHidden/>
    <w:qFormat/>
    <w:uiPriority w:val="30"/>
    <w:rPr>
      <w:b/>
      <w:bCs/>
      <w:i/>
      <w:iCs/>
      <w:color w:val="4F81BD"/>
      <w:sz w:val="24"/>
    </w:rPr>
  </w:style>
  <w:style w:type="paragraph" w:styleId="131">
    <w:name w:val="List Paragraph"/>
    <w:basedOn w:val="1"/>
    <w:semiHidden/>
    <w:qFormat/>
    <w:uiPriority w:val="34"/>
    <w:pPr>
      <w:ind w:left="720"/>
    </w:pPr>
  </w:style>
  <w:style w:type="character" w:customStyle="1" w:styleId="132">
    <w:name w:val="宏文本 字符"/>
    <w:link w:val="2"/>
    <w:semiHidden/>
    <w:qFormat/>
    <w:uiPriority w:val="0"/>
    <w:rPr>
      <w:rFonts w:ascii="Courier New" w:hAnsi="Courier New" w:cs="Courier New"/>
      <w:lang w:val="en-US" w:eastAsia="en-US" w:bidi="ar-SA"/>
    </w:rPr>
  </w:style>
  <w:style w:type="character" w:customStyle="1" w:styleId="133">
    <w:name w:val="信息标题 字符"/>
    <w:link w:val="79"/>
    <w:semiHidden/>
    <w:qFormat/>
    <w:uiPriority w:val="0"/>
    <w:rPr>
      <w:rFonts w:ascii="Cambria" w:hAnsi="Cambria"/>
      <w:sz w:val="24"/>
      <w:szCs w:val="24"/>
      <w:shd w:val="pct20" w:color="auto" w:fill="auto"/>
    </w:rPr>
  </w:style>
  <w:style w:type="paragraph" w:styleId="134">
    <w:name w:val="No Spacing"/>
    <w:semiHidden/>
    <w:qFormat/>
    <w:uiPriority w:val="1"/>
    <w:rPr>
      <w:rFonts w:ascii="Times New Roman" w:hAnsi="Times New Roman" w:cs="Times New Roman" w:eastAsiaTheme="minorEastAsia"/>
      <w:sz w:val="24"/>
      <w:lang w:val="en-US" w:eastAsia="en-US" w:bidi="ar-SA"/>
    </w:rPr>
  </w:style>
  <w:style w:type="character" w:customStyle="1" w:styleId="135">
    <w:name w:val="注释标题 字符"/>
    <w:link w:val="16"/>
    <w:semiHidden/>
    <w:qFormat/>
    <w:uiPriority w:val="0"/>
    <w:rPr>
      <w:sz w:val="24"/>
    </w:rPr>
  </w:style>
  <w:style w:type="character" w:customStyle="1" w:styleId="136">
    <w:name w:val="纯文本 字符"/>
    <w:link w:val="45"/>
    <w:semiHidden/>
    <w:qFormat/>
    <w:uiPriority w:val="0"/>
    <w:rPr>
      <w:rFonts w:ascii="Courier New" w:hAnsi="Courier New" w:cs="Courier New"/>
    </w:rPr>
  </w:style>
  <w:style w:type="paragraph" w:styleId="137">
    <w:name w:val="Quote"/>
    <w:basedOn w:val="1"/>
    <w:next w:val="1"/>
    <w:link w:val="138"/>
    <w:semiHidden/>
    <w:qFormat/>
    <w:uiPriority w:val="29"/>
    <w:rPr>
      <w:i/>
      <w:iCs/>
      <w:color w:val="000000"/>
    </w:rPr>
  </w:style>
  <w:style w:type="character" w:customStyle="1" w:styleId="138">
    <w:name w:val="引用 字符"/>
    <w:link w:val="137"/>
    <w:semiHidden/>
    <w:qFormat/>
    <w:uiPriority w:val="29"/>
    <w:rPr>
      <w:i/>
      <w:iCs/>
      <w:color w:val="000000"/>
      <w:sz w:val="24"/>
    </w:rPr>
  </w:style>
  <w:style w:type="character" w:customStyle="1" w:styleId="139">
    <w:name w:val="称呼 字符"/>
    <w:link w:val="30"/>
    <w:semiHidden/>
    <w:qFormat/>
    <w:uiPriority w:val="0"/>
    <w:rPr>
      <w:sz w:val="24"/>
    </w:rPr>
  </w:style>
  <w:style w:type="character" w:customStyle="1" w:styleId="140">
    <w:name w:val="签名 字符"/>
    <w:link w:val="58"/>
    <w:semiHidden/>
    <w:qFormat/>
    <w:uiPriority w:val="0"/>
    <w:rPr>
      <w:sz w:val="24"/>
    </w:rPr>
  </w:style>
  <w:style w:type="character" w:customStyle="1" w:styleId="141">
    <w:name w:val="副标题 字符"/>
    <w:link w:val="64"/>
    <w:semiHidden/>
    <w:qFormat/>
    <w:uiPriority w:val="0"/>
    <w:rPr>
      <w:rFonts w:ascii="Cambria" w:hAnsi="Cambria"/>
      <w:sz w:val="24"/>
      <w:szCs w:val="24"/>
    </w:rPr>
  </w:style>
  <w:style w:type="character" w:customStyle="1" w:styleId="142">
    <w:name w:val="标题 字符"/>
    <w:link w:val="84"/>
    <w:semiHidden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43">
    <w:name w:val="TOC 标题1"/>
    <w:basedOn w:val="3"/>
    <w:next w:val="1"/>
    <w:semiHidden/>
    <w:unhideWhenUsed/>
    <w:qFormat/>
    <w:uiPriority w:val="39"/>
    <w:pPr>
      <w:outlineLvl w:val="9"/>
    </w:pPr>
    <w:rPr>
      <w:rFonts w:ascii="Cambria" w:hAnsi="Cambria"/>
      <w:sz w:val="32"/>
      <w:szCs w:val="32"/>
    </w:rPr>
  </w:style>
  <w:style w:type="character" w:customStyle="1" w:styleId="144">
    <w:name w:val="未处理的提及1"/>
    <w:basedOn w:val="90"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BB4411-AFBA-4D3A-B789-933F4568C4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AAAS</Company>
  <Pages>12</Pages>
  <Words>1216</Words>
  <Characters>8124</Characters>
  <Lines>43</Lines>
  <Paragraphs>12</Paragraphs>
  <TotalTime>11</TotalTime>
  <ScaleCrop>false</ScaleCrop>
  <LinksUpToDate>false</LinksUpToDate>
  <CharactersWithSpaces>9015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2019-07-16T09:29:00Z</dcterms:created>
  <dc:creator>Brooks Hanson</dc:creator>
  <cp:lastModifiedBy>Winfred</cp:lastModifiedBy>
  <cp:lastPrinted>2018-01-11T19:53:00Z</cp:lastPrinted>
  <dcterms:modified xsi:type="dcterms:W3CDTF">2025-11-02T16:44:33Z</dcterms:modified>
  <dc:title>Supporting Online Material for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eyJoZGlkIjoiMGU0MThhYzFiNWQwMzU0MTFhMmEwNjhjNjhmNzljMGMiLCJ1c2VySWQiOiI0MTIyNDI3MDEifQ==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29E65D4A474943159C0C5367E21CFADC_13</vt:lpwstr>
  </property>
</Properties>
</file>