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D977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figure legends</w:t>
      </w:r>
    </w:p>
    <w:p w14:paraId="337C3D3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2654388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Figure 1. Construction of a carotid atherosclerosis model</w:t>
      </w:r>
    </w:p>
    <w:p w14:paraId="1C82484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Flowchart of Carotid Atherosclerosis Model Construction. B-C, Oil Red O Staining of Carotid Atherosclerosis Model: Gross Staining (B)</w:t>
      </w:r>
      <w:r>
        <w:rPr>
          <w:rFonts w:hint="eastAsia" w:ascii="Times New Roman" w:hAnsi="Times New Roman" w:cs="Times New Roman"/>
          <w:sz w:val="24"/>
          <w:szCs w:val="24"/>
        </w:rPr>
        <w:t xml:space="preserve"> (n = 4 rats per group, S</w:t>
      </w:r>
      <w:r>
        <w:rPr>
          <w:rFonts w:ascii="Times New Roman" w:hAnsi="Times New Roman" w:cs="Times New Roman"/>
          <w:sz w:val="24"/>
          <w:szCs w:val="24"/>
        </w:rPr>
        <w:t>cale bar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hint="eastAsia" w:ascii="Times New Roman" w:hAnsi="Times New Roman" w:cs="Times New Roman"/>
          <w:sz w:val="24"/>
          <w:szCs w:val="24"/>
        </w:rPr>
        <w:t>mm),</w:t>
      </w:r>
      <w:r>
        <w:rPr>
          <w:rFonts w:ascii="Times New Roman" w:hAnsi="Times New Roman" w:cs="Times New Roman"/>
          <w:sz w:val="24"/>
          <w:szCs w:val="24"/>
        </w:rPr>
        <w:t xml:space="preserve"> Section Staining (C)</w:t>
      </w:r>
      <w:r>
        <w:rPr>
          <w:rFonts w:hint="eastAsia" w:ascii="Times New Roman" w:hAnsi="Times New Roman" w:cs="Times New Roman"/>
          <w:sz w:val="24"/>
          <w:szCs w:val="24"/>
        </w:rPr>
        <w:t xml:space="preserve"> (n = 4, S</w:t>
      </w:r>
      <w:r>
        <w:rPr>
          <w:rFonts w:ascii="Times New Roman" w:hAnsi="Times New Roman" w:cs="Times New Roman"/>
          <w:sz w:val="24"/>
          <w:szCs w:val="24"/>
        </w:rPr>
        <w:t>cale bar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50μm</w:t>
      </w:r>
      <w:r>
        <w:rPr>
          <w:rFonts w:hint="eastAsia"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D, Hematoxylin and Eosin (H&amp;E) Staining of Atherosclerotic Lesions</w:t>
      </w:r>
      <w:r>
        <w:rPr>
          <w:rFonts w:hint="eastAsia" w:ascii="Times New Roman" w:hAnsi="Times New Roman" w:cs="Times New Roman"/>
          <w:sz w:val="24"/>
          <w:szCs w:val="24"/>
        </w:rPr>
        <w:t xml:space="preserve"> (n = 4 rats per group)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cale bar: 50μm E, Representative immunofluorescence images showing macrophage infiltration</w:t>
      </w:r>
      <w:r>
        <w:rPr>
          <w:rFonts w:hint="eastAsia" w:ascii="Times New Roman" w:hAnsi="Times New Roman" w:cs="Times New Roman"/>
          <w:sz w:val="24"/>
          <w:szCs w:val="24"/>
        </w:rPr>
        <w:t xml:space="preserve"> (n = 4 rats per group)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cale bar: 50μm</w:t>
      </w:r>
    </w:p>
    <w:p w14:paraId="4544F2B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D4DBD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GO functional enrichment of four smc subclusters</w:t>
      </w:r>
    </w:p>
    <w:p w14:paraId="24BB6EB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illustrates the Gene Ontology (GO) functional enrichment analysis results for four subclusters of SMCs. The analysis covers three main GO categories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Biological Process (A), Cellular Component (B), Molecular Function (C).</w:t>
      </w:r>
    </w:p>
    <w:p w14:paraId="663E927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D83DD8">
      <w:pPr>
        <w:adjustRightInd w:val="0"/>
        <w:snapToGrid w:val="0"/>
        <w:spacing w:line="48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Gene set cell scores for four SMC subpopulation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</w:p>
    <w:p w14:paraId="15098AD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Scoring of Selected Gene Sets Violin plots showing cell scores for contraction-related gene sets across four SMC subpopulations, using the AddModuleScore() function in Seurat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ascii="Times New Roman" w:hAnsi="Times New Roman" w:cs="Times New Roman"/>
          <w:sz w:val="24"/>
          <w:szCs w:val="24"/>
        </w:rPr>
        <w:t>4.0.4).</w:t>
      </w:r>
      <w:r>
        <w:rPr>
          <w:rFonts w:hint="eastAsia" w:ascii="Times New Roman" w:hAnsi="Times New Roman" w:cs="Times New Roman"/>
          <w:sz w:val="24"/>
          <w:szCs w:val="24"/>
        </w:rPr>
        <w:t xml:space="preserve"> B, </w:t>
      </w:r>
      <w:r>
        <w:rPr>
          <w:rFonts w:ascii="Times New Roman" w:hAnsi="Times New Roman" w:cs="Times New Roman"/>
          <w:sz w:val="24"/>
          <w:szCs w:val="24"/>
        </w:rPr>
        <w:t>Violin plots illustrating cell scores for phenotype transition gene sets across the same SMC subpopulations</w:t>
      </w:r>
    </w:p>
    <w:p w14:paraId="52EFA40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541D6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acrophages as the primary source of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EV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1A5D92DF">
      <w:pPr>
        <w:adjustRightInd w:val="0"/>
        <w:snapToGrid w:val="0"/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 xml:space="preserve">Heatmap of concordance analysis between upregulated mRNAs in AS EVs </w:t>
      </w:r>
      <w:r>
        <w:rPr>
          <w:rFonts w:hint="eastAsia"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eastAsia="宋体"/>
          <w:sz w:val="24"/>
        </w:rPr>
        <w:t>compared to control)</w:t>
      </w:r>
      <w:r>
        <w:rPr>
          <w:rFonts w:ascii="Times New Roman" w:hAnsi="Times New Roman" w:cs="Times New Roman"/>
          <w:sz w:val="24"/>
          <w:szCs w:val="24"/>
        </w:rPr>
        <w:t xml:space="preserve"> and highly expressed genes in arterial cell-type-specific clusters.</w:t>
      </w:r>
      <w:r>
        <w:rPr>
          <w:rFonts w:hint="eastAsia" w:ascii="Times New Roman" w:hAnsi="Times New Roman" w:cs="Times New Roman"/>
          <w:sz w:val="24"/>
          <w:szCs w:val="24"/>
        </w:rPr>
        <w:t xml:space="preserve"> B, </w:t>
      </w:r>
      <w:r>
        <w:rPr>
          <w:rFonts w:ascii="Times New Roman" w:hAnsi="Times New Roman" w:cs="Times New Roman"/>
          <w:sz w:val="24"/>
          <w:szCs w:val="24"/>
        </w:rPr>
        <w:t>Heatmap of concordance analysis between differentially expressed mRNAs in AS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EVs (</w:t>
      </w:r>
      <w:r>
        <w:rPr>
          <w:rFonts w:hint="eastAsia" w:ascii="Times New Roman" w:hAnsi="Times New Roman" w:eastAsia="宋体"/>
          <w:sz w:val="24"/>
        </w:rPr>
        <w:t>compared to control</w:t>
      </w:r>
      <w:r>
        <w:rPr>
          <w:rFonts w:ascii="Times New Roman" w:hAnsi="Times New Roman" w:cs="Times New Roman"/>
          <w:sz w:val="24"/>
          <w:szCs w:val="24"/>
        </w:rPr>
        <w:t>) and differentially expressed genes in arterial cell-type-specific clusters.</w:t>
      </w:r>
      <w:r>
        <w:rPr>
          <w:rFonts w:hint="eastAsia" w:ascii="Times New Roman" w:hAnsi="Times New Roman" w:cs="Times New Roman"/>
          <w:sz w:val="24"/>
          <w:szCs w:val="24"/>
        </w:rPr>
        <w:t xml:space="preserve"> C, </w:t>
      </w:r>
      <w:r>
        <w:rPr>
          <w:rFonts w:ascii="Times New Roman" w:hAnsi="Times New Roman" w:cs="Times New Roman"/>
          <w:sz w:val="24"/>
          <w:szCs w:val="24"/>
        </w:rPr>
        <w:t>The expression of F4/80 in Con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EVs and AS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EVs</w:t>
      </w:r>
      <w:r>
        <w:rPr>
          <w:rFonts w:hint="eastAsia" w:ascii="Times New Roman" w:hAnsi="Times New Roman" w:cs="Times New Roman"/>
          <w:sz w:val="24"/>
          <w:szCs w:val="24"/>
        </w:rPr>
        <w:t xml:space="preserve"> (n = 3). </w:t>
      </w:r>
    </w:p>
    <w:p w14:paraId="4C3B96A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2135F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Enrichment analysis of target genes of differentially expressed miRNAs</w:t>
      </w:r>
    </w:p>
    <w:p w14:paraId="42B02EC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KEGG and GO enrichment results of target genes corresponding to upregulated (A, B) and downregulated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(C, D) miRNAs in EVs from </w:t>
      </w:r>
      <w:r>
        <w:rPr>
          <w:rFonts w:hint="eastAsia" w:ascii="Times New Roman" w:hAnsi="Times New Roman" w:cs="Times New Roman"/>
          <w:sz w:val="24"/>
          <w:szCs w:val="24"/>
        </w:rPr>
        <w:t>Con-EVs and AS-EVs (</w:t>
      </w:r>
      <w:r>
        <w:rPr>
          <w:rFonts w:ascii="Times New Roman" w:hAnsi="Times New Roman" w:cs="Times New Roman"/>
          <w:sz w:val="24"/>
          <w:szCs w:val="24"/>
        </w:rPr>
        <w:t xml:space="preserve">These miRNAs were previously validated by </w:t>
      </w:r>
      <w:r>
        <w:rPr>
          <w:rFonts w:hint="eastAsia" w:ascii="Times New Roman" w:hAnsi="Times New Roman" w:cs="Times New Roman"/>
          <w:sz w:val="24"/>
          <w:szCs w:val="24"/>
        </w:rPr>
        <w:t>RT-PCR)</w:t>
      </w:r>
      <w:r>
        <w:rPr>
          <w:rFonts w:ascii="Times New Roman" w:hAnsi="Times New Roman" w:cs="Times New Roman"/>
          <w:sz w:val="24"/>
          <w:szCs w:val="24"/>
        </w:rPr>
        <w:t xml:space="preserve">. Bubble charts showing 30 of the GO terms with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&lt;0.05 and KEGG pathways with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&lt;0.05.</w:t>
      </w:r>
    </w:p>
    <w:p w14:paraId="5117D20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36A4E0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Effects of miR-23a-3p on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VSMCs.</w:t>
      </w:r>
    </w:p>
    <w:p w14:paraId="3B170D11">
      <w:pPr>
        <w:adjustRightInd w:val="0"/>
        <w:snapToGrid w:val="0"/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A, Real-time PCR analysis of miR-23a-3p expression in VSMCs following transfection. Data are represented as mean ± SD. n = 3 per group. </w:t>
      </w:r>
      <w:r>
        <w:rPr>
          <w:rFonts w:ascii="Times New Roman" w:hAnsi="Times New Roman" w:cs="Times New Roman"/>
          <w:sz w:val="24"/>
        </w:rPr>
        <w:t xml:space="preserve">Statistical analysis: </w:t>
      </w:r>
      <w:r>
        <w:rPr>
          <w:rFonts w:ascii="Times New Roman" w:hAnsi="Times New Roman" w:eastAsia="宋体" w:cs="Times New Roman"/>
          <w:sz w:val="24"/>
        </w:rPr>
        <w:t xml:space="preserve">Unpaired t test. </w:t>
      </w:r>
      <w:r>
        <w:rPr>
          <w:rFonts w:ascii="Times New Roman" w:hAnsi="Times New Roman" w:cs="Times New Roman"/>
          <w:sz w:val="24"/>
          <w:szCs w:val="24"/>
        </w:rPr>
        <w:t xml:space="preserve">B-D, The mRNA expression levels of </w:t>
      </w:r>
      <w:r>
        <w:rPr>
          <w:rFonts w:ascii="Times New Roman" w:hAnsi="Times New Roman" w:cs="Times New Roman"/>
          <w:i/>
          <w:iCs/>
          <w:sz w:val="24"/>
          <w:szCs w:val="24"/>
        </w:rPr>
        <w:t>Myh11, α-Sma, and Tagln</w:t>
      </w:r>
      <w:r>
        <w:rPr>
          <w:rFonts w:ascii="Times New Roman" w:hAnsi="Times New Roman" w:cs="Times New Roman"/>
          <w:sz w:val="24"/>
          <w:szCs w:val="24"/>
        </w:rPr>
        <w:t xml:space="preserve"> in VSMCs of different groups were detected by real-time PCR. 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per group. </w:t>
      </w:r>
      <w:r>
        <w:rPr>
          <w:rFonts w:ascii="Times New Roman" w:hAnsi="Times New Roman" w:cs="Times New Roman"/>
          <w:sz w:val="24"/>
        </w:rPr>
        <w:t xml:space="preserve">Statistical analysis: </w:t>
      </w:r>
      <w:r>
        <w:rPr>
          <w:rFonts w:ascii="Times New Roman" w:hAnsi="Times New Roman" w:eastAsia="宋体" w:cs="Times New Roman"/>
          <w:sz w:val="24"/>
        </w:rPr>
        <w:t>Unpaired t test.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The data presented as mean ± SD. *</w:t>
      </w:r>
      <w:r>
        <w:rPr>
          <w:rFonts w:ascii="Times New Roman" w:hAnsi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0.05, **</w:t>
      </w:r>
      <w:r>
        <w:rPr>
          <w:rFonts w:ascii="Times New Roman" w:hAnsi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ascii="Times New Roman" w:hAnsi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0.001</w:t>
      </w:r>
      <w:r>
        <w:rPr>
          <w:rFonts w:ascii="Times New Roman" w:hAnsi="Times New Roman"/>
          <w:sz w:val="24"/>
        </w:rPr>
        <w:t xml:space="preserve">, **** 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 xml:space="preserve"> &lt; 0.0001</w:t>
      </w:r>
      <w:r>
        <w:rPr>
          <w:rFonts w:hint="eastAsia" w:ascii="Times New Roman" w:hAnsi="Times New Roman"/>
          <w:sz w:val="24"/>
        </w:rPr>
        <w:t xml:space="preserve"> vs. NC mimic.</w:t>
      </w:r>
    </w:p>
    <w:p w14:paraId="67C95848"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</w:p>
    <w:p w14:paraId="2113BED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3856A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2658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D99B2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A9B4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11F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E40A5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421E7">
      <w:pPr>
        <w:spacing w:line="360" w:lineRule="auto"/>
        <w:jc w:val="left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1</w:t>
      </w:r>
      <w:r>
        <w:t xml:space="preserve"> </w:t>
      </w:r>
      <w:r>
        <w:drawing>
          <wp:inline distT="0" distB="0" distL="0" distR="0">
            <wp:extent cx="5274310" cy="3775710"/>
            <wp:effectExtent l="0" t="0" r="2540" b="0"/>
            <wp:docPr id="1994660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6031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5815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</w:t>
      </w:r>
    </w:p>
    <w:p w14:paraId="798CE44B">
      <w:pPr>
        <w:widowControl/>
        <w:jc w:val="left"/>
        <w:rPr>
          <w:rFonts w:hint="eastAsia"/>
        </w:rPr>
      </w:pPr>
      <w:r>
        <w:drawing>
          <wp:inline distT="0" distB="0" distL="0" distR="0">
            <wp:extent cx="5274310" cy="2684780"/>
            <wp:effectExtent l="0" t="0" r="2540" b="1270"/>
            <wp:docPr id="1337414639" name="图片 4" descr="电脑萤幕画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14639" name="图片 4" descr="电脑萤幕画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FFD0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000C2C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318BC8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</w:t>
      </w:r>
    </w:p>
    <w:p w14:paraId="09B1546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2270125"/>
            <wp:effectExtent l="0" t="0" r="2540" b="0"/>
            <wp:docPr id="194840495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04951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8D5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843B0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</w:p>
    <w:p w14:paraId="4759DDF0">
      <w:pPr>
        <w:spacing w:line="360" w:lineRule="auto"/>
        <w:jc w:val="left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1135" cy="2243455"/>
            <wp:effectExtent l="0" t="0" r="5715" b="4445"/>
            <wp:docPr id="2" name="图片 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BAB27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4933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</w:t>
      </w:r>
    </w:p>
    <w:p w14:paraId="6B37A5E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5166995"/>
            <wp:effectExtent l="0" t="0" r="2540" b="0"/>
            <wp:docPr id="1936749397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49397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1AB5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083C24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</w:t>
      </w:r>
    </w:p>
    <w:p w14:paraId="39FD2BB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295015"/>
            <wp:effectExtent l="0" t="0" r="2540" b="635"/>
            <wp:docPr id="314872953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72953" name="图片 5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CC"/>
    <w:rsid w:val="0005226C"/>
    <w:rsid w:val="00053280"/>
    <w:rsid w:val="00081BFB"/>
    <w:rsid w:val="00085E42"/>
    <w:rsid w:val="000A08A0"/>
    <w:rsid w:val="000A3D1B"/>
    <w:rsid w:val="000B1ECA"/>
    <w:rsid w:val="000B2504"/>
    <w:rsid w:val="000B2CFA"/>
    <w:rsid w:val="000F145E"/>
    <w:rsid w:val="0012174C"/>
    <w:rsid w:val="001A74AA"/>
    <w:rsid w:val="001D0DDE"/>
    <w:rsid w:val="00205682"/>
    <w:rsid w:val="00212BEE"/>
    <w:rsid w:val="00214A5F"/>
    <w:rsid w:val="00253509"/>
    <w:rsid w:val="002642AE"/>
    <w:rsid w:val="00266BA1"/>
    <w:rsid w:val="00284C40"/>
    <w:rsid w:val="002969EA"/>
    <w:rsid w:val="002C57A2"/>
    <w:rsid w:val="002E3E1E"/>
    <w:rsid w:val="00301D7A"/>
    <w:rsid w:val="00344AB1"/>
    <w:rsid w:val="00386564"/>
    <w:rsid w:val="00395547"/>
    <w:rsid w:val="003F1203"/>
    <w:rsid w:val="003F74E2"/>
    <w:rsid w:val="004455FA"/>
    <w:rsid w:val="00454F83"/>
    <w:rsid w:val="0045606A"/>
    <w:rsid w:val="004A4718"/>
    <w:rsid w:val="004B05F3"/>
    <w:rsid w:val="004B4A8A"/>
    <w:rsid w:val="004E1F65"/>
    <w:rsid w:val="005311AC"/>
    <w:rsid w:val="0055624D"/>
    <w:rsid w:val="00583F61"/>
    <w:rsid w:val="005A489A"/>
    <w:rsid w:val="005C5595"/>
    <w:rsid w:val="005F5EEE"/>
    <w:rsid w:val="006742F3"/>
    <w:rsid w:val="006B793B"/>
    <w:rsid w:val="006C66FC"/>
    <w:rsid w:val="006F60EE"/>
    <w:rsid w:val="007426BF"/>
    <w:rsid w:val="00746CCC"/>
    <w:rsid w:val="00747C1E"/>
    <w:rsid w:val="00755E74"/>
    <w:rsid w:val="007650A3"/>
    <w:rsid w:val="00771EAD"/>
    <w:rsid w:val="007A6A61"/>
    <w:rsid w:val="008119DA"/>
    <w:rsid w:val="008213AE"/>
    <w:rsid w:val="0084720F"/>
    <w:rsid w:val="008E651D"/>
    <w:rsid w:val="008F4614"/>
    <w:rsid w:val="0094689C"/>
    <w:rsid w:val="009518DE"/>
    <w:rsid w:val="00954622"/>
    <w:rsid w:val="00957466"/>
    <w:rsid w:val="009717DC"/>
    <w:rsid w:val="009B744D"/>
    <w:rsid w:val="009E18C0"/>
    <w:rsid w:val="00A017D5"/>
    <w:rsid w:val="00A4367C"/>
    <w:rsid w:val="00A55A06"/>
    <w:rsid w:val="00AB02DB"/>
    <w:rsid w:val="00B10797"/>
    <w:rsid w:val="00B31637"/>
    <w:rsid w:val="00B64E1A"/>
    <w:rsid w:val="00B81CD0"/>
    <w:rsid w:val="00BD7F84"/>
    <w:rsid w:val="00BE1538"/>
    <w:rsid w:val="00BF182A"/>
    <w:rsid w:val="00C02FF5"/>
    <w:rsid w:val="00C27628"/>
    <w:rsid w:val="00C417F1"/>
    <w:rsid w:val="00C43641"/>
    <w:rsid w:val="00C45388"/>
    <w:rsid w:val="00C72473"/>
    <w:rsid w:val="00C876F7"/>
    <w:rsid w:val="00C97DC2"/>
    <w:rsid w:val="00CA05EA"/>
    <w:rsid w:val="00CD22AB"/>
    <w:rsid w:val="00CE198F"/>
    <w:rsid w:val="00CF4D87"/>
    <w:rsid w:val="00D00E83"/>
    <w:rsid w:val="00D0534B"/>
    <w:rsid w:val="00D224F7"/>
    <w:rsid w:val="00D67C21"/>
    <w:rsid w:val="00D71A6B"/>
    <w:rsid w:val="00D72F79"/>
    <w:rsid w:val="00D81D2B"/>
    <w:rsid w:val="00DD6846"/>
    <w:rsid w:val="00DE187E"/>
    <w:rsid w:val="00E07BBD"/>
    <w:rsid w:val="00E12B25"/>
    <w:rsid w:val="00ED088A"/>
    <w:rsid w:val="00ED27D1"/>
    <w:rsid w:val="00ED2A68"/>
    <w:rsid w:val="00EE36B5"/>
    <w:rsid w:val="00EF5A9D"/>
    <w:rsid w:val="00F1563C"/>
    <w:rsid w:val="00F232AC"/>
    <w:rsid w:val="00F26417"/>
    <w:rsid w:val="00F411DC"/>
    <w:rsid w:val="00F915C8"/>
    <w:rsid w:val="00FD0EB5"/>
    <w:rsid w:val="00FE0EA5"/>
    <w:rsid w:val="00FE6711"/>
    <w:rsid w:val="11F93E31"/>
    <w:rsid w:val="2B6E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412</Words>
  <Characters>2290</Characters>
  <Lines>68</Lines>
  <Paragraphs>21</Paragraphs>
  <TotalTime>157</TotalTime>
  <ScaleCrop>false</ScaleCrop>
  <LinksUpToDate>false</LinksUpToDate>
  <CharactersWithSpaces>2683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2025-05-28T15:12:00Z</dcterms:created>
  <dc:creator>jia wang</dc:creator>
  <cp:lastModifiedBy>王佳</cp:lastModifiedBy>
  <dcterms:modified xsi:type="dcterms:W3CDTF">2026-02-26T19:02:48Z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eyJoZGlkIjoiNzQwZGQ4ZTI0OWU1MjRlY2IxYmIyNmEwNDNkYjQwYmEiLCJ1c2VySWQiOiIyNDg1MDQ3MDMifQ==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81BCAFDBA6E64571BE6E754D086FBE44_13</vt:lpwstr>
  </property>
</Properties>
</file>