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D9515">
      <w:pPr>
        <w:jc w:val="left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5273040" cy="1515110"/>
            <wp:effectExtent l="0" t="0" r="0" b="8890"/>
            <wp:docPr id="12" name="图片 1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D087E">
      <w:pPr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Figure S1</w:t>
      </w:r>
      <w:r>
        <w:rPr>
          <w:rFonts w:ascii="Times New Roman" w:hAnsi="Times New Roman" w:cs="Times New Roman"/>
          <w:b/>
          <w:bCs/>
          <w:sz w:val="24"/>
        </w:rPr>
        <w:t>. Validation of the model in the validation cohorts.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A-C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The ROC curves at 1-, 2- and 3-year in the mentioned three cohorts.</w:t>
      </w:r>
    </w:p>
    <w:p w14:paraId="51C750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3066694">
      <w:pPr>
        <w:jc w:val="left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5205730" cy="1783080"/>
            <wp:effectExtent l="0" t="0" r="6350" b="0"/>
            <wp:docPr id="11" name="图片 11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8678C">
      <w:pPr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Figure S</w:t>
      </w:r>
      <w:r>
        <w:rPr>
          <w:rFonts w:ascii="Times New Roman" w:hAnsi="Times New Roman" w:cs="Times New Roman"/>
          <w:b/>
          <w:bCs/>
          <w:sz w:val="24"/>
        </w:rPr>
        <w:t xml:space="preserve">2. Comparison of tumor microenvironment features in high-risk and low-risk groups </w:t>
      </w:r>
      <w:r>
        <w:rPr>
          <w:rFonts w:ascii="Times New Roman" w:hAnsi="Times New Roman" w:eastAsia="宋体" w:cs="Times New Roman"/>
          <w:b/>
          <w:bCs/>
          <w:sz w:val="24"/>
          <w:lang w:bidi="ar"/>
        </w:rPr>
        <w:t>in the Nanjing Medical University Affiliated Cancer Hospital cohort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A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Comparison of the cancer-associated fibroblasts between two subgroups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/>
          <w:bCs/>
          <w:sz w:val="24"/>
        </w:rPr>
        <w:t>B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Comparison of the senescence-associated features between two subgroups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/>
          <w:bCs/>
          <w:sz w:val="24"/>
        </w:rPr>
        <w:t>C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Comparison of the infiltration of macrophages between two subgroups. </w:t>
      </w:r>
    </w:p>
    <w:p w14:paraId="3C254BA8">
      <w:pPr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br w:type="page"/>
      </w:r>
    </w:p>
    <w:p w14:paraId="3DC6CF7F">
      <w:pPr>
        <w:jc w:val="left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2115185" cy="1801495"/>
            <wp:effectExtent l="0" t="0" r="3175" b="12065"/>
            <wp:docPr id="10" name="图片 10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15185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8CB9A">
      <w:pPr>
        <w:jc w:val="lef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The UMAP diagram illustrated the distribution of cells in the tumor samples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A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The UMAP diagram demonstrated the distribution of cells in patients with tLung, tL/B, and mLN</w:t>
      </w:r>
      <w:r>
        <w:rPr>
          <w:rFonts w:ascii="Times New Roman" w:hAnsi="Times New Roman" w:cs="Times New Roman"/>
          <w:b w:val="0"/>
          <w:bCs w:val="0"/>
          <w:sz w:val="24"/>
        </w:rPr>
        <w:t>.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tLung: </w:t>
      </w:r>
      <w:r>
        <w:rPr>
          <w:rFonts w:hint="eastAsia" w:ascii="Times New Roman" w:hAnsi="Times New Roman" w:cs="Times New Roman"/>
          <w:b w:val="0"/>
          <w:bCs w:val="0"/>
          <w:sz w:val="24"/>
        </w:rPr>
        <w:t>early</w:t>
      </w:r>
      <w:r>
        <w:rPr>
          <w:rFonts w:ascii="Times New Roman" w:hAnsi="Times New Roman" w:cs="Times New Roman"/>
          <w:b w:val="0"/>
          <w:bCs w:val="0"/>
          <w:sz w:val="24"/>
        </w:rPr>
        <w:t>-stage lung cancers</w:t>
      </w:r>
      <w:r>
        <w:rPr>
          <w:rFonts w:hint="eastAsia" w:ascii="Times New Roman" w:hAnsi="Times New Roman" w:cs="Times New Roman"/>
          <w:b w:val="0"/>
          <w:bCs w:val="0"/>
          <w:sz w:val="24"/>
        </w:rPr>
        <w:t xml:space="preserve">; tL/B: </w:t>
      </w:r>
      <w:bookmarkStart w:id="0" w:name="OLE_LINK1"/>
      <w:r>
        <w:rPr>
          <w:rFonts w:ascii="Times New Roman" w:hAnsi="Times New Roman" w:cs="Times New Roman"/>
          <w:b w:val="0"/>
          <w:bCs w:val="0"/>
          <w:sz w:val="24"/>
        </w:rPr>
        <w:t>advanced-stage lung cancers</w:t>
      </w:r>
      <w:bookmarkEnd w:id="0"/>
      <w:r>
        <w:rPr>
          <w:rFonts w:ascii="Times New Roman" w:hAnsi="Times New Roman" w:cs="Times New Roman"/>
          <w:b w:val="0"/>
          <w:bCs w:val="0"/>
          <w:sz w:val="24"/>
        </w:rPr>
        <w:t>;</w:t>
      </w:r>
      <w:r>
        <w:rPr>
          <w:rFonts w:hint="eastAsia" w:ascii="Times New Roman" w:hAnsi="Times New Roman" w:cs="Times New Roman"/>
          <w:b w:val="0"/>
          <w:bCs w:val="0"/>
          <w:sz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</w:rPr>
        <w:t>mLN: metastatic lymph nodes.</w:t>
      </w:r>
      <w:r>
        <w:rPr>
          <w:rFonts w:hint="eastAsia" w:ascii="Times New Roman" w:hAnsi="Times New Roman" w:cs="Times New Roman"/>
          <w:b w:val="0"/>
          <w:bCs w:val="0"/>
          <w:sz w:val="24"/>
        </w:rPr>
        <w:t xml:space="preserve"> </w:t>
      </w:r>
    </w:p>
    <w:p w14:paraId="1E23B59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A42A454">
      <w:pPr>
        <w:jc w:val="left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4733925" cy="6151880"/>
            <wp:effectExtent l="0" t="0" r="5715" b="5080"/>
            <wp:docPr id="9" name="图片 9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615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D6F21">
      <w:pPr>
        <w:jc w:val="left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</w:rPr>
        <w:t>The aging characteristics of the E9 subgroup were validated using various gene sets associated with aging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A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-C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The score differences among various subgroups within distinct aging gene sets were illustrated using heatmaps, violin plots, and UMAP. </w:t>
      </w:r>
      <w:r>
        <w:rPr>
          <w:rFonts w:ascii="Times New Roman" w:hAnsi="Times New Roman" w:cs="Times New Roman"/>
          <w:sz w:val="24"/>
        </w:rPr>
        <w:t xml:space="preserve">Statistical significance was assessed using the Wilcoxon test, and p-values are marked with asterisks: </w:t>
      </w:r>
      <w:r>
        <w:rPr>
          <w:rFonts w:hint="eastAsia"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hint="eastAsia" w:ascii="Times New Roman" w:hAnsi="Times New Roman" w:cs="Times New Roman"/>
          <w:sz w:val="24"/>
        </w:rPr>
        <w:t>p &lt; 0.05; **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hint="eastAsia" w:ascii="Times New Roman" w:hAnsi="Times New Roman" w:cs="Times New Roman"/>
          <w:sz w:val="24"/>
        </w:rPr>
        <w:t>p &lt; 0.01; ***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hint="eastAsia" w:ascii="Times New Roman" w:hAnsi="Times New Roman" w:cs="Times New Roman"/>
          <w:sz w:val="24"/>
        </w:rPr>
        <w:t>p &lt; 0.001; ****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hint="eastAsia" w:ascii="Times New Roman" w:hAnsi="Times New Roman" w:cs="Times New Roman"/>
          <w:sz w:val="24"/>
        </w:rPr>
        <w:t>p &lt; 0.0001</w:t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</w:p>
    <w:p w14:paraId="59914160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bookmarkStart w:id="1" w:name="_GoBack"/>
      <w:bookmarkEnd w:id="1"/>
    </w:p>
    <w:p w14:paraId="6A77922F">
      <w:pPr>
        <w:jc w:val="left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4471670" cy="3733800"/>
            <wp:effectExtent l="0" t="0" r="8890" b="0"/>
            <wp:docPr id="8" name="图片 8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7167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547A0">
      <w:pPr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5</w:t>
      </w:r>
      <w:r>
        <w:rPr>
          <w:rFonts w:ascii="Times New Roman" w:hAnsi="Times New Roman" w:cs="Times New Roman"/>
          <w:b/>
          <w:bCs/>
          <w:sz w:val="24"/>
        </w:rPr>
        <w:t>. The expression of marker genes corresponding to epithelial cell subpopulations.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A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The heatmap portrays the relative expression of marker genes within each epithelial cell subpopulation, with the top five marker genes calculated.</w:t>
      </w:r>
    </w:p>
    <w:p w14:paraId="40FD0E1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9E97D8C">
      <w:pPr>
        <w:jc w:val="left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3996055" cy="5340350"/>
            <wp:effectExtent l="0" t="0" r="12065" b="8890"/>
            <wp:docPr id="7" name="图片 7" descr="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 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534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F93FE">
      <w:pPr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6</w:t>
      </w:r>
      <w:r>
        <w:rPr>
          <w:rFonts w:ascii="Times New Roman" w:hAnsi="Times New Roman" w:cs="Times New Roman"/>
          <w:b/>
          <w:bCs/>
          <w:sz w:val="24"/>
        </w:rPr>
        <w:t>. Distribution and progression of cellular states within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subpopulations.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A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Proportions of cellular states within the epithelial cell subpopulation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/>
          <w:bCs/>
          <w:sz w:val="24"/>
        </w:rPr>
        <w:t>B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Top pathways enriched in State1 and State2 cells compared with each other.</w:t>
      </w:r>
    </w:p>
    <w:p w14:paraId="00CD16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D755B04">
      <w:pPr>
        <w:jc w:val="left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5239385" cy="2190750"/>
            <wp:effectExtent l="0" t="0" r="3175" b="3810"/>
            <wp:docPr id="6" name="图片 6" descr="Figure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S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938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57928">
      <w:pPr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7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</w:rPr>
        <w:t>The E9 subpopulation interacts with myeloid cells and fibroblasts within the tumor microenvironment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A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Pathway activity analysis of intercellular communication between the E9 subpopulation, fibroblasts and myeloid cells</w:t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</w:p>
    <w:p w14:paraId="2F3FAC2D">
      <w:pPr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br w:type="page"/>
      </w:r>
    </w:p>
    <w:p w14:paraId="664672F2">
      <w:pPr>
        <w:jc w:val="left"/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  <w:drawing>
          <wp:inline distT="0" distB="0" distL="114300" distR="114300">
            <wp:extent cx="5145405" cy="3386455"/>
            <wp:effectExtent l="0" t="0" r="5715" b="12065"/>
            <wp:docPr id="1" name="图片 1" descr="Figure 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5405" cy="338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C4D16">
      <w:pPr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8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</w:rPr>
        <w:t>The aging degree of cell subpopulations is examined using hUSI and SenCID computational programs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A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The violin plot shows the differences in hUSI scores among different subgroups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/>
          <w:bCs/>
          <w:sz w:val="24"/>
        </w:rPr>
        <w:t>B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,C </w:t>
      </w:r>
      <w:r>
        <w:rPr>
          <w:rFonts w:hint="eastAsia" w:ascii="Times New Roman" w:hAnsi="Times New Roman" w:cs="Times New Roman"/>
          <w:sz w:val="24"/>
        </w:rPr>
        <w:t>The UMAP plot and violin plot illustrate the differences in the SID2 aging status scores among different subgroups.</w:t>
      </w:r>
    </w:p>
    <w:p w14:paraId="01C8E607">
      <w:pPr>
        <w:jc w:val="left"/>
        <w:rPr>
          <w:rFonts w:hint="eastAsia" w:ascii="Times New Roman" w:hAnsi="Times New Roman" w:cs="Times New Roman" w:eastAsiaTheme="minorEastAsia"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140"/>
    <w:rsid w:val="00363BBE"/>
    <w:rsid w:val="00364140"/>
    <w:rsid w:val="00593642"/>
    <w:rsid w:val="00D56938"/>
    <w:rsid w:val="00E452FC"/>
    <w:rsid w:val="010D4E19"/>
    <w:rsid w:val="06BC0C4F"/>
    <w:rsid w:val="0BE06E91"/>
    <w:rsid w:val="0BE30D05"/>
    <w:rsid w:val="1C6D101D"/>
    <w:rsid w:val="235977C5"/>
    <w:rsid w:val="2B795B64"/>
    <w:rsid w:val="35FA6A13"/>
    <w:rsid w:val="3D3532CF"/>
    <w:rsid w:val="42674930"/>
    <w:rsid w:val="49584E1F"/>
    <w:rsid w:val="578749A0"/>
    <w:rsid w:val="5A27080B"/>
    <w:rsid w:val="66FF10FB"/>
    <w:rsid w:val="685D3FEC"/>
    <w:rsid w:val="6D1C1317"/>
    <w:rsid w:val="75637FC1"/>
    <w:rsid w:val="7D1E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324</Words>
  <Characters>1899</Characters>
  <Lines>118</Lines>
  <Paragraphs>4</Paragraphs>
  <TotalTime>0</TotalTime>
  <ScaleCrop>false</ScaleCrop>
  <LinksUpToDate>false</LinksUpToDate>
  <CharactersWithSpaces>2217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2025-04-10T14:38:00Z</dcterms:created>
  <dc:creator>Administrator</dc:creator>
  <cp:lastModifiedBy>佳佳</cp:lastModifiedBy>
  <dcterms:modified xsi:type="dcterms:W3CDTF">2025-12-30T11:20:48Z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eyJoZGlkIjoiYThiMjdmYTA5ZjMzMDQwNTlhMWU3YzIzMGIxZDdhMzgiLCJ1c2VySWQiOiI4NDc2ODU3NDMifQ==</vt:lpwstr>
  </property>
  <property fmtid="{D5CDD505-2E9C-101B-9397-08002B2CF9AE}" pid="4" name="ICV">
    <vt:lpwstr>AA4E46710AE04D9D80616A34C31559CA_12</vt:lpwstr>
  </property>
</Properties>
</file>