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80" w:line="266" w:lineRule="auto"/>
        <w:ind w:right="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Supplemental information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80" w:lineRule="auto"/>
        <w:ind w:left="20" w:firstLine="0"/>
        <w:rPr>
          <w:sz w:val="28"/>
          <w:szCs w:val="28"/>
        </w:rPr>
      </w:pPr>
      <w:bookmarkStart w:colFirst="0" w:colLast="0" w:name="_heading=h.aub3bgmzg25f" w:id="0"/>
      <w:bookmarkEnd w:id="0"/>
      <w:r w:rsidDel="00000000" w:rsidR="00000000" w:rsidRPr="00000000">
        <w:rPr>
          <w:sz w:val="28"/>
          <w:szCs w:val="28"/>
          <w:rtl w:val="0"/>
        </w:rPr>
        <w:t xml:space="preserve">MicroRNA-29 acutely regulates Memory Stability, Expression Synaptic Genes, and DNA Methylation in the Mouse Adult Hippocampus</w:t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spacing w:after="80" w:lineRule="auto"/>
        <w:ind w:left="20" w:firstLine="0"/>
        <w:rPr>
          <w:sz w:val="28"/>
          <w:szCs w:val="28"/>
        </w:rPr>
      </w:pPr>
      <w:bookmarkStart w:colFirst="0" w:colLast="0" w:name="_heading=h.kssswbik2aw0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line="321" w:lineRule="auto"/>
        <w:rPr/>
      </w:pPr>
      <w:r w:rsidDel="00000000" w:rsidR="00000000" w:rsidRPr="00000000">
        <w:rPr>
          <w:rtl w:val="0"/>
        </w:rPr>
        <w:t xml:space="preserve">Aurelia Viglione</w:t>
      </w:r>
      <w:r w:rsidDel="00000000" w:rsidR="00000000" w:rsidRPr="00000000">
        <w:rPr>
          <w:vertAlign w:val="superscript"/>
          <w:rtl w:val="0"/>
        </w:rPr>
        <w:t xml:space="preserve">1,2</w:t>
      </w:r>
      <w:r w:rsidDel="00000000" w:rsidR="00000000" w:rsidRPr="00000000">
        <w:rPr>
          <w:rtl w:val="0"/>
        </w:rPr>
        <w:t xml:space="preserve">, Chiara Giannuzzi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, Elena Putignano</w:t>
      </w:r>
      <w:r w:rsidDel="00000000" w:rsidR="00000000" w:rsidRPr="00000000">
        <w:rPr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, Raffaele Mazziotti</w:t>
      </w:r>
      <w:r w:rsidDel="00000000" w:rsidR="00000000" w:rsidRPr="00000000">
        <w:rPr>
          <w:vertAlign w:val="superscript"/>
          <w:rtl w:val="0"/>
        </w:rPr>
        <w:t xml:space="preserve">3,4,5</w:t>
      </w:r>
      <w:r w:rsidDel="00000000" w:rsidR="00000000" w:rsidRPr="00000000">
        <w:rPr>
          <w:rtl w:val="0"/>
        </w:rPr>
        <w:t xml:space="preserve">, Sara Bagnoli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, Paola Tognini</w:t>
      </w:r>
      <w:r w:rsidDel="00000000" w:rsidR="00000000" w:rsidRPr="00000000">
        <w:rPr>
          <w:i w:val="1"/>
          <w:iCs w:val="1"/>
          <w:vertAlign w:val="superscript"/>
          <w:rtl w:val="0"/>
        </w:rPr>
        <w:t xml:space="preserve">7</w:t>
      </w:r>
      <w:r w:rsidDel="00000000" w:rsidR="00000000" w:rsidRPr="00000000">
        <w:rPr>
          <w:rtl w:val="0"/>
        </w:rPr>
        <w:t xml:space="preserve">, Alessandro Cellerino</w:t>
      </w:r>
      <w:r w:rsidDel="00000000" w:rsidR="00000000" w:rsidRPr="00000000">
        <w:rPr>
          <w:vertAlign w:val="superscript"/>
          <w:rtl w:val="0"/>
        </w:rPr>
        <w:t xml:space="preserve">1,6</w:t>
      </w:r>
      <w:r w:rsidDel="00000000" w:rsidR="00000000" w:rsidRPr="00000000">
        <w:rPr>
          <w:rtl w:val="0"/>
        </w:rPr>
        <w:t xml:space="preserve"> and Tommaso Pizzorusso</w:t>
      </w:r>
      <w:r w:rsidDel="00000000" w:rsidR="00000000" w:rsidRPr="00000000">
        <w:rPr>
          <w:vertAlign w:val="superscript"/>
          <w:rtl w:val="0"/>
        </w:rPr>
        <w:t xml:space="preserve">1,3*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1 BIO@SNS lab, Scuola Normale Superiore, Pisa, Italy;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2 Center for Behavioral Sciences and Mental Health, Istituto Superiore di Sanità, Rome, Italy;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3 Institute of Neuroscience, National Research Council, Pisa, Italy;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4 Department of Developmental Neuroscience, IRCCS Stella Maris Foundation, Pisa, Italy;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5 Department of Neuroscience, Psychology, Pharmacology, and Child Health, University of Florence, Florence, Italy;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6 Leibniz Institute on Aging – Fritz Lipmann Institute (FLI) Jena Germany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7Health Science Interdisciplinary Center, Scuola Superiore Sant'Anna, Pisa, Italy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sz w:val="20"/>
          <w:szCs w:val="20"/>
        </w:rPr>
      </w:pPr>
      <w:r w:rsidDel="00000000" w:rsidR="00000000" w:rsidRPr="00000000">
        <w:rPr/>
        <w:drawing>
          <wp:inline distB="114300" distT="114300" distL="114300" distR="114300">
            <wp:extent cx="3970959" cy="2217037"/>
            <wp:effectExtent b="0" l="0" r="0" t="0"/>
            <wp:docPr id="23210583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0959" cy="22170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66" w:lineRule="auto"/>
        <w:ind w:right="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Supplementary Figure 1. Specificity of anti-miR-29a injection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b w:val="1"/>
          <w:bCs w:val="1"/>
          <w:rtl w:val="0"/>
        </w:rPr>
        <w:t xml:space="preserve">(A)</w:t>
      </w:r>
      <w:r w:rsidDel="00000000" w:rsidR="00000000" w:rsidRPr="00000000">
        <w:rPr>
          <w:rtl w:val="0"/>
        </w:rPr>
        <w:t xml:space="preserve"> Spearman’s correlation between </w:t>
      </w:r>
      <w:r w:rsidDel="00000000" w:rsidR="00000000" w:rsidRPr="00000000">
        <w:rPr>
          <w:i w:val="1"/>
          <w:iCs w:val="1"/>
          <w:rtl w:val="0"/>
        </w:rPr>
        <w:t xml:space="preserve">Dnmt3a </w:t>
      </w:r>
      <w:r w:rsidDel="00000000" w:rsidR="00000000" w:rsidRPr="00000000">
        <w:rPr>
          <w:rtl w:val="0"/>
        </w:rPr>
        <w:t xml:space="preserve">and miR-29a levels after the LNA injection. scr: N = 16, anti-miR29a N = 13.</w:t>
      </w:r>
      <w:r w:rsidDel="00000000" w:rsidR="00000000" w:rsidRPr="00000000">
        <w:rPr>
          <w:b w:val="1"/>
          <w:bCs w:val="1"/>
          <w:rtl w:val="0"/>
        </w:rPr>
        <w:t xml:space="preserve"> (B)</w:t>
      </w:r>
      <w:r w:rsidDel="00000000" w:rsidR="00000000" w:rsidRPr="00000000">
        <w:rPr>
          <w:rtl w:val="0"/>
        </w:rPr>
        <w:t xml:space="preserve"> LNA injection in the dorsal hippocampus did not affect the expression of </w:t>
      </w:r>
      <w:r w:rsidDel="00000000" w:rsidR="00000000" w:rsidRPr="00000000">
        <w:rPr>
          <w:i w:val="1"/>
          <w:iCs w:val="1"/>
          <w:rtl w:val="0"/>
        </w:rPr>
        <w:t xml:space="preserve">Dnmt3a </w:t>
      </w:r>
      <w:r w:rsidDel="00000000" w:rsidR="00000000" w:rsidRPr="00000000">
        <w:rPr>
          <w:rtl w:val="0"/>
        </w:rPr>
        <w:t xml:space="preserve">in the ventral hippocampus confirming the specificity of the injection site within the dorsal hippocampus (Mann-Whitney U test: U = 43, p = 0.4359). scr: N = 10, anti-miR29a N = 11. DH = Dorsal Hippocampus; VH = Ventral Hippocampus.</w:t>
      </w:r>
    </w:p>
    <w:p w:rsidR="00000000" w:rsidDel="00000000" w:rsidP="00000000" w:rsidRDefault="00000000" w:rsidRPr="00000000" w14:paraId="0000001E">
      <w:pPr>
        <w:spacing w:after="440" w:line="264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944650" cy="4223344"/>
            <wp:effectExtent b="0" l="0" r="0" t="0"/>
            <wp:docPr id="23210584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44650" cy="42233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4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Supplementary Figure 2. Effects of miR-29a modulation on MeCP2 and Tet3 expressions in the dorsal hippocampus. (A)</w:t>
      </w:r>
      <w:r w:rsidDel="00000000" w:rsidR="00000000" w:rsidRPr="00000000">
        <w:rPr>
          <w:rtl w:val="0"/>
        </w:rPr>
        <w:t xml:space="preserve"> MeCP2 expression levels following anti-miR-29a LNA injection compared to scr control (Mann–Whitney U test: U = 23, p = 0.9015; scr N = 7, anti-miR-29a N = 7). One sample from the anti-miR-29a group was excluded as a significant outlier.</w:t>
      </w:r>
      <w:r w:rsidDel="00000000" w:rsidR="00000000" w:rsidRPr="00000000">
        <w:rPr>
          <w:b w:val="1"/>
          <w:bCs w:val="1"/>
          <w:rtl w:val="0"/>
        </w:rPr>
        <w:t xml:space="preserve"> (B)</w:t>
      </w:r>
      <w:r w:rsidDel="00000000" w:rsidR="00000000" w:rsidRPr="00000000">
        <w:rPr>
          <w:rtl w:val="0"/>
        </w:rPr>
        <w:t xml:space="preserve"> MeCP2 expression following miR-29a mimic administration compared to scr control (Mann–Whitney U test: U = 11, p = 0.3095; scr n = 6, miR-29a mimic n = 6). </w:t>
      </w:r>
      <w:r w:rsidDel="00000000" w:rsidR="00000000" w:rsidRPr="00000000">
        <w:rPr>
          <w:b w:val="1"/>
          <w:bCs w:val="1"/>
          <w:rtl w:val="0"/>
        </w:rPr>
        <w:t xml:space="preserve">(C)</w:t>
      </w:r>
      <w:r w:rsidDel="00000000" w:rsidR="00000000" w:rsidRPr="00000000">
        <w:rPr>
          <w:rtl w:val="0"/>
        </w:rPr>
        <w:t xml:space="preserve"> Tet3 expression after anti-miR-29a LNA treatment compared to scr control (Mann–Whitney U test: U = 18, p = 0.7308; scr n = 7, anti-miR-29a n = 7). One sample from the anti-miR-29a group was excluded as a significant outlier. </w:t>
      </w:r>
      <w:r w:rsidDel="00000000" w:rsidR="00000000" w:rsidRPr="00000000">
        <w:rPr>
          <w:b w:val="1"/>
          <w:bCs w:val="1"/>
          <w:rtl w:val="0"/>
        </w:rPr>
        <w:t xml:space="preserve">(D) </w:t>
      </w:r>
      <w:r w:rsidDel="00000000" w:rsidR="00000000" w:rsidRPr="00000000">
        <w:rPr>
          <w:rtl w:val="0"/>
        </w:rPr>
        <w:t xml:space="preserve">Tet3 expression following miR-29a mimic administration compared to scr control (Mann–Whitney U test: U = 16, p = 0.8182; scr n = 6, miR-29a mimic n = 6). All analyses were conducted on samples remaining after the primary experimental analyses.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125625" cy="2194207"/>
            <wp:effectExtent b="0" l="0" r="0" t="0"/>
            <wp:docPr id="23210584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5625" cy="21942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Supplementary Figure 3. Effects of anti-miR-29a treatment on miR-29b and miR-29c expression. (A)</w:t>
      </w:r>
      <w:r w:rsidDel="00000000" w:rsidR="00000000" w:rsidRPr="00000000">
        <w:rPr>
          <w:rtl w:val="0"/>
        </w:rPr>
        <w:t xml:space="preserve"> miR-29b expression was not significantly affected by anti-miR-29a treatment (scr: N = 3; anti-miR-29a: N = 3; unpaired t-test: p = 0.321; Mann–Whitney U test: U = 2, p = 0.40). </w:t>
      </w:r>
      <w:r w:rsidDel="00000000" w:rsidR="00000000" w:rsidRPr="00000000">
        <w:rPr>
          <w:b w:val="1"/>
          <w:bCs w:val="1"/>
          <w:rtl w:val="0"/>
        </w:rPr>
        <w:t xml:space="preserve">(B)</w:t>
      </w:r>
      <w:r w:rsidDel="00000000" w:rsidR="00000000" w:rsidRPr="00000000">
        <w:rPr>
          <w:rtl w:val="0"/>
        </w:rPr>
        <w:t xml:space="preserve"> miR-29c expression was significantly reduced following anti-miR-29a treatment (scr: N = 3; anti-miR-29a: N = 3; unpaired t-test: p &lt; 0.01; Mann–Whitney U test: U = 0, p = 0.10).</w:t>
      </w:r>
    </w:p>
    <w:p w:rsidR="00000000" w:rsidDel="00000000" w:rsidP="00000000" w:rsidRDefault="00000000" w:rsidRPr="00000000" w14:paraId="00000049">
      <w:pPr>
        <w:spacing w:after="440" w:line="264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440" w:line="264" w:lineRule="auto"/>
        <w:jc w:val="both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440" w:line="264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440" w:line="264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440" w:line="264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440" w:line="264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440" w:line="264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inline distB="114300" distT="114300" distL="114300" distR="114300">
            <wp:extent cx="5731200" cy="1600200"/>
            <wp:effectExtent b="0" l="0" r="0" t="0"/>
            <wp:docPr id="23210584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0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right="2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Supplementary Figure 4. Learning curves during TFC training.</w:t>
      </w:r>
      <w:r w:rsidDel="00000000" w:rsidR="00000000" w:rsidRPr="00000000">
        <w:rPr>
          <w:rtl w:val="0"/>
        </w:rPr>
        <w:t xml:space="preserve"> Both anti-miR29a and scr treated mice showed the same learning profile during conditioning for the different TCF training phases. </w:t>
      </w:r>
      <w:r w:rsidDel="00000000" w:rsidR="00000000" w:rsidRPr="00000000">
        <w:rPr>
          <w:b w:val="1"/>
          <w:bCs w:val="1"/>
          <w:rtl w:val="0"/>
        </w:rPr>
        <w:t xml:space="preserve">(A)</w:t>
      </w:r>
      <w:r w:rsidDel="00000000" w:rsidR="00000000" w:rsidRPr="00000000">
        <w:rPr>
          <w:rtl w:val="0"/>
        </w:rPr>
        <w:t xml:space="preserve"> Freezing during Tone presentation (Two-way RM ANOVA, main effect of treatment F(1,19) = 8.73x10-4, p = 0.98; main effect of trials F(2.61,49.71) = 23.77, p &lt; 0.0001; trials × treatment interaction F(4,76) = 1.21,p = 0.31). </w:t>
      </w:r>
      <w:r w:rsidDel="00000000" w:rsidR="00000000" w:rsidRPr="00000000">
        <w:rPr>
          <w:b w:val="1"/>
          <w:bCs w:val="1"/>
          <w:rtl w:val="0"/>
        </w:rPr>
        <w:t xml:space="preserve">(B)</w:t>
      </w:r>
      <w:r w:rsidDel="00000000" w:rsidR="00000000" w:rsidRPr="00000000">
        <w:rPr>
          <w:rtl w:val="0"/>
        </w:rPr>
        <w:t xml:space="preserve"> Freezing during Trace period (Two-way RM ANOVA , main effect of treatment F(1,19)=0.22, p = 0.63; main effect of trials F(3.43, 65.28) = 58.40, p &lt; 0.0001; trials × treatment interaction F(4,76) = 0.64,p = 0.63). </w:t>
      </w:r>
      <w:r w:rsidDel="00000000" w:rsidR="00000000" w:rsidRPr="00000000">
        <w:rPr>
          <w:b w:val="1"/>
          <w:bCs w:val="1"/>
          <w:rtl w:val="0"/>
        </w:rPr>
        <w:t xml:space="preserve">(C) </w:t>
      </w:r>
      <w:r w:rsidDel="00000000" w:rsidR="00000000" w:rsidRPr="00000000">
        <w:rPr>
          <w:rtl w:val="0"/>
        </w:rPr>
        <w:t xml:space="preserve">Freezing during intertrial interval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(ITI, Two-way RM ANOVA, main effect of treatment F(1,19) = 0.14, p = 0.70; main effect of trials F(2.36,44.86) = 78.13, p &lt; 0.0001; trials × treatment interaction F(5, 95) = 0.21, p = 0.95). scr: N=10, anti-miR29a N=11; Tukey’s multiple comparison vs trial 1 or baseline, ##P-value &lt; 0.01, ###P-value &lt; 0.001.</w:t>
      </w:r>
    </w:p>
    <w:p w:rsidR="00000000" w:rsidDel="00000000" w:rsidP="00000000" w:rsidRDefault="00000000" w:rsidRPr="00000000" w14:paraId="00000053">
      <w:pPr>
        <w:spacing w:line="266" w:lineRule="auto"/>
        <w:ind w:right="20"/>
        <w:jc w:val="both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66" w:lineRule="auto"/>
        <w:ind w:right="2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1879600"/>
            <wp:effectExtent b="0" l="0" r="0" t="0"/>
            <wp:docPr id="23210584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7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Supplementary Figure 5. DNA methylation changes in the dorsal hippocampus after miR-29a downregulation in a different cohort of mice. (A) </w:t>
      </w:r>
      <w:r w:rsidDel="00000000" w:rsidR="00000000" w:rsidRPr="00000000">
        <w:rPr>
          <w:rtl w:val="0"/>
        </w:rPr>
        <w:t xml:space="preserve">The number of hyper- and hypo- methylated CpGs. We found 2,279 differentially methylated CpGs (DMCs), with a prevalence of hypermethylation over hypomethylation (1,452 CpGs vs 827 CpGs, p &lt; 10-16, Fisher’s exact test) between anti29a and scr hippocampal treated samples. </w:t>
      </w:r>
      <w:r w:rsidDel="00000000" w:rsidR="00000000" w:rsidRPr="00000000">
        <w:rPr>
          <w:b w:val="1"/>
          <w:bCs w:val="1"/>
          <w:rtl w:val="0"/>
        </w:rPr>
        <w:t xml:space="preserve">(B-C)</w:t>
      </w:r>
      <w:r w:rsidDel="00000000" w:rsidR="00000000" w:rsidRPr="00000000">
        <w:rPr>
          <w:rtl w:val="0"/>
        </w:rPr>
        <w:t xml:space="preserve"> DMCs distribution across chromosomes. DMCs exhibited an even distribution across chromosomes and were enriched in CpG island (CpGi).</w:t>
      </w:r>
    </w:p>
    <w:p w:rsidR="00000000" w:rsidDel="00000000" w:rsidP="00000000" w:rsidRDefault="00000000" w:rsidRPr="00000000" w14:paraId="00000063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66" w:lineRule="auto"/>
        <w:ind w:right="20"/>
        <w:jc w:val="both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66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66" w:lineRule="auto"/>
        <w:ind w:right="2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inline distB="114300" distT="114300" distL="114300" distR="114300">
            <wp:extent cx="5272088" cy="7943162"/>
            <wp:effectExtent b="0" l="0" r="0" t="0"/>
            <wp:docPr id="23210584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2088" cy="79431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66" w:lineRule="auto"/>
        <w:ind w:right="2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right="2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Supplementary Figure 6.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Functional enrichment analysis of differentially expressed genes (DEGs). </w:t>
      </w:r>
      <w:r w:rsidDel="00000000" w:rsidR="00000000" w:rsidRPr="00000000">
        <w:rPr>
          <w:rtl w:val="0"/>
        </w:rPr>
        <w:t xml:space="preserve">Over-representation analysis (ORA) was performed on upregulated and downregulated DEGs using non-redundant terms from Gene Ontology Biological Process (GO BP), Gene Ontology Cellular Component (GO CC), KEGG, and Reactome databases. Bar plots show the top enriched categories ranked by enrichment ratio. </w:t>
      </w:r>
      <w:r w:rsidDel="00000000" w:rsidR="00000000" w:rsidRPr="00000000">
        <w:rPr>
          <w:b w:val="1"/>
          <w:bCs w:val="1"/>
          <w:rtl w:val="0"/>
        </w:rPr>
        <w:t xml:space="preserve">(A)</w:t>
      </w:r>
      <w:r w:rsidDel="00000000" w:rsidR="00000000" w:rsidRPr="00000000">
        <w:rPr>
          <w:rtl w:val="0"/>
        </w:rPr>
        <w:t xml:space="preserve"> Enriched pathways among upregulated DEGs, predominantly associated with neuronal and synaptic functions, including chemical synaptic transmission, glutamatergic signaling, synapse organization, and neuronal system processes. </w:t>
      </w:r>
      <w:r w:rsidDel="00000000" w:rsidR="00000000" w:rsidRPr="00000000">
        <w:rPr>
          <w:b w:val="1"/>
          <w:bCs w:val="1"/>
          <w:rtl w:val="0"/>
        </w:rPr>
        <w:t xml:space="preserve">(B) </w:t>
      </w:r>
      <w:r w:rsidDel="00000000" w:rsidR="00000000" w:rsidRPr="00000000">
        <w:rPr>
          <w:rtl w:val="0"/>
        </w:rPr>
        <w:t xml:space="preserve">Enriched pathways among downregulated DEGs, mainly related to immune and inflammatory responses, including response to interferon-β, defense response to virus, antigen processing and presentation, cytokine signaling, and leukocyte-mediated immunity.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66" w:lineRule="auto"/>
        <w:ind w:right="2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0"/>
          <w:szCs w:val="20"/>
        </w:rPr>
        <w:drawing>
          <wp:inline distB="0" distT="0" distL="0" distR="0">
            <wp:extent cx="5735955" cy="7802245"/>
            <wp:effectExtent b="0" l="0" r="0" t="0"/>
            <wp:docPr id="23210584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5955" cy="78022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right="2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80" w:lineRule="auto"/>
        <w:ind w:right="2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Supplementary Figure 7. Functional interaction networks of differentially expressed transcripts and proteins following miR-29 downregulation. (A)</w:t>
      </w:r>
      <w:r w:rsidDel="00000000" w:rsidR="00000000" w:rsidRPr="00000000">
        <w:rPr>
          <w:rtl w:val="0"/>
        </w:rPr>
        <w:t xml:space="preserve"> Networks of significantly upregulated proteins (left) and transcripts (right). </w:t>
      </w:r>
      <w:r w:rsidDel="00000000" w:rsidR="00000000" w:rsidRPr="00000000">
        <w:rPr>
          <w:b w:val="1"/>
          <w:bCs w:val="1"/>
          <w:rtl w:val="0"/>
        </w:rPr>
        <w:t xml:space="preserve">(B)</w:t>
      </w:r>
      <w:r w:rsidDel="00000000" w:rsidR="00000000" w:rsidRPr="00000000">
        <w:rPr>
          <w:rtl w:val="0"/>
        </w:rPr>
        <w:t xml:space="preserve"> Networks of significantly downregulated proteins (left) and transcripts (right). Nodes represent genes or proteins, and edges indicate functional or physical interactions. Colored nodes correspond to genes/proteins annotated in Gene Ontology (GO) or Reactome with the selected terms, codes linking terms to color are indicated in the legends. White nodes represent genes/proteins which are part of the interaction network but are not annotated with any of the highlighted enriched terms.. Network analysis was performed using STRING.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80" w:lineRule="auto"/>
        <w:ind w:right="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66" w:lineRule="auto"/>
        <w:ind w:right="2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66" w:lineRule="auto"/>
        <w:ind w:right="2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inline distB="114300" distT="114300" distL="114300" distR="114300">
            <wp:extent cx="1538383" cy="2487853"/>
            <wp:effectExtent b="0" l="0" r="0" t="0"/>
            <wp:docPr id="232105847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8383" cy="24878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66" w:lineRule="auto"/>
        <w:ind w:right="2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right="2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Supplementary Figure 8.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Quantification of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Dnmt3a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levels in the ventral hippocampus of mim29a and scr treated mice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b w:val="1"/>
          <w:bCs w:val="1"/>
          <w:rtl w:val="0"/>
        </w:rPr>
        <w:t xml:space="preserve">(A)</w:t>
      </w:r>
      <w:r w:rsidDel="00000000" w:rsidR="00000000" w:rsidRPr="00000000">
        <w:rPr>
          <w:rtl w:val="0"/>
        </w:rPr>
        <w:t xml:space="preserve"> mimic 29a injection in the dorsal hippocampus did not affect the expression of </w:t>
      </w:r>
      <w:r w:rsidDel="00000000" w:rsidR="00000000" w:rsidRPr="00000000">
        <w:rPr>
          <w:i w:val="1"/>
          <w:iCs w:val="1"/>
          <w:rtl w:val="0"/>
        </w:rPr>
        <w:t xml:space="preserve">Dnmt3a </w:t>
      </w:r>
      <w:r w:rsidDel="00000000" w:rsidR="00000000" w:rsidRPr="00000000">
        <w:rPr>
          <w:rtl w:val="0"/>
        </w:rPr>
        <w:t xml:space="preserve">in the ventral hippocampus confirming the specificity of the injection site within the dorsal hippocampus (Mann-Whitney U test: U =,14 p = 0.37). scr: N = 7, mim29a N = 6. DH = Dorsal Hippocampus; VH = Ventral Hippocampus.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731200" cy="1549400"/>
            <wp:effectExtent b="0" l="0" r="0" t="0"/>
            <wp:docPr id="232105846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4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right="2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Supplementary Figure 9. Learning curves during TFC training</w:t>
      </w:r>
      <w:r w:rsidDel="00000000" w:rsidR="00000000" w:rsidRPr="00000000">
        <w:rPr>
          <w:rtl w:val="0"/>
        </w:rPr>
        <w:t xml:space="preserve">. Both mim29a and scr treated mice showed the same learning profile during conditioning for all the different TCF training intervals. </w:t>
      </w:r>
      <w:r w:rsidDel="00000000" w:rsidR="00000000" w:rsidRPr="00000000">
        <w:rPr>
          <w:b w:val="1"/>
          <w:bCs w:val="1"/>
          <w:rtl w:val="0"/>
        </w:rPr>
        <w:t xml:space="preserve">(A)</w:t>
      </w:r>
      <w:r w:rsidDel="00000000" w:rsidR="00000000" w:rsidRPr="00000000">
        <w:rPr>
          <w:rtl w:val="0"/>
        </w:rPr>
        <w:t xml:space="preserve"> Freezing during Tone presentation (Two-way RM ANOVA, main effect of treatment F(1,14) = 0.11, p = 0.75; main effect of trials F(2.52,35.24) = 21.48, p &lt; 0.0001; trials × treatment interaction F(4,56) = 1.53, p = 0.20). </w:t>
      </w:r>
      <w:r w:rsidDel="00000000" w:rsidR="00000000" w:rsidRPr="00000000">
        <w:rPr>
          <w:b w:val="1"/>
          <w:bCs w:val="1"/>
          <w:rtl w:val="0"/>
        </w:rPr>
        <w:t xml:space="preserve">(B) </w:t>
      </w:r>
      <w:r w:rsidDel="00000000" w:rsidR="00000000" w:rsidRPr="00000000">
        <w:rPr>
          <w:rtl w:val="0"/>
        </w:rPr>
        <w:t xml:space="preserve">Freezing during Trace period (Two-way RM ANOVA, main effect of treatment F(1,14) = 4.18, p = 0.06; main effect of trials F(3.79,39.14) = 64.76, p &lt; 0.0001; trials × treatment interaction F(4,56) = 2.5, p = 0.053). </w:t>
      </w:r>
      <w:r w:rsidDel="00000000" w:rsidR="00000000" w:rsidRPr="00000000">
        <w:rPr>
          <w:b w:val="1"/>
          <w:bCs w:val="1"/>
          <w:rtl w:val="0"/>
        </w:rPr>
        <w:t xml:space="preserve">(C)</w:t>
      </w:r>
      <w:r w:rsidDel="00000000" w:rsidR="00000000" w:rsidRPr="00000000">
        <w:rPr>
          <w:rtl w:val="0"/>
        </w:rPr>
        <w:t xml:space="preserve"> Freezing during intertrial interval (ITI, Two-way RM ANOVA, main effect of treatment F(1,14) = 0.58, p = 0.23; main effect of trials F(2.64,36.99) = 66.44, p &lt; 0.0001; trials × treatment interaction F(5,70) = 0.83, p = 0.53). scr: N = 10, anti-miR29a N = 11; Tukey’s multiple comparison vs. trial 1 or baseline, # P-value &lt; 0.05, ## P-value &lt; 0.01, ### P-value &lt; 0.001.</w:t>
      </w:r>
    </w:p>
    <w:p w:rsidR="00000000" w:rsidDel="00000000" w:rsidP="00000000" w:rsidRDefault="00000000" w:rsidRPr="00000000" w14:paraId="0000008C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66" w:lineRule="auto"/>
        <w:ind w:right="2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Supplementary Table 1:  Statistical analysis of sex differences across behavioral and molecular outcomes in anti-miR29a and miR29a mimic experiments.</w:t>
      </w:r>
    </w:p>
    <w:p w:rsidR="00000000" w:rsidDel="00000000" w:rsidP="00000000" w:rsidRDefault="00000000" w:rsidRPr="00000000" w14:paraId="0000008F">
      <w:pPr>
        <w:spacing w:line="266" w:lineRule="auto"/>
        <w:ind w:right="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66" w:lineRule="auto"/>
        <w:ind w:right="20"/>
        <w:rPr/>
      </w:pPr>
      <w:r w:rsidDel="00000000" w:rsidR="00000000" w:rsidRPr="00000000">
        <w:rPr>
          <w:b w:val="1"/>
          <w:bCs w:val="1"/>
          <w:rtl w:val="0"/>
        </w:rPr>
        <w:t xml:space="preserve">                     </w:t>
      </w:r>
      <w:r w:rsidDel="00000000" w:rsidR="00000000" w:rsidRPr="00000000">
        <w:rPr>
          <w:rtl w:val="0"/>
        </w:rPr>
        <w:t xml:space="preserve">    LNA-anti-miR29a</w:t>
      </w: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</w:t>
      </w:r>
      <w:r w:rsidDel="00000000" w:rsidR="00000000" w:rsidRPr="00000000">
        <w:rPr>
          <w:rtl w:val="0"/>
        </w:rPr>
        <w:t xml:space="preserve"> miR29a mimic</w:t>
      </w:r>
    </w:p>
    <w:p w:rsidR="00000000" w:rsidDel="00000000" w:rsidP="00000000" w:rsidRDefault="00000000" w:rsidRPr="00000000" w14:paraId="00000091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986159" cy="3858189"/>
            <wp:effectExtent b="0" l="0" r="0" t="0"/>
            <wp:docPr id="23210585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86159" cy="38581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948363" cy="3823947"/>
            <wp:effectExtent b="0" l="0" r="0" t="0"/>
            <wp:docPr id="232105848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8363" cy="38239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843588" cy="3805127"/>
            <wp:effectExtent b="0" l="0" r="0" t="0"/>
            <wp:docPr id="232105849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43588" cy="38051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66" w:lineRule="auto"/>
        <w:ind w:right="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854772" cy="866660"/>
            <wp:effectExtent b="0" l="0" r="0" t="0"/>
            <wp:docPr id="232105851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54772" cy="8666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20" w:type="default"/>
      <w:footerReference r:id="rId21" w:type="first"/>
      <w:pgSz w:h="16834" w:w="11909" w:orient="portrait"/>
      <w:pgMar w:bottom="1440" w:top="1440" w:left="1440" w:right="1440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image" Target="media/image4.png"/><Relationship Id="rId10" Type="http://schemas.openxmlformats.org/officeDocument/2006/relationships/image" Target="media/image5.jpg"/><Relationship Id="rId21" Type="http://schemas.openxmlformats.org/officeDocument/2006/relationships/footer" Target="footer2.xml"/><Relationship Id="rId13" Type="http://schemas.openxmlformats.org/officeDocument/2006/relationships/image" Target="media/image6.png"/><Relationship Id="rId12" Type="http://schemas.openxmlformats.org/officeDocument/2006/relationships/image" Target="media/image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image" Target="media/image7.jpg"/><Relationship Id="rId14" Type="http://schemas.openxmlformats.org/officeDocument/2006/relationships/image" Target="media/image8.jp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5" Type="http://schemas.openxmlformats.org/officeDocument/2006/relationships/styles" Target="styles.xml"/><Relationship Id="rId19" Type="http://schemas.openxmlformats.org/officeDocument/2006/relationships/image" Target="media/image12.png"/><Relationship Id="rId6" Type="http://schemas.openxmlformats.org/officeDocument/2006/relationships/customXml" Target="../customXML/item1.xml"/><Relationship Id="rId18" Type="http://schemas.openxmlformats.org/officeDocument/2006/relationships/image" Target="media/image13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JOQrveREhOLAwOZ6twQz9+Fe/g==">CgMxLjAyDmguYXViM2JnbXpnMjVmMg5oLmtzc3N3YmlrMmF3MDgAciExUlNDOTRFeDRxc3d4MUZha0QtQzRDSFdiRkVhcXBleFE=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2026-03-05T15:55:00Z</dcterms:created>
</cp:coreProperties>
</file>