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  <w:bookmarkStart w:id="0" w:name="_GoBack"/>
      <w:bookmarkEnd w:id="0"/>
      <w:r>
        <w:rPr>
          <w:rFonts w:ascii="Arial" w:eastAsia="AdvOT46dcae81" w:hAnsi="Arial" w:cs="Arial"/>
          <w:color w:val="000000"/>
          <w:sz w:val="22"/>
          <w:szCs w:val="22"/>
        </w:rPr>
        <w:t>Supplementary Materials</w:t>
      </w: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before="120" w:after="120" w:line="480" w:lineRule="auto"/>
        <w:ind w:right="-284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 w:hint="eastAsia"/>
          <w:b/>
          <w:bCs/>
          <w:sz w:val="22"/>
          <w:szCs w:val="22"/>
        </w:rPr>
        <w:t>Sirt5 preserves mitochondrial homeostasis to improve cardiac function in ischemia-reperfusion injury by inhibiting ANT2 lysine lactylation modification</w:t>
      </w:r>
    </w:p>
    <w:p w:rsidR="00A87917" w:rsidRDefault="00A87917" w:rsidP="00A87917">
      <w:pPr>
        <w:spacing w:before="120" w:after="120" w:line="480" w:lineRule="auto"/>
        <w:ind w:right="-284"/>
        <w:rPr>
          <w:rFonts w:ascii="Arial" w:eastAsia="SimSun" w:hAnsi="Arial" w:cs="Arial"/>
          <w:color w:val="000000"/>
          <w:sz w:val="22"/>
          <w:szCs w:val="22"/>
          <w:vertAlign w:val="subscript"/>
        </w:rPr>
      </w:pPr>
      <w:r>
        <w:rPr>
          <w:rFonts w:ascii="Arial" w:eastAsia="SimSun" w:hAnsi="Arial" w:cs="Arial"/>
          <w:color w:val="000000"/>
          <w:sz w:val="22"/>
          <w:szCs w:val="22"/>
        </w:rPr>
        <w:t>Simeng Li</w:t>
      </w:r>
      <w:r>
        <w:rPr>
          <w:rFonts w:ascii="Arial" w:eastAsia="SimSun" w:hAnsi="Arial" w:cs="Arial"/>
          <w:color w:val="000000"/>
          <w:sz w:val="22"/>
          <w:szCs w:val="22"/>
          <w:vertAlign w:val="superscript"/>
        </w:rPr>
        <w:t>1,2,</w:t>
      </w:r>
      <w:r>
        <w:rPr>
          <w:rFonts w:ascii="Arial" w:hAnsi="Arial" w:cs="Arial"/>
          <w:sz w:val="22"/>
          <w:szCs w:val="22"/>
          <w:vertAlign w:val="superscript"/>
        </w:rPr>
        <w:t>†</w:t>
      </w:r>
      <w:r>
        <w:rPr>
          <w:rFonts w:ascii="Arial" w:eastAsia="SimSun" w:hAnsi="Arial" w:cs="Arial"/>
          <w:color w:val="000000"/>
          <w:sz w:val="22"/>
          <w:szCs w:val="22"/>
        </w:rPr>
        <w:t>, Siman Shen</w:t>
      </w:r>
      <w:r>
        <w:rPr>
          <w:rFonts w:ascii="Arial" w:eastAsia="SimSun" w:hAnsi="Arial" w:cs="Arial"/>
          <w:color w:val="000000"/>
          <w:sz w:val="22"/>
          <w:szCs w:val="22"/>
          <w:vertAlign w:val="superscript"/>
        </w:rPr>
        <w:t>1,</w:t>
      </w:r>
      <w:r>
        <w:rPr>
          <w:rFonts w:ascii="Arial" w:hAnsi="Arial" w:cs="Arial"/>
          <w:sz w:val="22"/>
          <w:szCs w:val="22"/>
          <w:vertAlign w:val="superscript"/>
        </w:rPr>
        <w:t>†</w:t>
      </w:r>
      <w:r>
        <w:rPr>
          <w:rFonts w:ascii="Arial" w:eastAsia="SimSun" w:hAnsi="Arial" w:cs="Arial"/>
          <w:color w:val="000000"/>
          <w:sz w:val="22"/>
          <w:szCs w:val="22"/>
        </w:rPr>
        <w:t>, Yongfang Hong</w:t>
      </w:r>
      <w:r>
        <w:rPr>
          <w:rFonts w:ascii="Arial" w:eastAsia="SimSun" w:hAnsi="Arial" w:cs="Arial"/>
          <w:color w:val="000000"/>
          <w:sz w:val="22"/>
          <w:szCs w:val="22"/>
          <w:vertAlign w:val="superscript"/>
        </w:rPr>
        <w:t>3,</w:t>
      </w:r>
      <w:r>
        <w:rPr>
          <w:rFonts w:ascii="Arial" w:hAnsi="Arial" w:cs="Arial"/>
          <w:sz w:val="22"/>
          <w:szCs w:val="22"/>
          <w:vertAlign w:val="superscript"/>
        </w:rPr>
        <w:t>†</w:t>
      </w:r>
      <w:r>
        <w:rPr>
          <w:rFonts w:ascii="Arial" w:eastAsia="SimSun" w:hAnsi="Arial" w:cs="Arial"/>
          <w:color w:val="000000"/>
          <w:sz w:val="22"/>
          <w:szCs w:val="22"/>
        </w:rPr>
        <w:t>, Kun Ding</w:t>
      </w:r>
      <w:r>
        <w:rPr>
          <w:rFonts w:ascii="Arial" w:eastAsia="SimSun" w:hAnsi="Arial" w:cs="Arial"/>
          <w:color w:val="000000"/>
          <w:sz w:val="22"/>
          <w:szCs w:val="22"/>
          <w:vertAlign w:val="superscript"/>
        </w:rPr>
        <w:t>1</w:t>
      </w:r>
      <w:r>
        <w:rPr>
          <w:rFonts w:ascii="Arial" w:eastAsia="SimSun" w:hAnsi="Arial" w:cs="Arial"/>
          <w:color w:val="000000"/>
          <w:sz w:val="22"/>
          <w:szCs w:val="22"/>
        </w:rPr>
        <w:t>, Suyun Chen</w:t>
      </w:r>
      <w:r>
        <w:rPr>
          <w:rFonts w:ascii="Arial" w:eastAsia="SimSun" w:hAnsi="Arial" w:cs="Arial"/>
          <w:color w:val="000000"/>
          <w:sz w:val="22"/>
          <w:szCs w:val="22"/>
          <w:vertAlign w:val="superscript"/>
        </w:rPr>
        <w:t>1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eastAsia="SimSun" w:hAnsi="Arial" w:cs="Arial"/>
          <w:color w:val="000000"/>
          <w:sz w:val="22"/>
          <w:szCs w:val="22"/>
        </w:rPr>
        <w:t>Jianning Chen</w:t>
      </w:r>
      <w:r>
        <w:rPr>
          <w:rFonts w:ascii="Arial" w:eastAsia="SimSun" w:hAnsi="Arial" w:cs="Arial"/>
          <w:color w:val="000000"/>
          <w:sz w:val="22"/>
          <w:szCs w:val="22"/>
          <w:vertAlign w:val="superscript"/>
        </w:rPr>
        <w:t>1</w:t>
      </w:r>
      <w:r>
        <w:rPr>
          <w:rFonts w:ascii="Arial" w:eastAsia="SimSun" w:hAnsi="Arial" w:cs="Arial"/>
          <w:color w:val="000000"/>
          <w:sz w:val="22"/>
          <w:szCs w:val="22"/>
        </w:rPr>
        <w:t>, Changsen Wang</w:t>
      </w:r>
      <w:r>
        <w:rPr>
          <w:rFonts w:ascii="Arial" w:eastAsia="SimSun" w:hAnsi="Arial" w:cs="Arial"/>
          <w:color w:val="000000"/>
          <w:sz w:val="22"/>
          <w:szCs w:val="22"/>
          <w:vertAlign w:val="superscript"/>
        </w:rPr>
        <w:t>4</w:t>
      </w:r>
      <w:r>
        <w:rPr>
          <w:rFonts w:ascii="Arial" w:eastAsia="SimSun" w:hAnsi="Arial" w:cs="Arial"/>
          <w:color w:val="000000"/>
          <w:sz w:val="22"/>
          <w:szCs w:val="22"/>
        </w:rPr>
        <w:t>, Yaofeng Wen</w:t>
      </w:r>
      <w:r>
        <w:rPr>
          <w:rFonts w:ascii="Arial" w:eastAsia="SimSun" w:hAnsi="Arial" w:cs="Arial"/>
          <w:color w:val="000000"/>
          <w:sz w:val="22"/>
          <w:szCs w:val="22"/>
          <w:vertAlign w:val="superscript"/>
        </w:rPr>
        <w:t>1</w:t>
      </w:r>
      <w:r>
        <w:rPr>
          <w:rFonts w:ascii="Arial" w:eastAsia="SimSun" w:hAnsi="Arial" w:cs="Arial"/>
          <w:color w:val="000000"/>
          <w:sz w:val="22"/>
          <w:szCs w:val="22"/>
        </w:rPr>
        <w:t>, Guixi Mo</w:t>
      </w:r>
      <w:r>
        <w:rPr>
          <w:rFonts w:ascii="Arial" w:eastAsia="SimSun" w:hAnsi="Arial" w:cs="Arial"/>
          <w:color w:val="000000"/>
          <w:sz w:val="22"/>
          <w:szCs w:val="22"/>
          <w:vertAlign w:val="superscript"/>
        </w:rPr>
        <w:t>4</w:t>
      </w:r>
      <w:r>
        <w:rPr>
          <w:rFonts w:ascii="Arial" w:eastAsia="SimSun" w:hAnsi="Arial" w:cs="Arial"/>
          <w:color w:val="000000"/>
          <w:sz w:val="22"/>
          <w:szCs w:val="22"/>
        </w:rPr>
        <w:t>, Lili Yu</w:t>
      </w:r>
      <w:r>
        <w:rPr>
          <w:rFonts w:ascii="Arial" w:eastAsia="SimSun" w:hAnsi="Arial" w:cs="Arial"/>
          <w:color w:val="000000"/>
          <w:sz w:val="22"/>
          <w:szCs w:val="22"/>
          <w:vertAlign w:val="superscript"/>
        </w:rPr>
        <w:t>2,5,</w:t>
      </w:r>
      <w:r>
        <w:rPr>
          <w:rFonts w:ascii="Arial" w:eastAsia="AdvOT46dcae81" w:hAnsi="Arial" w:cs="Arial"/>
          <w:color w:val="000000"/>
          <w:sz w:val="22"/>
          <w:szCs w:val="22"/>
          <w:vertAlign w:val="superscript"/>
        </w:rPr>
        <w:t>‡</w:t>
      </w:r>
      <w:r>
        <w:rPr>
          <w:rFonts w:ascii="Arial" w:eastAsia="SimSun" w:hAnsi="Arial" w:cs="Arial"/>
          <w:color w:val="000000"/>
          <w:sz w:val="22"/>
          <w:szCs w:val="22"/>
        </w:rPr>
        <w:t>, De-Li Shi</w:t>
      </w:r>
      <w:r>
        <w:rPr>
          <w:rFonts w:ascii="Arial" w:eastAsia="SimSun" w:hAnsi="Arial" w:cs="Arial"/>
          <w:color w:val="000000"/>
          <w:sz w:val="22"/>
          <w:szCs w:val="22"/>
          <w:vertAlign w:val="superscript"/>
        </w:rPr>
        <w:t>6,</w:t>
      </w:r>
      <w:r>
        <w:rPr>
          <w:rFonts w:ascii="Arial" w:eastAsia="AdvOT46dcae81" w:hAnsi="Arial" w:cs="Arial"/>
          <w:color w:val="000000"/>
          <w:sz w:val="22"/>
          <w:szCs w:val="22"/>
          <w:vertAlign w:val="superscript"/>
        </w:rPr>
        <w:t>‡</w:t>
      </w:r>
      <w:r>
        <w:rPr>
          <w:rFonts w:ascii="Arial" w:eastAsia="SimSun" w:hAnsi="Arial" w:cs="Arial"/>
          <w:color w:val="000000"/>
          <w:sz w:val="22"/>
          <w:szCs w:val="22"/>
        </w:rPr>
        <w:t>, Liangqing Zhang</w:t>
      </w:r>
      <w:r>
        <w:rPr>
          <w:rFonts w:ascii="Arial" w:eastAsia="SimSun" w:hAnsi="Arial" w:cs="Arial"/>
          <w:color w:val="000000"/>
          <w:sz w:val="22"/>
          <w:szCs w:val="22"/>
          <w:vertAlign w:val="superscript"/>
        </w:rPr>
        <w:t>1,2,</w:t>
      </w:r>
      <w:r>
        <w:rPr>
          <w:rFonts w:ascii="Arial" w:eastAsia="AdvOT46dcae81" w:hAnsi="Arial" w:cs="Arial"/>
          <w:color w:val="000000"/>
          <w:sz w:val="22"/>
          <w:szCs w:val="22"/>
          <w:vertAlign w:val="superscript"/>
        </w:rPr>
        <w:t>‡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</w:t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  <w:r>
        <w:rPr>
          <w:rFonts w:ascii="Arial" w:eastAsia="AdvOT46dcae81" w:hAnsi="Arial" w:cs="Arial"/>
          <w:color w:val="000000"/>
          <w:sz w:val="22"/>
          <w:szCs w:val="22"/>
        </w:rPr>
        <w:t>This includes:</w:t>
      </w: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  <w:r>
        <w:rPr>
          <w:rFonts w:ascii="Arial" w:eastAsia="SimSun" w:hAnsi="Arial" w:cs="Arial"/>
          <w:color w:val="000000"/>
          <w:sz w:val="22"/>
          <w:szCs w:val="22"/>
        </w:rPr>
        <w:t>Fig. S1 to S1</w:t>
      </w:r>
      <w:r>
        <w:rPr>
          <w:rFonts w:ascii="Arial" w:eastAsia="SimSun" w:hAnsi="Arial" w:cs="Arial" w:hint="eastAsia"/>
          <w:color w:val="000000"/>
          <w:sz w:val="22"/>
          <w:szCs w:val="22"/>
        </w:rPr>
        <w:t>3</w:t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  <w:r>
        <w:rPr>
          <w:rFonts w:ascii="Arial" w:eastAsia="SimSun" w:hAnsi="Arial" w:cs="Arial"/>
          <w:color w:val="000000"/>
          <w:sz w:val="22"/>
          <w:szCs w:val="22"/>
        </w:rPr>
        <w:t>Table S1</w:t>
      </w: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eastAsia="AdvOT46dcae81" w:hAnsi="Arial" w:cs="Arial"/>
          <w:color w:val="000000"/>
          <w:sz w:val="22"/>
          <w:szCs w:val="22"/>
        </w:rPr>
      </w:pPr>
      <w:r>
        <w:rPr>
          <w:rFonts w:ascii="Arial" w:eastAsia="AdvOT46dcae81" w:hAnsi="Arial" w:cs="Arial"/>
          <w:color w:val="000000"/>
          <w:sz w:val="22"/>
          <w:szCs w:val="22"/>
        </w:rPr>
        <w:br w:type="page"/>
      </w:r>
    </w:p>
    <w:p w:rsidR="00A87917" w:rsidRDefault="00A87917" w:rsidP="00A87917">
      <w:pPr>
        <w:spacing w:line="480" w:lineRule="auto"/>
        <w:ind w:right="-286"/>
        <w:jc w:val="center"/>
        <w:rPr>
          <w:rFonts w:ascii="Arial" w:eastAsia="SimSun" w:hAnsi="Arial" w:cs="Arial"/>
          <w:color w:val="000000"/>
          <w:sz w:val="22"/>
          <w:szCs w:val="22"/>
        </w:rPr>
      </w:pPr>
      <w:r>
        <w:rPr>
          <w:rFonts w:ascii="Arial" w:eastAsia="SimSun" w:hAnsi="Arial" w:cs="Arial"/>
          <w:noProof/>
          <w:color w:val="000000"/>
          <w:sz w:val="22"/>
          <w:szCs w:val="22"/>
          <w:lang w:eastAsia="en-US"/>
        </w:rPr>
        <w:lastRenderedPageBreak/>
        <w:drawing>
          <wp:inline distT="0" distB="0" distL="0" distR="0" wp14:anchorId="3238E988" wp14:editId="4C63DFCC">
            <wp:extent cx="4803775" cy="5771515"/>
            <wp:effectExtent l="0" t="0" r="6350" b="635"/>
            <wp:docPr id="1502846307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846307" name="Image 9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118" cy="5814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Cs/>
          <w:color w:val="231F20"/>
          <w:sz w:val="22"/>
          <w:szCs w:val="22"/>
        </w:rPr>
      </w:pP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Fig. S1. Validation of </w:t>
      </w:r>
      <w:r>
        <w:rPr>
          <w:rFonts w:ascii="Arial" w:eastAsia="SimSun" w:hAnsi="Arial" w:cs="Arial"/>
          <w:b/>
          <w:i/>
          <w:iCs/>
          <w:color w:val="231F20"/>
          <w:sz w:val="22"/>
          <w:szCs w:val="22"/>
        </w:rPr>
        <w:t xml:space="preserve">Sirt5 </w:t>
      </w: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overexpression and knockdown or knockout. 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(</w:t>
      </w:r>
      <w:r>
        <w:rPr>
          <w:rFonts w:ascii="Arial" w:eastAsia="SimSun" w:hAnsi="Arial" w:cs="Arial"/>
          <w:b/>
          <w:color w:val="231F20"/>
          <w:sz w:val="22"/>
          <w:szCs w:val="22"/>
        </w:rPr>
        <w:t>A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) Western blot analysis and quantification shows the efficiency of three shRNAs targeting </w:t>
      </w:r>
      <w:r>
        <w:rPr>
          <w:rFonts w:ascii="Arial" w:eastAsia="SimSun" w:hAnsi="Arial" w:cs="Arial"/>
          <w:bCs/>
          <w:i/>
          <w:iCs/>
          <w:color w:val="231F20"/>
          <w:sz w:val="22"/>
          <w:szCs w:val="22"/>
        </w:rPr>
        <w:t>Sirt5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 in HL-1 cells </w:t>
      </w:r>
      <w:r>
        <w:rPr>
          <w:rFonts w:ascii="Arial" w:eastAsia="SimSun" w:hAnsi="Arial" w:cs="Arial" w:hint="eastAsia"/>
          <w:bCs/>
          <w:color w:val="231F20"/>
          <w:sz w:val="22"/>
          <w:szCs w:val="22"/>
        </w:rPr>
        <w:t>48 hours after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 transfection.</w:t>
      </w: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 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The sh-Sirt5-3 was used throughout the study.</w:t>
      </w: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One-way ANOVA (*,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 &lt; 0.05; 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 &lt; 0.01; ***,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> &lt; 0.001).</w:t>
      </w:r>
      <w:r>
        <w:rPr>
          <w:rFonts w:ascii="Arial" w:eastAsia="AdvOT46dcae81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(</w:t>
      </w:r>
      <w:r>
        <w:rPr>
          <w:rFonts w:ascii="Arial" w:eastAsia="SimSun" w:hAnsi="Arial" w:cs="Arial"/>
          <w:b/>
          <w:color w:val="231F20"/>
          <w:sz w:val="22"/>
          <w:szCs w:val="22"/>
        </w:rPr>
        <w:t>B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) Western blot analysis and quantification shows increased Sirt5 protein levels after plasmid transfection in HL-1 cells.</w:t>
      </w: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Two-tailed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t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-test (****,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> &lt; 0.0001).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 (</w:t>
      </w:r>
      <w:r>
        <w:rPr>
          <w:rFonts w:ascii="Arial" w:eastAsia="SimSun" w:hAnsi="Arial" w:cs="Arial"/>
          <w:b/>
          <w:color w:val="231F20"/>
          <w:sz w:val="22"/>
          <w:szCs w:val="22"/>
        </w:rPr>
        <w:t>C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) AAV9-mediated overexpression of Sirt5 in the mouse myocardium 14 days after injection of the viruses into the tail vein.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Two-tailed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t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-test (****,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> &lt; 0.0001).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 (</w:t>
      </w:r>
      <w:r>
        <w:rPr>
          <w:rFonts w:ascii="Arial" w:eastAsia="SimSun" w:hAnsi="Arial" w:cs="Arial"/>
          <w:b/>
          <w:color w:val="231F20"/>
          <w:sz w:val="22"/>
          <w:szCs w:val="22"/>
        </w:rPr>
        <w:t>D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) Procedure for the generation of cardiac-specific </w:t>
      </w:r>
      <w:r>
        <w:rPr>
          <w:rFonts w:ascii="Arial" w:eastAsia="SimSun" w:hAnsi="Arial" w:cs="Arial"/>
          <w:bCs/>
          <w:i/>
          <w:iCs/>
          <w:color w:val="231F20"/>
          <w:sz w:val="22"/>
          <w:szCs w:val="22"/>
        </w:rPr>
        <w:t>Sirt5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 conditional knockout mice. (</w:t>
      </w:r>
      <w:r>
        <w:rPr>
          <w:rFonts w:ascii="Arial" w:eastAsia="SimSun" w:hAnsi="Arial" w:cs="Arial"/>
          <w:b/>
          <w:color w:val="231F20"/>
          <w:sz w:val="22"/>
          <w:szCs w:val="22"/>
        </w:rPr>
        <w:t>E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) PCR-mediated genotyping to verify the deletion of the floxed exon 3 in the </w:t>
      </w:r>
      <w:r>
        <w:rPr>
          <w:rFonts w:ascii="Arial" w:eastAsia="SimSun" w:hAnsi="Arial" w:cs="Arial"/>
          <w:bCs/>
          <w:i/>
          <w:iCs/>
          <w:color w:val="231F20"/>
          <w:sz w:val="22"/>
          <w:szCs w:val="22"/>
        </w:rPr>
        <w:t>Sirt5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 locus, which </w:t>
      </w:r>
      <w:r>
        <w:rPr>
          <w:rFonts w:ascii="Arial" w:hAnsi="Arial" w:cs="Arial"/>
          <w:bCs/>
          <w:sz w:val="22"/>
          <w:szCs w:val="22"/>
        </w:rPr>
        <w:t>produces a 1508</w:t>
      </w:r>
      <w:r>
        <w:rPr>
          <w:rFonts w:ascii="Arial" w:hAnsi="Arial" w:cs="Arial" w:hint="eastAsia"/>
          <w:bCs/>
          <w:sz w:val="22"/>
          <w:szCs w:val="22"/>
        </w:rPr>
        <w:t xml:space="preserve"> bp</w:t>
      </w:r>
      <w:r>
        <w:rPr>
          <w:rFonts w:ascii="Arial" w:hAnsi="Arial" w:cs="Arial"/>
          <w:bCs/>
          <w:sz w:val="22"/>
          <w:szCs w:val="22"/>
        </w:rPr>
        <w:t xml:space="preserve"> or 847 </w:t>
      </w:r>
      <w:r>
        <w:rPr>
          <w:rFonts w:ascii="Arial" w:hAnsi="Arial" w:cs="Arial"/>
          <w:bCs/>
          <w:sz w:val="22"/>
          <w:szCs w:val="22"/>
        </w:rPr>
        <w:lastRenderedPageBreak/>
        <w:t xml:space="preserve">fragment before and after administration of </w:t>
      </w:r>
      <w:r>
        <w:rPr>
          <w:rFonts w:ascii="Arial" w:hAnsi="Arial" w:cs="Arial" w:hint="eastAsia"/>
          <w:bCs/>
          <w:sz w:val="22"/>
          <w:szCs w:val="22"/>
        </w:rPr>
        <w:t>tamoxifen</w:t>
      </w:r>
      <w:r>
        <w:rPr>
          <w:rFonts w:ascii="Arial" w:hAnsi="Arial" w:cs="Arial"/>
          <w:bCs/>
          <w:sz w:val="22"/>
          <w:szCs w:val="22"/>
        </w:rPr>
        <w:t>, respectively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.</w:t>
      </w: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 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(</w:t>
      </w:r>
      <w:r>
        <w:rPr>
          <w:rFonts w:ascii="Arial" w:eastAsia="SimSun" w:hAnsi="Arial" w:cs="Arial"/>
          <w:b/>
          <w:color w:val="231F20"/>
          <w:sz w:val="22"/>
          <w:szCs w:val="22"/>
        </w:rPr>
        <w:t>F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) Reduction of Sirt5 protein levels 5 days after tamoxifen treatment in three independent mice.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Two-tailed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t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-test (****,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> &lt; 0.0001).</w:t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/>
          <w:color w:val="231F2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jc w:val="left"/>
        <w:rPr>
          <w:rFonts w:ascii="Arial" w:eastAsia="SimSun" w:hAnsi="Arial" w:cs="Arial"/>
          <w:b/>
          <w:color w:val="231F20"/>
          <w:sz w:val="22"/>
          <w:szCs w:val="22"/>
        </w:rPr>
      </w:pPr>
      <w:r>
        <w:rPr>
          <w:rFonts w:ascii="Arial" w:eastAsia="SimSun" w:hAnsi="Arial" w:cs="Arial" w:hint="eastAsia"/>
          <w:b/>
          <w:noProof/>
          <w:color w:val="231F20"/>
          <w:sz w:val="22"/>
          <w:szCs w:val="22"/>
          <w:lang w:eastAsia="en-US"/>
        </w:rPr>
        <w:drawing>
          <wp:inline distT="0" distB="0" distL="114300" distR="114300" wp14:anchorId="2E8D6356" wp14:editId="0128A600">
            <wp:extent cx="5757545" cy="1193800"/>
            <wp:effectExtent l="0" t="0" r="5080" b="6350"/>
            <wp:docPr id="8" name="图片 8" descr="Fig S2_Fig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 S2_Fig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57545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917" w:rsidRDefault="00A87917" w:rsidP="00A87917">
      <w:pPr>
        <w:spacing w:line="480" w:lineRule="auto"/>
        <w:ind w:right="-286"/>
        <w:jc w:val="left"/>
        <w:rPr>
          <w:rFonts w:ascii="Arial" w:eastAsia="SimSun" w:hAnsi="Arial" w:cs="Arial"/>
          <w:b/>
          <w:color w:val="231F20"/>
          <w:sz w:val="22"/>
          <w:szCs w:val="22"/>
        </w:rPr>
      </w:pP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Fig. S2. Sirt5 </w:t>
      </w:r>
      <w:r>
        <w:rPr>
          <w:rFonts w:ascii="Arial" w:eastAsia="SimSun" w:hAnsi="Arial" w:cs="Arial" w:hint="eastAsia"/>
          <w:b/>
          <w:color w:val="000000"/>
          <w:sz w:val="22"/>
          <w:szCs w:val="22"/>
        </w:rPr>
        <w:t>attenuated mPTP opening</w:t>
      </w: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 under </w:t>
      </w:r>
      <w:r>
        <w:rPr>
          <w:rFonts w:ascii="Arial" w:eastAsia="SimSun" w:hAnsi="Arial" w:cs="Arial" w:hint="eastAsia"/>
          <w:b/>
          <w:color w:val="231F20"/>
          <w:sz w:val="22"/>
          <w:szCs w:val="22"/>
        </w:rPr>
        <w:t>H</w:t>
      </w:r>
      <w:r>
        <w:rPr>
          <w:rFonts w:ascii="Arial" w:eastAsia="SimSun" w:hAnsi="Arial" w:cs="Arial"/>
          <w:b/>
          <w:color w:val="231F20"/>
          <w:sz w:val="22"/>
          <w:szCs w:val="22"/>
        </w:rPr>
        <w:t>R condition.</w:t>
      </w:r>
      <w:r>
        <w:rPr>
          <w:rFonts w:ascii="Arial" w:eastAsia="SimSun" w:hAnsi="Arial" w:cs="Arial" w:hint="eastAsia"/>
          <w:b/>
          <w:color w:val="231F20"/>
          <w:sz w:val="22"/>
          <w:szCs w:val="22"/>
        </w:rPr>
        <w:t xml:space="preserve"> </w:t>
      </w:r>
      <w:r>
        <w:rPr>
          <w:rFonts w:ascii="Arial" w:eastAsia="SimSun" w:hAnsi="Arial" w:cs="Arial" w:hint="eastAsia"/>
          <w:color w:val="000000"/>
          <w:sz w:val="22"/>
          <w:szCs w:val="22"/>
        </w:rPr>
        <w:t xml:space="preserve"> OE-Sirt5 attenuated mPTP opening </w:t>
      </w:r>
      <w:r>
        <w:rPr>
          <w:rFonts w:ascii="Arial" w:eastAsia="AdvOT46dcae81" w:hAnsi="Arial" w:cs="Arial"/>
          <w:color w:val="000000"/>
          <w:sz w:val="22"/>
          <w:szCs w:val="22"/>
        </w:rPr>
        <w:t>in HR-injured HL-</w:t>
      </w:r>
      <w:r>
        <w:rPr>
          <w:rFonts w:ascii="Arial" w:eastAsia="SimSun" w:hAnsi="Arial" w:cs="Arial" w:hint="eastAsia"/>
          <w:color w:val="000000"/>
          <w:sz w:val="22"/>
          <w:szCs w:val="22"/>
        </w:rPr>
        <w:t xml:space="preserve">1 </w:t>
      </w:r>
      <w:r>
        <w:rPr>
          <w:rFonts w:ascii="Arial" w:eastAsia="AdvOT46dcae81" w:hAnsi="Arial" w:cs="Arial"/>
          <w:color w:val="000000"/>
          <w:sz w:val="22"/>
          <w:szCs w:val="22"/>
        </w:rPr>
        <w:t>cells</w:t>
      </w:r>
      <w:r>
        <w:rPr>
          <w:rFonts w:ascii="Arial" w:eastAsia="SimSun" w:hAnsi="Arial" w:cs="Arial" w:hint="eastAsia"/>
          <w:color w:val="000000"/>
          <w:sz w:val="22"/>
          <w:szCs w:val="22"/>
        </w:rPr>
        <w:t xml:space="preserve"> , whereas sh-Sirt5 exacerbated mPTP opening </w:t>
      </w:r>
      <w:r>
        <w:rPr>
          <w:rFonts w:ascii="Arial" w:eastAsia="AdvOT46dcae81" w:hAnsi="Arial" w:cs="Arial"/>
          <w:color w:val="000000"/>
          <w:sz w:val="22"/>
          <w:szCs w:val="22"/>
        </w:rPr>
        <w:t>in HR-injured HL-</w:t>
      </w:r>
      <w:r>
        <w:rPr>
          <w:rFonts w:ascii="Arial" w:eastAsia="SimSun" w:hAnsi="Arial" w:cs="Arial" w:hint="eastAsia"/>
          <w:color w:val="000000"/>
          <w:sz w:val="22"/>
          <w:szCs w:val="22"/>
        </w:rPr>
        <w:t xml:space="preserve">1 </w:t>
      </w:r>
      <w:r>
        <w:rPr>
          <w:rFonts w:ascii="Arial" w:eastAsia="AdvOT46dcae81" w:hAnsi="Arial" w:cs="Arial"/>
          <w:color w:val="000000"/>
          <w:sz w:val="22"/>
          <w:szCs w:val="22"/>
        </w:rPr>
        <w:t>cells</w:t>
      </w:r>
      <w:r>
        <w:rPr>
          <w:rFonts w:ascii="Arial" w:eastAsia="SimSun" w:hAnsi="Arial" w:cs="Arial" w:hint="eastAsia"/>
          <w:color w:val="000000"/>
          <w:sz w:val="22"/>
          <w:szCs w:val="22"/>
        </w:rPr>
        <w:t xml:space="preserve">.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One-way ANOVA (*,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 &lt; 0.05; 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 &lt; 0.01; ***,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> &lt; 0.001)</w:t>
      </w:r>
      <w:r>
        <w:rPr>
          <w:rFonts w:ascii="Arial" w:eastAsia="SimSun" w:hAnsi="Arial" w:cs="Arial" w:hint="eastAsia"/>
          <w:color w:val="000000"/>
          <w:sz w:val="22"/>
          <w:szCs w:val="22"/>
        </w:rPr>
        <w:t>.</w:t>
      </w:r>
    </w:p>
    <w:p w:rsidR="00A87917" w:rsidRDefault="00A87917" w:rsidP="00A87917">
      <w:pPr>
        <w:spacing w:line="480" w:lineRule="auto"/>
        <w:ind w:right="-286"/>
        <w:jc w:val="left"/>
        <w:rPr>
          <w:rFonts w:ascii="Arial" w:eastAsia="SimSun" w:hAnsi="Arial" w:cs="Arial"/>
          <w:b/>
          <w:color w:val="231F2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Cs/>
          <w:color w:val="231F20"/>
          <w:sz w:val="22"/>
          <w:szCs w:val="22"/>
        </w:rPr>
      </w:pPr>
      <w:r>
        <w:rPr>
          <w:rFonts w:ascii="Arial" w:eastAsia="SimSun" w:hAnsi="Arial" w:cs="Arial"/>
          <w:bCs/>
          <w:noProof/>
          <w:color w:val="231F20"/>
          <w:sz w:val="22"/>
          <w:szCs w:val="22"/>
          <w:lang w:eastAsia="en-US"/>
        </w:rPr>
        <w:drawing>
          <wp:inline distT="0" distB="0" distL="0" distR="0" wp14:anchorId="0F74F39E" wp14:editId="14B2AEEC">
            <wp:extent cx="5759450" cy="1009015"/>
            <wp:effectExtent l="0" t="0" r="3175" b="635"/>
            <wp:docPr id="104624497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6244974" name="Imag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00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Cs/>
          <w:color w:val="231F20"/>
          <w:sz w:val="22"/>
          <w:szCs w:val="22"/>
        </w:rPr>
      </w:pPr>
      <w:r>
        <w:rPr>
          <w:rFonts w:ascii="Arial" w:eastAsia="SimSun" w:hAnsi="Arial" w:cs="Arial"/>
          <w:b/>
          <w:color w:val="231F20"/>
          <w:sz w:val="22"/>
          <w:szCs w:val="22"/>
        </w:rPr>
        <w:t>Fig. S</w:t>
      </w:r>
      <w:r>
        <w:rPr>
          <w:rFonts w:ascii="Arial" w:eastAsia="SimSun" w:hAnsi="Arial" w:cs="Arial" w:hint="eastAsia"/>
          <w:b/>
          <w:color w:val="231F20"/>
          <w:sz w:val="22"/>
          <w:szCs w:val="22"/>
        </w:rPr>
        <w:t>3</w:t>
      </w:r>
      <w:r>
        <w:rPr>
          <w:rFonts w:ascii="Arial" w:eastAsia="SimSun" w:hAnsi="Arial" w:cs="Arial"/>
          <w:b/>
          <w:color w:val="231F20"/>
          <w:sz w:val="22"/>
          <w:szCs w:val="22"/>
        </w:rPr>
        <w:t>. Sirt5 protects mitochondrial integrity under IR condition.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 IR injury of the myocardium was induced 14 days after injection of AAV9-Sirt5 and 5 days after administration of tamoxifen. Overexpression of </w:t>
      </w:r>
      <w:r>
        <w:rPr>
          <w:rFonts w:ascii="Arial" w:eastAsia="SimSun" w:hAnsi="Arial" w:cs="Arial"/>
          <w:bCs/>
          <w:i/>
          <w:iCs/>
          <w:color w:val="231F20"/>
          <w:sz w:val="22"/>
          <w:szCs w:val="22"/>
        </w:rPr>
        <w:t>Sirt5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 rescues IR-induced mitochondrial disorganization, whereas knockout of </w:t>
      </w:r>
      <w:r>
        <w:rPr>
          <w:rFonts w:ascii="Arial" w:eastAsia="SimSun" w:hAnsi="Arial" w:cs="Arial"/>
          <w:bCs/>
          <w:i/>
          <w:iCs/>
          <w:color w:val="231F20"/>
          <w:sz w:val="22"/>
          <w:szCs w:val="22"/>
        </w:rPr>
        <w:t>Sirt5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 enhances IR-induced mitochondrial defects. Scale bar, 500 nm.</w:t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Cs/>
          <w:color w:val="231F2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Cs/>
          <w:color w:val="231F20"/>
          <w:sz w:val="22"/>
          <w:szCs w:val="22"/>
        </w:rPr>
      </w:pPr>
      <w:r>
        <w:rPr>
          <w:rFonts w:ascii="Arial" w:eastAsia="SimSun" w:hAnsi="Arial" w:cs="Arial" w:hint="eastAsia"/>
          <w:bCs/>
          <w:noProof/>
          <w:color w:val="231F20"/>
          <w:sz w:val="22"/>
          <w:szCs w:val="22"/>
          <w:lang w:eastAsia="en-US"/>
        </w:rPr>
        <w:lastRenderedPageBreak/>
        <w:drawing>
          <wp:inline distT="0" distB="0" distL="114300" distR="114300" wp14:anchorId="25ED4D65" wp14:editId="1BBED99F">
            <wp:extent cx="5756910" cy="2438400"/>
            <wp:effectExtent l="0" t="0" r="5715" b="0"/>
            <wp:docPr id="2" name="图片 2" descr="Figure S3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3_画板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691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Cs/>
          <w:color w:val="231F2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Fig. S</w:t>
      </w:r>
      <w:r>
        <w:rPr>
          <w:rFonts w:ascii="Arial" w:eastAsia="SimSun" w:hAnsi="Arial" w:cs="Arial" w:hint="eastAsia"/>
          <w:b/>
          <w:bCs/>
          <w:color w:val="000000"/>
          <w:sz w:val="22"/>
          <w:szCs w:val="22"/>
        </w:rPr>
        <w:t>4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. IR-induced PTMs in the myocardium.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</w:t>
      </w:r>
      <w:r>
        <w:rPr>
          <w:rFonts w:ascii="Arial" w:eastAsia="AdvOT46dcae81" w:hAnsi="Arial" w:cs="Arial"/>
          <w:color w:val="000000"/>
          <w:sz w:val="22"/>
          <w:szCs w:val="22"/>
        </w:rPr>
        <w:t>(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A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to 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E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) Western blot analyses of protein lactylation (Kla), crotonyllysine (Kcr), succinyllysine (Ksuc), ß-hydroxybutyryllysine (Kbhb) and acetylation (Kac) modifications in IR-injured mouse myocardial tissues.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Two-tailed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t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-test (*,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 &lt; 0.05; 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 &lt; 0.01; ***,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> &lt; 0.001).</w:t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Cs/>
          <w:color w:val="231F2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jc w:val="center"/>
        <w:rPr>
          <w:rFonts w:ascii="Arial" w:eastAsia="SimSun" w:hAnsi="Arial" w:cs="Arial"/>
          <w:b/>
          <w:color w:val="231F20"/>
          <w:sz w:val="22"/>
          <w:szCs w:val="22"/>
        </w:rPr>
      </w:pPr>
      <w:r>
        <w:rPr>
          <w:rFonts w:ascii="Arial" w:eastAsia="SimSun" w:hAnsi="Arial" w:cs="Arial"/>
          <w:b/>
          <w:noProof/>
          <w:color w:val="231F20"/>
          <w:sz w:val="22"/>
          <w:szCs w:val="22"/>
          <w:lang w:eastAsia="en-US"/>
        </w:rPr>
        <w:drawing>
          <wp:inline distT="0" distB="0" distL="0" distR="0" wp14:anchorId="03AF7442" wp14:editId="7D0BA861">
            <wp:extent cx="3382010" cy="1685290"/>
            <wp:effectExtent l="0" t="0" r="8890" b="635"/>
            <wp:docPr id="727516725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7516725" name="Image 1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0824" cy="1704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Fig. S</w:t>
      </w:r>
      <w:r>
        <w:rPr>
          <w:rFonts w:ascii="Arial" w:eastAsia="SimSun" w:hAnsi="Arial" w:cs="Arial" w:hint="eastAsia"/>
          <w:b/>
          <w:bCs/>
          <w:color w:val="000000"/>
          <w:sz w:val="22"/>
          <w:szCs w:val="22"/>
        </w:rPr>
        <w:t>5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. Increase of lactate levels after IR and HR.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(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A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) Quantification of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lactate 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levels in IR-injured mouse myocardial tissues.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Two-tailed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t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-test (**,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> &lt; 0.01).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(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B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) Quantification of lactate </w:t>
      </w:r>
      <w:r>
        <w:rPr>
          <w:rFonts w:ascii="Arial" w:eastAsia="SimSun" w:hAnsi="Arial" w:cs="Arial"/>
          <w:color w:val="000000"/>
          <w:sz w:val="22"/>
          <w:szCs w:val="22"/>
        </w:rPr>
        <w:t>levels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 in HR-treated 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HL-1 cells.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Two-tailed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t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-test (***,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> &lt; 0.001).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</w:t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  <w:r>
        <w:rPr>
          <w:rFonts w:ascii="Arial" w:eastAsia="SimSun" w:hAnsi="Arial" w:cs="Arial"/>
          <w:noProof/>
          <w:color w:val="000000"/>
          <w:sz w:val="22"/>
          <w:szCs w:val="22"/>
          <w:lang w:eastAsia="en-US"/>
        </w:rPr>
        <w:drawing>
          <wp:inline distT="0" distB="0" distL="0" distR="0" wp14:anchorId="434793BA" wp14:editId="2BFB19D1">
            <wp:extent cx="5759450" cy="5575300"/>
            <wp:effectExtent l="0" t="0" r="3175" b="6350"/>
            <wp:docPr id="50567869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5678693" name="Image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57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  <w:r>
        <w:rPr>
          <w:rFonts w:ascii="Arial" w:eastAsia="AdvOT46dcae81" w:hAnsi="Arial" w:cs="Arial"/>
          <w:b/>
          <w:bCs/>
          <w:color w:val="000000"/>
          <w:sz w:val="22"/>
          <w:szCs w:val="22"/>
        </w:rPr>
        <w:t>Fig. S</w:t>
      </w:r>
      <w:r>
        <w:rPr>
          <w:rFonts w:ascii="Arial" w:eastAsia="SimSun" w:hAnsi="Arial" w:cs="Arial" w:hint="eastAsia"/>
          <w:b/>
          <w:bCs/>
          <w:color w:val="000000"/>
          <w:sz w:val="22"/>
          <w:szCs w:val="22"/>
        </w:rPr>
        <w:t>6</w:t>
      </w:r>
      <w:r>
        <w:rPr>
          <w:rFonts w:ascii="Arial" w:eastAsia="AdvOT46dcae81" w:hAnsi="Arial" w:cs="Arial"/>
          <w:b/>
          <w:bCs/>
          <w:color w:val="000000"/>
          <w:sz w:val="22"/>
          <w:szCs w:val="22"/>
        </w:rPr>
        <w:t xml:space="preserve">. Improvement of mitochondrial and cardiac functions by inhibiting lactate production and lactylation modification. </w:t>
      </w:r>
      <w:r>
        <w:rPr>
          <w:rFonts w:ascii="Arial" w:eastAsia="AdvOT46dcae81" w:hAnsi="Arial" w:cs="Arial"/>
          <w:color w:val="000000"/>
          <w:sz w:val="22"/>
          <w:szCs w:val="22"/>
        </w:rPr>
        <w:t>(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A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>DCA reduces, whereas NaLa enhances, the severity of mitochondrial fragmentation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in HR-injured HL-1 cells. Scale bar, 10 µm. </w:t>
      </w:r>
      <w:r>
        <w:rPr>
          <w:rFonts w:ascii="Arial" w:eastAsia="AdvOT46dcae81" w:hAnsi="Arial" w:cs="Arial"/>
          <w:color w:val="000000"/>
          <w:sz w:val="22"/>
          <w:szCs w:val="22"/>
        </w:rPr>
        <w:t>(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B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) </w:t>
      </w:r>
      <w:r>
        <w:rPr>
          <w:rFonts w:ascii="Arial" w:hAnsi="Arial" w:cs="Arial"/>
          <w:sz w:val="22"/>
          <w:szCs w:val="22"/>
        </w:rPr>
        <w:t>DCA reduces, whereas NaLa enhances,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mitochondrial ROS in HR-injured HL-1 cells.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One-way ANOVA (**,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 &lt; 0.01; ***,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> &lt; 0.001).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Scale bar, 40 µm.</w:t>
      </w:r>
      <w:r>
        <w:rPr>
          <w:rFonts w:ascii="Arial" w:eastAsia="AdvOT46dcae81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dvOT46dcae81" w:hAnsi="Arial" w:cs="Arial"/>
          <w:color w:val="000000"/>
          <w:sz w:val="22"/>
          <w:szCs w:val="22"/>
        </w:rPr>
        <w:t>(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C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) ATP production in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HR-injured 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HL-1 cells treated with DCA or NaLa.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One-way ANOVA (**,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 &lt; 0.01; ***,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> &lt; 0.001).</w:t>
      </w:r>
      <w:r>
        <w:rPr>
          <w:rFonts w:ascii="Arial" w:eastAsia="AdvOT46dcae81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dvOT46dcae81" w:hAnsi="Arial" w:cs="Arial"/>
          <w:color w:val="000000"/>
          <w:sz w:val="22"/>
          <w:szCs w:val="22"/>
        </w:rPr>
        <w:t>(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D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) DCA improves </w:t>
      </w:r>
      <w:r>
        <w:rPr>
          <w:rFonts w:ascii="Arial" w:eastAsia="AdvOT46dcae81" w:hAnsi="Arial" w:cs="Arial"/>
          <w:color w:val="000000"/>
          <w:sz w:val="22"/>
          <w:szCs w:val="22"/>
        </w:rPr>
        <w:t>mitochondrial membrane potential in HR-injured HL-1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cells by reducing the formation of JC-1 monomers.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One-way ANOVA (*,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 &lt; 0.05; 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> &lt; 0.01).</w:t>
      </w:r>
      <w:r>
        <w:rPr>
          <w:rFonts w:ascii="Arial" w:eastAsia="AdvOT46dcae81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dvOT46dcae81" w:hAnsi="Arial" w:cs="Arial"/>
          <w:color w:val="000000"/>
          <w:sz w:val="22"/>
          <w:szCs w:val="22"/>
        </w:rPr>
        <w:t>(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E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) TEM analyses show that DCA improves, whereas NaLa aggravates, mitochondrial integrity in IR-injured mouse myocardial tissues. Scale bar, 500 nm. </w:t>
      </w:r>
      <w:r>
        <w:rPr>
          <w:rFonts w:ascii="Arial" w:eastAsia="AdvOT46dcae81" w:hAnsi="Arial" w:cs="Arial"/>
          <w:color w:val="000000"/>
          <w:sz w:val="22"/>
          <w:szCs w:val="22"/>
        </w:rPr>
        <w:lastRenderedPageBreak/>
        <w:t>(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F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) </w:t>
      </w:r>
      <w:r>
        <w:rPr>
          <w:rFonts w:ascii="Arial" w:eastAsia="AdvOT46dcae81" w:hAnsi="Arial" w:cs="Arial"/>
          <w:color w:val="000000"/>
          <w:sz w:val="22"/>
          <w:szCs w:val="22"/>
        </w:rPr>
        <w:t>TTC staining shows that DCA reduces, whereas NaLa further increase, the infarct size (IS)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relative to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the myocardial area at risk (AAR) 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from IR-injured mice, but without effect on the AAR.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One-way ANOVA (**,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 &lt; 0.01; ***,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> &lt; 0.001; ns, not significant).</w:t>
      </w:r>
      <w:r>
        <w:rPr>
          <w:rFonts w:ascii="Arial" w:eastAsia="AdvOT46dcae81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dvOT46dcae81" w:hAnsi="Arial" w:cs="Arial"/>
          <w:color w:val="000000"/>
          <w:sz w:val="22"/>
          <w:szCs w:val="22"/>
        </w:rPr>
        <w:t>(</w:t>
      </w:r>
      <w:r>
        <w:rPr>
          <w:rFonts w:ascii="Arial" w:eastAsia="AdvOT46dcae81" w:hAnsi="Arial" w:cs="Arial"/>
          <w:b/>
          <w:bCs/>
          <w:color w:val="000000"/>
          <w:sz w:val="22"/>
          <w:szCs w:val="22"/>
        </w:rPr>
        <w:t>G</w:t>
      </w:r>
      <w:r>
        <w:rPr>
          <w:rFonts w:ascii="Arial" w:eastAsia="AdvOT46dcae81" w:hAnsi="Arial" w:cs="Arial"/>
          <w:color w:val="000000"/>
          <w:sz w:val="22"/>
          <w:szCs w:val="22"/>
        </w:rPr>
        <w:t>) DCA reduces, whereas NaLa aggravates, inflammatory cell infiltration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in IR-injured mouse myocardial tissues.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 TTC staining was performed 24 hours after IR injury. </w:t>
      </w:r>
      <w:r>
        <w:rPr>
          <w:rFonts w:ascii="Arial" w:eastAsia="SimSun" w:hAnsi="Arial" w:cs="Arial"/>
          <w:color w:val="000000"/>
          <w:sz w:val="22"/>
          <w:szCs w:val="22"/>
        </w:rPr>
        <w:t>Scale bar, 200 µm.</w:t>
      </w:r>
      <w:r>
        <w:rPr>
          <w:rFonts w:ascii="Arial" w:eastAsia="AdvOT46dcae81" w:hAnsi="Arial" w:cs="Arial"/>
          <w:b/>
          <w:bCs/>
          <w:color w:val="000000"/>
          <w:sz w:val="22"/>
          <w:szCs w:val="22"/>
        </w:rPr>
        <w:t xml:space="preserve"> </w:t>
      </w:r>
      <w:r>
        <w:rPr>
          <w:rFonts w:ascii="Arial" w:eastAsia="AdvOT46dcae81" w:hAnsi="Arial" w:cs="Arial"/>
          <w:color w:val="000000"/>
          <w:sz w:val="22"/>
          <w:szCs w:val="22"/>
        </w:rPr>
        <w:t>(</w:t>
      </w:r>
      <w:r>
        <w:rPr>
          <w:rFonts w:ascii="Arial" w:eastAsia="AdvOT46dcae81" w:hAnsi="Arial" w:cs="Arial"/>
          <w:b/>
          <w:bCs/>
          <w:color w:val="000000"/>
          <w:sz w:val="22"/>
          <w:szCs w:val="22"/>
        </w:rPr>
        <w:t>H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) 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DCA improves </w:t>
      </w:r>
      <w:r>
        <w:rPr>
          <w:rFonts w:ascii="Arial" w:eastAsia="AdvOT46dcae81" w:hAnsi="Arial" w:cs="Arial"/>
          <w:color w:val="000000"/>
          <w:sz w:val="22"/>
          <w:szCs w:val="22"/>
        </w:rPr>
        <w:t>heart function by increasing the percentage of ejection fraction and fraction shortening in IR-injured mice, whereas NaLa shows the opposite effect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. Echocardiography was performed 48 hours after IR injury. </w:t>
      </w:r>
      <w:r>
        <w:rPr>
          <w:rFonts w:ascii="Arial" w:eastAsia="AdvOT46dcae81" w:hAnsi="Arial" w:cs="Arial"/>
          <w:color w:val="000000"/>
          <w:sz w:val="22"/>
          <w:szCs w:val="22"/>
        </w:rPr>
        <w:t xml:space="preserve">One-way ANOVA (*, </w:t>
      </w:r>
      <w:r>
        <w:rPr>
          <w:rFonts w:ascii="Arial" w:eastAsia="AdvOT46dcae81" w:hAnsi="Arial" w:cs="Arial"/>
          <w:i/>
          <w:iCs/>
          <w:color w:val="000000"/>
          <w:sz w:val="22"/>
          <w:szCs w:val="22"/>
        </w:rPr>
        <w:t>P</w:t>
      </w:r>
      <w:r>
        <w:rPr>
          <w:rFonts w:ascii="Arial" w:eastAsia="AdvOT46dcae81" w:hAnsi="Arial" w:cs="Arial"/>
          <w:color w:val="000000"/>
          <w:sz w:val="22"/>
          <w:szCs w:val="22"/>
        </w:rPr>
        <w:t> &lt; 0.05).</w:t>
      </w: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/>
          <w:color w:val="231F20"/>
          <w:sz w:val="22"/>
          <w:szCs w:val="22"/>
        </w:rPr>
      </w:pPr>
      <w:r>
        <w:rPr>
          <w:rFonts w:ascii="Arial" w:eastAsia="SimSun" w:hAnsi="Arial" w:cs="Arial"/>
          <w:b/>
          <w:noProof/>
          <w:color w:val="231F20"/>
          <w:sz w:val="22"/>
          <w:szCs w:val="22"/>
          <w:lang w:eastAsia="en-US"/>
        </w:rPr>
        <w:drawing>
          <wp:inline distT="0" distB="0" distL="0" distR="0" wp14:anchorId="5B1A3932" wp14:editId="18111DF1">
            <wp:extent cx="5759450" cy="5869940"/>
            <wp:effectExtent l="0" t="0" r="3175" b="6985"/>
            <wp:docPr id="1707538301" name="Imag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538301" name="Image 14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5869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/>
          <w:color w:val="231F20"/>
          <w:sz w:val="22"/>
          <w:szCs w:val="22"/>
        </w:rPr>
      </w:pPr>
      <w:r>
        <w:rPr>
          <w:rFonts w:ascii="Arial" w:eastAsia="SimSun" w:hAnsi="Arial" w:cs="Arial"/>
          <w:b/>
          <w:color w:val="231F20"/>
          <w:sz w:val="22"/>
          <w:szCs w:val="22"/>
        </w:rPr>
        <w:t>Fig. S</w:t>
      </w:r>
      <w:r>
        <w:rPr>
          <w:rFonts w:ascii="Arial" w:eastAsia="SimSun" w:hAnsi="Arial" w:cs="Arial" w:hint="eastAsia"/>
          <w:b/>
          <w:color w:val="231F20"/>
          <w:sz w:val="22"/>
          <w:szCs w:val="22"/>
        </w:rPr>
        <w:t>7</w:t>
      </w: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. Molecular docking of </w:t>
      </w:r>
      <w:r>
        <w:rPr>
          <w:rFonts w:ascii="Arial" w:eastAsia="Helvetica" w:hAnsi="Arial" w:cs="Arial"/>
          <w:b/>
          <w:color w:val="060607"/>
          <w:spacing w:val="4"/>
          <w:sz w:val="22"/>
          <w:szCs w:val="22"/>
          <w:shd w:val="clear" w:color="auto" w:fill="FFFFFF"/>
        </w:rPr>
        <w:t xml:space="preserve">ANT2 interaction with Sirt proteins. </w:t>
      </w:r>
      <w:r>
        <w:rPr>
          <w:rFonts w:ascii="Arial" w:eastAsia="Helvetica" w:hAnsi="Arial" w:cs="Arial"/>
          <w:bCs/>
          <w:color w:val="060607"/>
          <w:spacing w:val="4"/>
          <w:sz w:val="22"/>
          <w:szCs w:val="22"/>
          <w:shd w:val="clear" w:color="auto" w:fill="FFFFFF"/>
        </w:rPr>
        <w:t>(</w:t>
      </w:r>
      <w:r>
        <w:rPr>
          <w:rFonts w:ascii="Arial" w:eastAsia="Helvetica" w:hAnsi="Arial" w:cs="Arial"/>
          <w:b/>
          <w:color w:val="060607"/>
          <w:spacing w:val="4"/>
          <w:sz w:val="22"/>
          <w:szCs w:val="22"/>
          <w:shd w:val="clear" w:color="auto" w:fill="FFFFFF"/>
        </w:rPr>
        <w:t>A</w:t>
      </w:r>
      <w:r>
        <w:rPr>
          <w:rFonts w:ascii="Arial" w:eastAsia="Helvetica" w:hAnsi="Arial" w:cs="Arial"/>
          <w:bCs/>
          <w:color w:val="060607"/>
          <w:spacing w:val="4"/>
          <w:sz w:val="22"/>
          <w:szCs w:val="22"/>
          <w:shd w:val="clear" w:color="auto" w:fill="FFFFFF"/>
        </w:rPr>
        <w:t>) Sirt1 interaction with ANT2. (</w:t>
      </w:r>
      <w:r>
        <w:rPr>
          <w:rFonts w:ascii="Arial" w:eastAsia="Helvetica" w:hAnsi="Arial" w:cs="Arial"/>
          <w:b/>
          <w:color w:val="060607"/>
          <w:spacing w:val="4"/>
          <w:sz w:val="22"/>
          <w:szCs w:val="22"/>
          <w:shd w:val="clear" w:color="auto" w:fill="FFFFFF"/>
        </w:rPr>
        <w:t>B</w:t>
      </w:r>
      <w:r>
        <w:rPr>
          <w:rFonts w:ascii="Arial" w:eastAsia="Helvetica" w:hAnsi="Arial" w:cs="Arial"/>
          <w:bCs/>
          <w:color w:val="060607"/>
          <w:spacing w:val="4"/>
          <w:sz w:val="22"/>
          <w:szCs w:val="22"/>
          <w:shd w:val="clear" w:color="auto" w:fill="FFFFFF"/>
        </w:rPr>
        <w:t>) Sirt2 interaction with ANT2. (</w:t>
      </w:r>
      <w:r>
        <w:rPr>
          <w:rFonts w:ascii="Arial" w:eastAsia="Helvetica" w:hAnsi="Arial" w:cs="Arial"/>
          <w:b/>
          <w:color w:val="060607"/>
          <w:spacing w:val="4"/>
          <w:sz w:val="22"/>
          <w:szCs w:val="22"/>
          <w:shd w:val="clear" w:color="auto" w:fill="FFFFFF"/>
        </w:rPr>
        <w:t>C</w:t>
      </w:r>
      <w:r>
        <w:rPr>
          <w:rFonts w:ascii="Arial" w:eastAsia="Helvetica" w:hAnsi="Arial" w:cs="Arial"/>
          <w:bCs/>
          <w:color w:val="060607"/>
          <w:spacing w:val="4"/>
          <w:sz w:val="22"/>
          <w:szCs w:val="22"/>
          <w:shd w:val="clear" w:color="auto" w:fill="FFFFFF"/>
        </w:rPr>
        <w:t>) Sirt3 interaction with ANT2. (</w:t>
      </w:r>
      <w:r>
        <w:rPr>
          <w:rFonts w:ascii="Arial" w:eastAsia="Helvetica" w:hAnsi="Arial" w:cs="Arial"/>
          <w:b/>
          <w:color w:val="060607"/>
          <w:spacing w:val="4"/>
          <w:sz w:val="22"/>
          <w:szCs w:val="22"/>
          <w:shd w:val="clear" w:color="auto" w:fill="FFFFFF"/>
        </w:rPr>
        <w:t>D</w:t>
      </w:r>
      <w:r>
        <w:rPr>
          <w:rFonts w:ascii="Arial" w:eastAsia="Helvetica" w:hAnsi="Arial" w:cs="Arial"/>
          <w:bCs/>
          <w:color w:val="060607"/>
          <w:spacing w:val="4"/>
          <w:sz w:val="22"/>
          <w:szCs w:val="22"/>
          <w:shd w:val="clear" w:color="auto" w:fill="FFFFFF"/>
        </w:rPr>
        <w:t>) Sirt4 interaction with ANT2. (</w:t>
      </w:r>
      <w:r>
        <w:rPr>
          <w:rFonts w:ascii="Arial" w:eastAsia="Helvetica" w:hAnsi="Arial" w:cs="Arial"/>
          <w:b/>
          <w:color w:val="060607"/>
          <w:spacing w:val="4"/>
          <w:sz w:val="22"/>
          <w:szCs w:val="22"/>
          <w:shd w:val="clear" w:color="auto" w:fill="FFFFFF"/>
        </w:rPr>
        <w:t>E</w:t>
      </w:r>
      <w:r>
        <w:rPr>
          <w:rFonts w:ascii="Arial" w:eastAsia="Helvetica" w:hAnsi="Arial" w:cs="Arial"/>
          <w:bCs/>
          <w:color w:val="060607"/>
          <w:spacing w:val="4"/>
          <w:sz w:val="22"/>
          <w:szCs w:val="22"/>
          <w:shd w:val="clear" w:color="auto" w:fill="FFFFFF"/>
        </w:rPr>
        <w:t>) Sirt6 interaction with ANT2. (</w:t>
      </w:r>
      <w:r>
        <w:rPr>
          <w:rFonts w:ascii="Arial" w:eastAsia="Helvetica" w:hAnsi="Arial" w:cs="Arial"/>
          <w:b/>
          <w:color w:val="060607"/>
          <w:spacing w:val="4"/>
          <w:sz w:val="22"/>
          <w:szCs w:val="22"/>
          <w:shd w:val="clear" w:color="auto" w:fill="FFFFFF"/>
        </w:rPr>
        <w:t>F</w:t>
      </w:r>
      <w:r>
        <w:rPr>
          <w:rFonts w:ascii="Arial" w:eastAsia="Helvetica" w:hAnsi="Arial" w:cs="Arial"/>
          <w:bCs/>
          <w:color w:val="060607"/>
          <w:spacing w:val="4"/>
          <w:sz w:val="22"/>
          <w:szCs w:val="22"/>
          <w:shd w:val="clear" w:color="auto" w:fill="FFFFFF"/>
        </w:rPr>
        <w:t>) Sirt7 interaction with ANT2. The 3D interactions of ANT2-K163 with Sirt proteins are shown on the right.</w:t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/>
          <w:color w:val="231F2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/>
          <w:color w:val="231F2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/>
          <w:color w:val="231F2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/>
          <w:color w:val="231F2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jc w:val="center"/>
        <w:rPr>
          <w:rFonts w:ascii="Arial" w:eastAsia="AdvOT46dcae81" w:hAnsi="Arial" w:cs="Arial"/>
          <w:b/>
          <w:bCs/>
          <w:color w:val="000000"/>
          <w:sz w:val="22"/>
          <w:szCs w:val="22"/>
        </w:rPr>
      </w:pPr>
      <w:r>
        <w:rPr>
          <w:rFonts w:ascii="Arial" w:eastAsia="AdvOT46dcae81" w:hAnsi="Arial" w:cs="Arial"/>
          <w:b/>
          <w:bCs/>
          <w:noProof/>
          <w:color w:val="000000"/>
          <w:sz w:val="22"/>
          <w:szCs w:val="22"/>
          <w:lang w:eastAsia="en-US"/>
        </w:rPr>
        <w:lastRenderedPageBreak/>
        <w:drawing>
          <wp:inline distT="0" distB="0" distL="0" distR="0" wp14:anchorId="63B653CE" wp14:editId="64B9FAF2">
            <wp:extent cx="3432175" cy="2745740"/>
            <wp:effectExtent l="0" t="0" r="6350" b="6985"/>
            <wp:docPr id="1816458184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458184" name="Image 1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4589" cy="2771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  <w:r>
        <w:rPr>
          <w:rFonts w:ascii="Arial" w:eastAsia="SimSun" w:hAnsi="Arial" w:cs="Arial"/>
          <w:b/>
          <w:color w:val="231F20"/>
          <w:sz w:val="22"/>
          <w:szCs w:val="22"/>
        </w:rPr>
        <w:t>Fig. S</w:t>
      </w:r>
      <w:r>
        <w:rPr>
          <w:rFonts w:ascii="Arial" w:eastAsia="SimSun" w:hAnsi="Arial" w:cs="Arial" w:hint="eastAsia"/>
          <w:b/>
          <w:color w:val="231F20"/>
          <w:sz w:val="22"/>
          <w:szCs w:val="22"/>
        </w:rPr>
        <w:t>8</w:t>
      </w: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. Analysis of ANT2 post-translational modifications. 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(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A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and 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B</w:t>
      </w:r>
      <w:r>
        <w:rPr>
          <w:rFonts w:ascii="Arial" w:eastAsia="SimSun" w:hAnsi="Arial" w:cs="Arial"/>
          <w:color w:val="000000"/>
          <w:sz w:val="22"/>
          <w:szCs w:val="22"/>
        </w:rPr>
        <w:t>) Western blot analyses of ANT2-Kcr, ANT2-Ksuc, ANT2-Kbhb and ANT2-Kac following immunoprecipitation of ANT2 in HL-1 cells and mouse myocardial tissues</w:t>
      </w:r>
      <w:r>
        <w:rPr>
          <w:rFonts w:ascii="Arial" w:eastAsia="SimSun" w:hAnsi="Arial" w:cs="Arial" w:hint="eastAsia"/>
          <w:color w:val="000000"/>
          <w:sz w:val="22"/>
          <w:szCs w:val="22"/>
        </w:rPr>
        <w:t xml:space="preserve"> under HR or IR condition</w:t>
      </w:r>
      <w:r>
        <w:rPr>
          <w:rFonts w:ascii="Arial" w:eastAsia="SimSun" w:hAnsi="Arial" w:cs="Arial"/>
          <w:color w:val="000000"/>
          <w:sz w:val="22"/>
          <w:szCs w:val="22"/>
        </w:rPr>
        <w:t>.</w:t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jc w:val="center"/>
        <w:rPr>
          <w:rFonts w:ascii="Arial" w:eastAsia="SimSun" w:hAnsi="Arial" w:cs="Arial"/>
          <w:b/>
          <w:color w:val="231F20"/>
          <w:sz w:val="22"/>
          <w:szCs w:val="22"/>
        </w:rPr>
      </w:pPr>
      <w:r>
        <w:rPr>
          <w:rFonts w:ascii="Arial" w:eastAsia="SimSun" w:hAnsi="Arial" w:cs="Arial"/>
          <w:b/>
          <w:noProof/>
          <w:color w:val="231F20"/>
          <w:sz w:val="22"/>
          <w:szCs w:val="22"/>
          <w:lang w:eastAsia="en-US"/>
        </w:rPr>
        <w:drawing>
          <wp:inline distT="0" distB="0" distL="0" distR="0" wp14:anchorId="4DDD1272" wp14:editId="351974E9">
            <wp:extent cx="3446780" cy="3266440"/>
            <wp:effectExtent l="0" t="0" r="1270" b="635"/>
            <wp:docPr id="574714451" name="Imag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714451" name="Image 16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0599" cy="328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917" w:rsidRDefault="00A87917" w:rsidP="00A87917">
      <w:pPr>
        <w:spacing w:line="480" w:lineRule="auto"/>
        <w:ind w:right="-286"/>
        <w:jc w:val="center"/>
        <w:rPr>
          <w:rFonts w:ascii="Arial" w:eastAsia="SimSun" w:hAnsi="Arial" w:cs="Arial"/>
          <w:b/>
          <w:color w:val="231F2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Cs/>
          <w:color w:val="231F20"/>
          <w:sz w:val="22"/>
          <w:szCs w:val="22"/>
        </w:rPr>
      </w:pPr>
      <w:r>
        <w:rPr>
          <w:rFonts w:ascii="Arial" w:eastAsia="SimSun" w:hAnsi="Arial" w:cs="Arial"/>
          <w:b/>
          <w:color w:val="231F20"/>
          <w:sz w:val="22"/>
          <w:szCs w:val="22"/>
        </w:rPr>
        <w:t>Fig. S</w:t>
      </w:r>
      <w:r>
        <w:rPr>
          <w:rFonts w:ascii="Arial" w:eastAsia="SimSun" w:hAnsi="Arial" w:cs="Arial" w:hint="eastAsia"/>
          <w:b/>
          <w:color w:val="231F20"/>
          <w:sz w:val="22"/>
          <w:szCs w:val="22"/>
        </w:rPr>
        <w:t>9</w:t>
      </w: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. Regulation of ANT2 lysine lactylation by Sirt5 activator and inhibitor. 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(</w:t>
      </w:r>
      <w:r>
        <w:rPr>
          <w:rFonts w:ascii="Arial" w:eastAsia="SimSun" w:hAnsi="Arial" w:cs="Arial"/>
          <w:b/>
          <w:color w:val="231F20"/>
          <w:sz w:val="22"/>
          <w:szCs w:val="22"/>
        </w:rPr>
        <w:t>A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 and </w:t>
      </w:r>
      <w:r>
        <w:rPr>
          <w:rFonts w:ascii="Arial" w:eastAsia="SimSun" w:hAnsi="Arial" w:cs="Arial"/>
          <w:b/>
          <w:color w:val="231F20"/>
          <w:sz w:val="22"/>
          <w:szCs w:val="22"/>
        </w:rPr>
        <w:t>B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) Decreased and increased ANT2 lysine lactylation 14 days following treatment of mouse myocardial tissues with Sirt5 activator MC3138 and inhibitor nicotinamide, respectively. (</w:t>
      </w:r>
      <w:r>
        <w:rPr>
          <w:rFonts w:ascii="Arial" w:eastAsia="SimSun" w:hAnsi="Arial" w:cs="Arial"/>
          <w:b/>
          <w:color w:val="231F20"/>
          <w:sz w:val="22"/>
          <w:szCs w:val="22"/>
        </w:rPr>
        <w:t>C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 and </w:t>
      </w:r>
      <w:r>
        <w:rPr>
          <w:rFonts w:ascii="Arial" w:eastAsia="SimSun" w:hAnsi="Arial" w:cs="Arial"/>
          <w:b/>
          <w:color w:val="231F20"/>
          <w:sz w:val="22"/>
          <w:szCs w:val="22"/>
        </w:rPr>
        <w:lastRenderedPageBreak/>
        <w:t>D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) Decreased and increased ANT2 lysine lactylation 24 hours following treatment of HL-1 cells with Sirt5 activator MC3138 and inhibitor nicotinamide, respectively.</w:t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Cs/>
          <w:color w:val="231F2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  <w:r>
        <w:rPr>
          <w:rFonts w:ascii="Arial" w:eastAsia="SimSun" w:hAnsi="Arial" w:cs="Arial"/>
          <w:noProof/>
          <w:color w:val="000000"/>
          <w:sz w:val="22"/>
          <w:szCs w:val="22"/>
          <w:lang w:eastAsia="en-US"/>
        </w:rPr>
        <w:drawing>
          <wp:inline distT="0" distB="0" distL="0" distR="0" wp14:anchorId="2CA6CBCA" wp14:editId="15E4C041">
            <wp:extent cx="5759450" cy="1517015"/>
            <wp:effectExtent l="0" t="0" r="3175" b="6985"/>
            <wp:docPr id="355075224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075224" name="Image 17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517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Cs/>
          <w:color w:val="231F20"/>
          <w:sz w:val="22"/>
          <w:szCs w:val="22"/>
        </w:rPr>
      </w:pPr>
      <w:r>
        <w:rPr>
          <w:rFonts w:ascii="Arial" w:eastAsia="SimSun" w:hAnsi="Arial" w:cs="Arial"/>
          <w:b/>
          <w:color w:val="231F20"/>
          <w:sz w:val="22"/>
          <w:szCs w:val="22"/>
        </w:rPr>
        <w:t>Fig. S</w:t>
      </w:r>
      <w:r>
        <w:rPr>
          <w:rFonts w:ascii="Arial" w:eastAsia="SimSun" w:hAnsi="Arial" w:cs="Arial" w:hint="eastAsia"/>
          <w:b/>
          <w:color w:val="231F20"/>
          <w:sz w:val="22"/>
          <w:szCs w:val="22"/>
        </w:rPr>
        <w:t>10</w:t>
      </w:r>
      <w:r>
        <w:rPr>
          <w:rFonts w:ascii="Arial" w:eastAsia="SimSun" w:hAnsi="Arial" w:cs="Arial"/>
          <w:b/>
          <w:color w:val="231F20"/>
          <w:sz w:val="22"/>
          <w:szCs w:val="22"/>
        </w:rPr>
        <w:t>.</w:t>
      </w:r>
      <w:r>
        <w:rPr>
          <w:rFonts w:ascii="Arial" w:eastAsia="SimSun" w:hAnsi="Arial" w:cs="Arial" w:hint="eastAsia"/>
          <w:b/>
          <w:color w:val="231F20"/>
          <w:sz w:val="22"/>
          <w:szCs w:val="22"/>
        </w:rPr>
        <w:t xml:space="preserve"> </w:t>
      </w: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AAV9-mediated cardiac expression of ANT2 and ANT2-K163R. 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(</w:t>
      </w:r>
      <w:r>
        <w:rPr>
          <w:rFonts w:ascii="Arial" w:eastAsia="SimSun" w:hAnsi="Arial" w:cs="Arial"/>
          <w:b/>
          <w:color w:val="231F20"/>
          <w:sz w:val="22"/>
          <w:szCs w:val="22"/>
        </w:rPr>
        <w:t>A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) Nucleotide and amino acid sequences showing the substitution of the lysine residue in human SLC25A5 (ANT2) by an arginine residue. (</w:t>
      </w:r>
      <w:r>
        <w:rPr>
          <w:rFonts w:ascii="Arial" w:eastAsia="SimSun" w:hAnsi="Arial" w:cs="Arial"/>
          <w:b/>
          <w:color w:val="231F20"/>
          <w:sz w:val="22"/>
          <w:szCs w:val="22"/>
        </w:rPr>
        <w:t>B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) Fluorescence images show the efficiency of AAV9-mediated expression of ANT2 and ANT2-K163R in the heart 14 days after tail vein injection.</w:t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Cs/>
          <w:color w:val="231F2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/>
          <w:color w:val="231F20"/>
          <w:sz w:val="22"/>
          <w:szCs w:val="22"/>
        </w:rPr>
      </w:pPr>
      <w:r>
        <w:rPr>
          <w:rFonts w:ascii="Arial" w:eastAsia="SimSun" w:hAnsi="Arial" w:cs="Arial"/>
          <w:b/>
          <w:noProof/>
          <w:color w:val="231F20"/>
          <w:sz w:val="22"/>
          <w:szCs w:val="22"/>
          <w:lang w:eastAsia="en-US"/>
        </w:rPr>
        <w:drawing>
          <wp:inline distT="0" distB="0" distL="0" distR="0" wp14:anchorId="03B0361D" wp14:editId="1A18A85D">
            <wp:extent cx="5759450" cy="2521585"/>
            <wp:effectExtent l="0" t="0" r="3175" b="2540"/>
            <wp:docPr id="51677186" name="Imag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77186" name="Image 18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521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  <w:r>
        <w:rPr>
          <w:rFonts w:ascii="Arial" w:eastAsia="SimSun" w:hAnsi="Arial" w:cs="Arial"/>
          <w:b/>
          <w:color w:val="231F20"/>
          <w:sz w:val="22"/>
          <w:szCs w:val="22"/>
        </w:rPr>
        <w:t>Fig. S1</w:t>
      </w:r>
      <w:r>
        <w:rPr>
          <w:rFonts w:ascii="Arial" w:eastAsia="SimSun" w:hAnsi="Arial" w:cs="Arial" w:hint="eastAsia"/>
          <w:b/>
          <w:color w:val="231F20"/>
          <w:sz w:val="22"/>
          <w:szCs w:val="22"/>
        </w:rPr>
        <w:t>1</w:t>
      </w: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. ANT2-K163R is less sensitive to lactylation modification. 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(</w:t>
      </w:r>
      <w:r>
        <w:rPr>
          <w:rFonts w:ascii="Arial" w:eastAsia="SimSun" w:hAnsi="Arial" w:cs="Arial"/>
          <w:b/>
          <w:color w:val="231F20"/>
          <w:sz w:val="22"/>
          <w:szCs w:val="22"/>
        </w:rPr>
        <w:t>A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) </w:t>
      </w:r>
      <w:r>
        <w:rPr>
          <w:rFonts w:ascii="Arial" w:eastAsia="SimSun" w:hAnsi="Arial" w:cs="Arial"/>
          <w:color w:val="000000"/>
          <w:sz w:val="22"/>
          <w:szCs w:val="22"/>
        </w:rPr>
        <w:t>Western blot analysis of lactylated ANT2 following immunoprecipitation of ANT2 in HEK293T cells</w:t>
      </w:r>
      <w:r>
        <w:rPr>
          <w:rFonts w:ascii="Arial" w:eastAsia="SimSun" w:hAnsi="Arial" w:cs="Arial" w:hint="eastAsia"/>
          <w:color w:val="000000"/>
          <w:sz w:val="22"/>
          <w:szCs w:val="22"/>
        </w:rPr>
        <w:t xml:space="preserve"> treated with Flag-Vector; Flag-ANT2; Flag-ANT2-K163R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. 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(</w:t>
      </w:r>
      <w:r>
        <w:rPr>
          <w:rFonts w:ascii="Arial" w:eastAsia="SimSun" w:hAnsi="Arial" w:cs="Arial"/>
          <w:b/>
          <w:color w:val="231F20"/>
          <w:sz w:val="22"/>
          <w:szCs w:val="22"/>
        </w:rPr>
        <w:t>B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) </w:t>
      </w:r>
      <w:r>
        <w:rPr>
          <w:rFonts w:ascii="Arial" w:eastAsia="SimSun" w:hAnsi="Arial" w:cs="Arial"/>
          <w:color w:val="000000"/>
          <w:sz w:val="22"/>
          <w:szCs w:val="22"/>
        </w:rPr>
        <w:t>Western blot analysis of lactylated ANT2 following immunoprecipitation of ANT2 in mouse myocardial tissues</w:t>
      </w:r>
      <w:r>
        <w:rPr>
          <w:rFonts w:ascii="Arial" w:eastAsia="SimSun" w:hAnsi="Arial" w:cs="Arial" w:hint="eastAsia"/>
          <w:color w:val="000000"/>
          <w:sz w:val="22"/>
          <w:szCs w:val="22"/>
        </w:rPr>
        <w:t xml:space="preserve"> treated with AAV9-Flag-Vector; AAV9-Flag-ANT2; AAV9-Flag-ANT2-K163R</w:t>
      </w:r>
      <w:r>
        <w:rPr>
          <w:rFonts w:ascii="Arial" w:eastAsia="SimSun" w:hAnsi="Arial" w:cs="Arial"/>
          <w:color w:val="000000"/>
          <w:sz w:val="22"/>
          <w:szCs w:val="22"/>
        </w:rPr>
        <w:t>. Note that ANT2-K163R shows reduced lactylation compared to ANT2.</w:t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/>
          <w:color w:val="231F20"/>
          <w:sz w:val="22"/>
          <w:szCs w:val="22"/>
        </w:rPr>
      </w:pPr>
      <w:r>
        <w:rPr>
          <w:rFonts w:ascii="Arial" w:eastAsia="SimSun" w:hAnsi="Arial" w:cs="Arial"/>
          <w:b/>
          <w:noProof/>
          <w:color w:val="231F20"/>
          <w:sz w:val="22"/>
          <w:szCs w:val="22"/>
          <w:lang w:eastAsia="en-US"/>
        </w:rPr>
        <w:lastRenderedPageBreak/>
        <w:drawing>
          <wp:inline distT="0" distB="0" distL="0" distR="0" wp14:anchorId="3EFFC99B" wp14:editId="75E626A2">
            <wp:extent cx="5759450" cy="1308735"/>
            <wp:effectExtent l="0" t="0" r="3175" b="5715"/>
            <wp:docPr id="25585068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850684" name="Image 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08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Cs/>
          <w:color w:val="231F20"/>
          <w:sz w:val="22"/>
          <w:szCs w:val="22"/>
        </w:rPr>
      </w:pP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Fig. </w:t>
      </w:r>
      <w:r>
        <w:rPr>
          <w:rFonts w:ascii="Arial" w:eastAsia="SimSun" w:hAnsi="Arial" w:cs="Arial" w:hint="eastAsia"/>
          <w:b/>
          <w:color w:val="231F20"/>
          <w:sz w:val="22"/>
          <w:szCs w:val="22"/>
        </w:rPr>
        <w:t>S</w:t>
      </w:r>
      <w:r>
        <w:rPr>
          <w:rFonts w:ascii="Arial" w:eastAsia="SimSun" w:hAnsi="Arial" w:cs="Arial"/>
          <w:b/>
          <w:color w:val="231F20"/>
          <w:sz w:val="22"/>
          <w:szCs w:val="22"/>
        </w:rPr>
        <w:t>1</w:t>
      </w:r>
      <w:r>
        <w:rPr>
          <w:rFonts w:ascii="Arial" w:eastAsia="SimSun" w:hAnsi="Arial" w:cs="Arial" w:hint="eastAsia"/>
          <w:b/>
          <w:color w:val="231F20"/>
          <w:sz w:val="22"/>
          <w:szCs w:val="22"/>
        </w:rPr>
        <w:t>2</w:t>
      </w: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. ANT2-K163R protects mitochondrial integrity in the myocardium. 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Overexpression of ANT2-K163R reduces the extent of mitochondrial defects induced by IR injury with or without </w:t>
      </w:r>
      <w:r>
        <w:rPr>
          <w:rFonts w:ascii="Arial" w:eastAsia="SimSun" w:hAnsi="Arial" w:cs="Arial"/>
          <w:bCs/>
          <w:i/>
          <w:iCs/>
          <w:color w:val="231F20"/>
          <w:sz w:val="22"/>
          <w:szCs w:val="22"/>
        </w:rPr>
        <w:t>Sirt5</w:t>
      </w:r>
      <w:r>
        <w:rPr>
          <w:rFonts w:ascii="Arial" w:eastAsia="SimSun" w:hAnsi="Arial" w:cs="Arial"/>
          <w:bCs/>
          <w:color w:val="231F20"/>
          <w:sz w:val="22"/>
          <w:szCs w:val="22"/>
        </w:rPr>
        <w:t xml:space="preserve"> conditional knockout.</w:t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bCs/>
          <w:color w:val="231F20"/>
          <w:sz w:val="22"/>
          <w:szCs w:val="22"/>
        </w:rPr>
      </w:pPr>
    </w:p>
    <w:p w:rsidR="00A87917" w:rsidRDefault="00A87917" w:rsidP="00A87917">
      <w:pPr>
        <w:spacing w:line="480" w:lineRule="auto"/>
        <w:ind w:right="-286"/>
        <w:jc w:val="center"/>
        <w:rPr>
          <w:rFonts w:ascii="Arial" w:eastAsia="SimSun" w:hAnsi="Arial" w:cs="Arial"/>
          <w:b/>
          <w:color w:val="231F20"/>
          <w:sz w:val="22"/>
          <w:szCs w:val="22"/>
        </w:rPr>
      </w:pPr>
      <w:r>
        <w:rPr>
          <w:rFonts w:ascii="Arial" w:eastAsia="SimSun" w:hAnsi="Arial" w:cs="Arial"/>
          <w:b/>
          <w:noProof/>
          <w:color w:val="231F20"/>
          <w:sz w:val="22"/>
          <w:szCs w:val="22"/>
          <w:lang w:eastAsia="en-US"/>
        </w:rPr>
        <w:drawing>
          <wp:inline distT="0" distB="0" distL="0" distR="0" wp14:anchorId="19650133" wp14:editId="52EBCE2E">
            <wp:extent cx="5050790" cy="4399280"/>
            <wp:effectExtent l="0" t="0" r="6985" b="1270"/>
            <wp:docPr id="177731145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311456" name="Image 1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5651" cy="4412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7917" w:rsidRDefault="00A87917" w:rsidP="00A87917">
      <w:pPr>
        <w:spacing w:line="480" w:lineRule="auto"/>
        <w:ind w:right="-286"/>
        <w:rPr>
          <w:rFonts w:ascii="Arial" w:eastAsia="SimSun" w:hAnsi="Arial" w:cs="Arial"/>
          <w:color w:val="000000"/>
          <w:sz w:val="22"/>
          <w:szCs w:val="22"/>
        </w:rPr>
      </w:pPr>
      <w:r>
        <w:rPr>
          <w:rFonts w:ascii="Arial" w:eastAsia="SimSun" w:hAnsi="Arial" w:cs="Arial"/>
          <w:b/>
          <w:color w:val="231F20"/>
          <w:sz w:val="22"/>
          <w:szCs w:val="22"/>
        </w:rPr>
        <w:t>Fig. S1</w:t>
      </w:r>
      <w:r>
        <w:rPr>
          <w:rFonts w:ascii="Arial" w:eastAsia="SimSun" w:hAnsi="Arial" w:cs="Arial" w:hint="eastAsia"/>
          <w:b/>
          <w:color w:val="231F20"/>
          <w:sz w:val="22"/>
          <w:szCs w:val="22"/>
        </w:rPr>
        <w:t>3</w:t>
      </w:r>
      <w:r>
        <w:rPr>
          <w:rFonts w:ascii="Arial" w:eastAsia="SimSun" w:hAnsi="Arial" w:cs="Arial"/>
          <w:b/>
          <w:color w:val="231F20"/>
          <w:sz w:val="22"/>
          <w:szCs w:val="22"/>
        </w:rPr>
        <w:t xml:space="preserve">. Regulation of ANT2 interaction with VDAC1 by Sirt5 activator and inhibitor. 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(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A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and 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B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) Co-IP shows that the Sirt5 activator MC3138 promotes the interaction of ANT2 with VDAC1 in HL-1 cells and mouse myocardial tissues, which is prevented by HR or IR. </w:t>
      </w:r>
      <w:r>
        <w:rPr>
          <w:rFonts w:ascii="Arial" w:eastAsia="SimSun" w:hAnsi="Arial" w:cs="Arial"/>
          <w:bCs/>
          <w:color w:val="231F20"/>
          <w:sz w:val="22"/>
          <w:szCs w:val="22"/>
        </w:rPr>
        <w:t>(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C</w:t>
      </w:r>
      <w:r>
        <w:rPr>
          <w:rFonts w:ascii="Arial" w:eastAsia="SimSun" w:hAnsi="Arial" w:cs="Arial"/>
          <w:color w:val="000000"/>
          <w:sz w:val="22"/>
          <w:szCs w:val="22"/>
        </w:rPr>
        <w:t xml:space="preserve"> and </w:t>
      </w:r>
      <w:r>
        <w:rPr>
          <w:rFonts w:ascii="Arial" w:eastAsia="SimSun" w:hAnsi="Arial" w:cs="Arial"/>
          <w:b/>
          <w:bCs/>
          <w:color w:val="000000"/>
          <w:sz w:val="22"/>
          <w:szCs w:val="22"/>
        </w:rPr>
        <w:t>D</w:t>
      </w:r>
      <w:r>
        <w:rPr>
          <w:rFonts w:ascii="Arial" w:eastAsia="SimSun" w:hAnsi="Arial" w:cs="Arial"/>
          <w:color w:val="000000"/>
          <w:sz w:val="22"/>
          <w:szCs w:val="22"/>
        </w:rPr>
        <w:t>) Co-IP shows that the Sirt5 inhibitor nicotinamide prevents the interaction of ANT2 with VDAC1 in HL-1 cells and mouse myocardial tissues, which is further reduced by HR or IR.</w:t>
      </w:r>
    </w:p>
    <w:p w:rsidR="00A87917" w:rsidRDefault="00A87917" w:rsidP="00A87917">
      <w:pPr>
        <w:spacing w:line="360" w:lineRule="auto"/>
        <w:rPr>
          <w:b/>
          <w:bCs/>
        </w:rPr>
      </w:pPr>
      <w:r>
        <w:rPr>
          <w:rFonts w:ascii="Arial" w:hAnsi="Arial" w:cs="Arial"/>
          <w:color w:val="000000"/>
          <w:sz w:val="20"/>
          <w:szCs w:val="22"/>
        </w:rPr>
        <w:lastRenderedPageBreak/>
        <w:t>Table S</w:t>
      </w:r>
      <w:r>
        <w:rPr>
          <w:rFonts w:ascii="Arial" w:hAnsi="Arial" w:cs="Arial" w:hint="eastAsia"/>
          <w:color w:val="000000"/>
          <w:sz w:val="20"/>
          <w:szCs w:val="22"/>
        </w:rPr>
        <w:t>1</w:t>
      </w:r>
      <w:r>
        <w:rPr>
          <w:rFonts w:ascii="Arial" w:hAnsi="Arial" w:cs="Arial"/>
          <w:color w:val="000000"/>
          <w:sz w:val="20"/>
          <w:szCs w:val="22"/>
        </w:rPr>
        <w:t xml:space="preserve">. </w:t>
      </w:r>
      <w:r>
        <w:rPr>
          <w:rFonts w:ascii="Arial" w:hAnsi="Arial" w:cs="Arial" w:hint="eastAsia"/>
          <w:color w:val="000000"/>
          <w:sz w:val="20"/>
          <w:szCs w:val="22"/>
        </w:rPr>
        <w:t>shRNA</w:t>
      </w:r>
      <w:r>
        <w:rPr>
          <w:rFonts w:ascii="Arial" w:hAnsi="Arial" w:cs="Arial"/>
          <w:color w:val="000000"/>
          <w:sz w:val="20"/>
          <w:szCs w:val="22"/>
        </w:rPr>
        <w:t xml:space="preserve"> target sequences used in this study.</w:t>
      </w:r>
    </w:p>
    <w:tbl>
      <w:tblPr>
        <w:tblW w:w="5399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280"/>
        <w:gridCol w:w="3119"/>
      </w:tblGrid>
      <w:tr w:rsidR="00A87917" w:rsidTr="00FB7117">
        <w:trPr>
          <w:trHeight w:val="160"/>
        </w:trPr>
        <w:tc>
          <w:tcPr>
            <w:tcW w:w="2280" w:type="dxa"/>
            <w:tcBorders>
              <w:top w:val="single" w:sz="4" w:space="0" w:color="auto"/>
            </w:tcBorders>
            <w:noWrap/>
            <w:vAlign w:val="center"/>
          </w:tcPr>
          <w:p w:rsidR="00A87917" w:rsidRDefault="00A87917" w:rsidP="00FB7117">
            <w:pPr>
              <w:spacing w:before="120" w:line="360" w:lineRule="auto"/>
              <w:jc w:val="lef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Sirt5-Mus-82</w:t>
            </w:r>
            <w:r>
              <w:rPr>
                <w:rFonts w:ascii="Arial" w:hAnsi="Arial" w:cs="Arial"/>
                <w:sz w:val="20"/>
                <w:szCs w:val="20"/>
              </w:rPr>
              <w:t xml:space="preserve"> (1)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</w:tcBorders>
            <w:noWrap/>
            <w:vAlign w:val="center"/>
          </w:tcPr>
          <w:p w:rsidR="00A87917" w:rsidRDefault="00A87917" w:rsidP="00FB7117">
            <w:pPr>
              <w:widowControl/>
              <w:spacing w:before="120" w:line="360" w:lineRule="auto"/>
              <w:ind w:left="-389" w:firstLine="389"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CCAGTTGTGTTGTAGACGA</w:t>
            </w:r>
          </w:p>
        </w:tc>
      </w:tr>
      <w:tr w:rsidR="00A87917" w:rsidTr="00FB7117">
        <w:trPr>
          <w:trHeight w:val="160"/>
        </w:trPr>
        <w:tc>
          <w:tcPr>
            <w:tcW w:w="2280" w:type="dxa"/>
            <w:noWrap/>
            <w:vAlign w:val="center"/>
          </w:tcPr>
          <w:p w:rsidR="00A87917" w:rsidRDefault="00A87917" w:rsidP="00FB7117">
            <w:pPr>
              <w:spacing w:before="120" w:line="360" w:lineRule="auto"/>
              <w:jc w:val="left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Sirt5-Mus-142</w:t>
            </w:r>
            <w:r>
              <w:rPr>
                <w:rFonts w:ascii="Arial" w:hAnsi="Arial" w:cs="Arial"/>
                <w:sz w:val="20"/>
                <w:szCs w:val="20"/>
              </w:rPr>
              <w:t xml:space="preserve"> (2)</w:t>
            </w:r>
          </w:p>
        </w:tc>
        <w:tc>
          <w:tcPr>
            <w:tcW w:w="3119" w:type="dxa"/>
            <w:tcBorders>
              <w:left w:val="nil"/>
            </w:tcBorders>
            <w:noWrap/>
            <w:vAlign w:val="center"/>
          </w:tcPr>
          <w:p w:rsidR="00A87917" w:rsidRDefault="00A87917" w:rsidP="00FB7117">
            <w:pPr>
              <w:widowControl/>
              <w:spacing w:before="120" w:line="360" w:lineRule="auto"/>
              <w:ind w:left="-389" w:firstLine="389"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GGCTCGTCCAAGTTCAAAT</w:t>
            </w:r>
          </w:p>
        </w:tc>
      </w:tr>
      <w:tr w:rsidR="00A87917" w:rsidTr="00FB7117">
        <w:trPr>
          <w:trHeight w:val="160"/>
        </w:trPr>
        <w:tc>
          <w:tcPr>
            <w:tcW w:w="2280" w:type="dxa"/>
            <w:noWrap/>
            <w:vAlign w:val="center"/>
          </w:tcPr>
          <w:p w:rsidR="00A87917" w:rsidRDefault="00A87917" w:rsidP="00FB7117">
            <w:pPr>
              <w:spacing w:before="120"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 w:hint="eastAsia"/>
                <w:sz w:val="20"/>
                <w:szCs w:val="20"/>
              </w:rPr>
              <w:t>Sirt5-Mus-313</w:t>
            </w:r>
            <w:r>
              <w:rPr>
                <w:rFonts w:ascii="Arial" w:hAnsi="Arial" w:cs="Arial"/>
                <w:sz w:val="20"/>
                <w:szCs w:val="20"/>
              </w:rPr>
              <w:t xml:space="preserve"> (3)</w:t>
            </w:r>
          </w:p>
        </w:tc>
        <w:tc>
          <w:tcPr>
            <w:tcW w:w="3119" w:type="dxa"/>
            <w:tcBorders>
              <w:left w:val="nil"/>
            </w:tcBorders>
            <w:noWrap/>
            <w:vAlign w:val="center"/>
          </w:tcPr>
          <w:p w:rsidR="00A87917" w:rsidRDefault="00A87917" w:rsidP="00FB7117">
            <w:pPr>
              <w:widowControl/>
              <w:spacing w:before="120" w:line="360" w:lineRule="auto"/>
              <w:ind w:left="-389" w:firstLine="389"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CTTTGCTCGAAACCCATCA</w:t>
            </w:r>
          </w:p>
        </w:tc>
      </w:tr>
      <w:tr w:rsidR="00A87917" w:rsidTr="00FB7117">
        <w:trPr>
          <w:trHeight w:val="160"/>
        </w:trPr>
        <w:tc>
          <w:tcPr>
            <w:tcW w:w="2280" w:type="dxa"/>
            <w:noWrap/>
            <w:vAlign w:val="center"/>
          </w:tcPr>
          <w:p w:rsidR="00A87917" w:rsidRDefault="00A87917" w:rsidP="00FB7117">
            <w:pPr>
              <w:spacing w:before="120"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/>
              </w:rPr>
              <w:t>SIRT5-Homo-826</w:t>
            </w:r>
          </w:p>
        </w:tc>
        <w:tc>
          <w:tcPr>
            <w:tcW w:w="3119" w:type="dxa"/>
            <w:tcBorders>
              <w:left w:val="nil"/>
            </w:tcBorders>
            <w:noWrap/>
            <w:vAlign w:val="center"/>
          </w:tcPr>
          <w:p w:rsidR="00A87917" w:rsidRDefault="00A87917" w:rsidP="00FB7117">
            <w:pPr>
              <w:widowControl/>
              <w:spacing w:before="120" w:line="360" w:lineRule="auto"/>
              <w:ind w:left="-389" w:firstLine="389"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GTGGCTGAGAATTACAAGAGT</w:t>
            </w:r>
          </w:p>
        </w:tc>
      </w:tr>
      <w:tr w:rsidR="00A87917" w:rsidTr="00FB7117">
        <w:trPr>
          <w:trHeight w:val="160"/>
        </w:trPr>
        <w:tc>
          <w:tcPr>
            <w:tcW w:w="2280" w:type="dxa"/>
            <w:noWrap/>
            <w:vAlign w:val="center"/>
          </w:tcPr>
          <w:p w:rsidR="00A87917" w:rsidRDefault="00A87917" w:rsidP="00FB7117">
            <w:pPr>
              <w:spacing w:before="120"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/>
              </w:rPr>
              <w:t>SIRT5-Homo-905</w:t>
            </w:r>
          </w:p>
        </w:tc>
        <w:tc>
          <w:tcPr>
            <w:tcW w:w="3119" w:type="dxa"/>
            <w:tcBorders>
              <w:left w:val="nil"/>
            </w:tcBorders>
            <w:noWrap/>
            <w:vAlign w:val="center"/>
          </w:tcPr>
          <w:p w:rsidR="00A87917" w:rsidRDefault="00A87917" w:rsidP="00FB7117">
            <w:pPr>
              <w:widowControl/>
              <w:spacing w:before="120" w:line="360" w:lineRule="auto"/>
              <w:ind w:left="-389" w:firstLine="389"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GCATCCCAGTTGAGAAACTTC</w:t>
            </w:r>
          </w:p>
        </w:tc>
      </w:tr>
      <w:tr w:rsidR="00A87917" w:rsidTr="00FB7117">
        <w:trPr>
          <w:trHeight w:val="160"/>
        </w:trPr>
        <w:tc>
          <w:tcPr>
            <w:tcW w:w="2280" w:type="dxa"/>
            <w:noWrap/>
            <w:vAlign w:val="center"/>
          </w:tcPr>
          <w:p w:rsidR="00A87917" w:rsidRDefault="00A87917" w:rsidP="00FB7117">
            <w:pPr>
              <w:spacing w:before="120" w:line="360" w:lineRule="auto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/>
              </w:rPr>
              <w:t>SIRT5-Homo-1153</w:t>
            </w:r>
          </w:p>
        </w:tc>
        <w:tc>
          <w:tcPr>
            <w:tcW w:w="3119" w:type="dxa"/>
            <w:tcBorders>
              <w:left w:val="nil"/>
            </w:tcBorders>
            <w:noWrap/>
            <w:vAlign w:val="center"/>
          </w:tcPr>
          <w:p w:rsidR="00A87917" w:rsidRDefault="00A87917" w:rsidP="00FB7117">
            <w:pPr>
              <w:widowControl/>
              <w:spacing w:before="120" w:line="360" w:lineRule="auto"/>
              <w:ind w:left="-389" w:firstLine="389"/>
              <w:jc w:val="left"/>
              <w:textAlignment w:val="center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GCTACGAACAGATTCAGGTT</w:t>
            </w:r>
          </w:p>
        </w:tc>
      </w:tr>
      <w:tr w:rsidR="00A87917" w:rsidTr="00FB7117">
        <w:trPr>
          <w:trHeight w:val="160"/>
        </w:trPr>
        <w:tc>
          <w:tcPr>
            <w:tcW w:w="2280" w:type="dxa"/>
            <w:tcBorders>
              <w:bottom w:val="single" w:sz="4" w:space="0" w:color="auto"/>
            </w:tcBorders>
            <w:noWrap/>
            <w:vAlign w:val="center"/>
          </w:tcPr>
          <w:p w:rsidR="00A87917" w:rsidRDefault="00A87917" w:rsidP="00FB7117">
            <w:pPr>
              <w:spacing w:before="120" w:line="360" w:lineRule="auto"/>
              <w:jc w:val="left"/>
            </w:pPr>
            <w:r>
              <w:t>sh-Ctrl</w:t>
            </w:r>
          </w:p>
        </w:tc>
        <w:tc>
          <w:tcPr>
            <w:tcW w:w="3119" w:type="dxa"/>
            <w:tcBorders>
              <w:left w:val="nil"/>
              <w:bottom w:val="single" w:sz="4" w:space="0" w:color="auto"/>
            </w:tcBorders>
            <w:noWrap/>
            <w:vAlign w:val="center"/>
          </w:tcPr>
          <w:p w:rsidR="00A87917" w:rsidRDefault="00A87917" w:rsidP="00FB7117">
            <w:pPr>
              <w:widowControl/>
              <w:spacing w:before="120" w:line="360" w:lineRule="auto"/>
              <w:ind w:left="-389" w:firstLine="389"/>
              <w:jc w:val="left"/>
              <w:textAlignment w:val="center"/>
            </w:pPr>
            <w:r>
              <w:rPr>
                <w:rFonts w:hint="eastAsia"/>
              </w:rPr>
              <w:t>TTCTCCGAACGTGTCACGT</w:t>
            </w:r>
          </w:p>
        </w:tc>
      </w:tr>
    </w:tbl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color w:val="000000"/>
          <w:sz w:val="20"/>
          <w:szCs w:val="22"/>
        </w:rPr>
      </w:pPr>
    </w:p>
    <w:p w:rsidR="00A87917" w:rsidRDefault="00A87917" w:rsidP="00A87917">
      <w:pPr>
        <w:widowControl/>
        <w:spacing w:line="480" w:lineRule="auto"/>
        <w:jc w:val="left"/>
        <w:rPr>
          <w:rFonts w:ascii="Arial" w:hAnsi="Arial" w:cs="Arial"/>
          <w:sz w:val="22"/>
          <w:szCs w:val="21"/>
        </w:rPr>
      </w:pPr>
    </w:p>
    <w:p w:rsidR="00A87917" w:rsidRDefault="00A87917" w:rsidP="00A87917">
      <w:pPr>
        <w:spacing w:line="480" w:lineRule="auto"/>
        <w:ind w:right="-286"/>
        <w:rPr>
          <w:rFonts w:ascii="Arial" w:eastAsia="AdvOT46dcae81" w:hAnsi="Arial" w:cs="Arial"/>
          <w:color w:val="000000"/>
          <w:sz w:val="22"/>
          <w:szCs w:val="22"/>
        </w:rPr>
      </w:pPr>
    </w:p>
    <w:p w:rsidR="00FE4EEA" w:rsidRPr="00A87917" w:rsidRDefault="00FE4EEA">
      <w:pPr>
        <w:rPr>
          <w:b/>
        </w:rPr>
      </w:pPr>
    </w:p>
    <w:sectPr w:rsidR="00FE4EEA" w:rsidRPr="00A87917">
      <w:footerReference w:type="even" r:id="rId17"/>
      <w:footerReference w:type="default" r:id="rId18"/>
      <w:pgSz w:w="11906" w:h="16838"/>
      <w:pgMar w:top="1418" w:right="1418" w:bottom="1418" w:left="1418" w:header="851" w:footer="992" w:gutter="0"/>
      <w:lnNumType w:countBy="1"/>
      <w:cols w:space="425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vOT46dcae81">
    <w:altName w:val="Cambria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auto"/>
    <w:pitch w:val="default"/>
    <w:sig w:usb0="00000000" w:usb1="00000000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1200751623"/>
    </w:sdtPr>
    <w:sdtEndPr>
      <w:rPr>
        <w:rStyle w:val="PageNumber"/>
      </w:rPr>
    </w:sdtEndPr>
    <w:sdtContent>
      <w:p w:rsidR="00694F0A" w:rsidRDefault="00A87917">
        <w:pPr>
          <w:pStyle w:val="Footer"/>
          <w:framePr w:wrap="auto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694F0A" w:rsidRDefault="00A879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PageNumber"/>
      </w:rPr>
      <w:id w:val="-1643266942"/>
    </w:sdtPr>
    <w:sdtEndPr>
      <w:rPr>
        <w:rStyle w:val="PageNumber"/>
      </w:rPr>
    </w:sdtEndPr>
    <w:sdtContent>
      <w:p w:rsidR="00694F0A" w:rsidRDefault="00A87917">
        <w:pPr>
          <w:pStyle w:val="Footer"/>
          <w:framePr w:wrap="auto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6</w:t>
        </w:r>
        <w:r>
          <w:rPr>
            <w:rStyle w:val="PageNumber"/>
          </w:rPr>
          <w:fldChar w:fldCharType="end"/>
        </w:r>
      </w:p>
    </w:sdtContent>
  </w:sdt>
  <w:p w:rsidR="00694F0A" w:rsidRDefault="00A8791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7917"/>
    <w:rsid w:val="00A87917"/>
    <w:rsid w:val="00FE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1527F2-71AE-4624-99A7-024DBA59E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56" w:line="259" w:lineRule="auto"/>
        <w:ind w:left="1353" w:hanging="1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7917"/>
    <w:pPr>
      <w:widowControl w:val="0"/>
      <w:spacing w:after="0" w:line="240" w:lineRule="auto"/>
      <w:ind w:left="0" w:firstLine="0"/>
      <w:jc w:val="both"/>
    </w:pPr>
    <w:rPr>
      <w:rFonts w:eastAsiaTheme="minorEastAsia"/>
      <w:kern w:val="2"/>
      <w:sz w:val="21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qFormat/>
    <w:rsid w:val="00A8791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qFormat/>
    <w:rsid w:val="00A87917"/>
    <w:rPr>
      <w:rFonts w:eastAsiaTheme="minorEastAsia"/>
      <w:kern w:val="2"/>
      <w:sz w:val="21"/>
      <w:szCs w:val="24"/>
      <w:lang w:eastAsia="zh-CN"/>
    </w:rPr>
  </w:style>
  <w:style w:type="character" w:styleId="PageNumber">
    <w:name w:val="page number"/>
    <w:basedOn w:val="DefaultParagraphFont"/>
    <w:qFormat/>
    <w:rsid w:val="00A87917"/>
  </w:style>
  <w:style w:type="character" w:styleId="LineNumber">
    <w:name w:val="line number"/>
    <w:basedOn w:val="DefaultParagraphFont"/>
    <w:uiPriority w:val="99"/>
    <w:semiHidden/>
    <w:unhideWhenUsed/>
    <w:rsid w:val="00A879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tiff"/><Relationship Id="rId15" Type="http://schemas.openxmlformats.org/officeDocument/2006/relationships/image" Target="media/image12.png"/><Relationship Id="rId10" Type="http://schemas.openxmlformats.org/officeDocument/2006/relationships/image" Target="media/image7.jpeg"/><Relationship Id="rId19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1055</Words>
  <Characters>6017</Characters>
  <Application>Microsoft Office Word</Application>
  <DocSecurity>0</DocSecurity>
  <Lines>50</Lines>
  <Paragraphs>14</Paragraphs>
  <ScaleCrop>false</ScaleCrop>
  <Company/>
  <LinksUpToDate>false</LinksUpToDate>
  <CharactersWithSpaces>7058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Bajar, Kimberly</dc:creator>
  <cp:keywords/>
  <dc:description/>
  <cp:lastModifiedBy>Bajar, Kimberly</cp:lastModifiedBy>
  <cp:revision>1</cp:revision>
  <dcterms:created xsi:type="dcterms:W3CDTF">2026-07-06T23:15:00Z</dcterms:created>
  <dcterms:modified xsi:type="dcterms:W3CDTF">2026-07-06T23:15:00Z</dcterms:modified>
</cp:coreProperties>
</file>