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0E4DB">
      <w:pPr>
        <w:spacing w:line="480" w:lineRule="auto"/>
        <w:rPr>
          <w:rFonts w:hint="eastAsia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</w:rPr>
        <w:t xml:space="preserve">Hepatocyte CD146 and soluble CD146 promote hepatic stellate cell activation via the integrin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αvβ1–p38 MAPK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</w:rPr>
        <w:t xml:space="preserve"> signaling axis to drive liver fibrosis</w:t>
      </w:r>
    </w:p>
    <w:p w14:paraId="59576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  <w:t>Table S1. Etiological distribution of 246 patients with chronic liver disease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7"/>
        <w:gridCol w:w="7087"/>
      </w:tblGrid>
      <w:tr w14:paraId="17075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  <w:tl2br w:val="nil"/>
            </w:tcBorders>
            <w:shd w:val="clear" w:color="auto" w:fill="91ACE0"/>
            <w:vAlign w:val="center"/>
          </w:tcPr>
          <w:p w14:paraId="21052284">
            <w:pPr>
              <w:jc w:val="center"/>
              <w:rPr>
                <w:rFonts w:hint="eastAsia" w:ascii="Times New Roman" w:hAnsi="Times New Roman" w:eastAsia="宋体" w:cs="宋体"/>
                <w:b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color w:val="000000"/>
                <w:sz w:val="21"/>
                <w:szCs w:val="21"/>
                <w:vertAlign w:val="baseline"/>
                <w:lang w:val="en-US" w:eastAsia="zh-CN"/>
              </w:rPr>
              <w:t>Etiology</w:t>
            </w:r>
          </w:p>
        </w:tc>
        <w:tc>
          <w:tcPr>
            <w:tcW w:w="2500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  <w:vAlign w:val="center"/>
          </w:tcPr>
          <w:p w14:paraId="50B3FD1D">
            <w:pPr>
              <w:jc w:val="center"/>
              <w:rPr>
                <w:rFonts w:hint="eastAsia" w:ascii="Times New Roman" w:hAnsi="Times New Roman" w:eastAsia="宋体" w:cs="宋体"/>
                <w:b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color w:val="000000"/>
                <w:sz w:val="21"/>
                <w:szCs w:val="21"/>
                <w:vertAlign w:val="baseline"/>
                <w:lang w:val="en-US" w:eastAsia="zh-CN"/>
              </w:rPr>
              <w:t>n (%)</w:t>
            </w:r>
          </w:p>
        </w:tc>
      </w:tr>
      <w:tr w14:paraId="35BD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E4CEA">
            <w:pPr>
              <w:jc w:val="center"/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HBV</w:t>
            </w:r>
          </w:p>
        </w:tc>
        <w:tc>
          <w:tcPr>
            <w:tcW w:w="2500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4FE66">
            <w:pPr>
              <w:jc w:val="center"/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55</w:t>
            </w: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63.01</w:t>
            </w: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)</w:t>
            </w:r>
          </w:p>
        </w:tc>
      </w:tr>
      <w:tr w14:paraId="2F023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F979D">
            <w:pPr>
              <w:jc w:val="center"/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ALD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C3B61">
            <w:pPr>
              <w:jc w:val="center"/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21</w:t>
            </w: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8.54</w:t>
            </w: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)</w:t>
            </w:r>
          </w:p>
        </w:tc>
      </w:tr>
      <w:tr w14:paraId="33CE2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66A85">
            <w:pPr>
              <w:jc w:val="center"/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Cholestatic liver diseases (PBC/PSC)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C93D2">
            <w:pPr>
              <w:jc w:val="center"/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9.76</w:t>
            </w: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)</w:t>
            </w:r>
          </w:p>
        </w:tc>
      </w:tr>
      <w:tr w14:paraId="4458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8808F">
            <w:pPr>
              <w:jc w:val="center"/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MASLD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5A8D8">
            <w:pPr>
              <w:jc w:val="center"/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7 (</w:t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6.91</w:t>
            </w: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)</w:t>
            </w:r>
          </w:p>
        </w:tc>
      </w:tr>
      <w:tr w14:paraId="1258D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16341">
            <w:pPr>
              <w:jc w:val="center"/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AIH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65B7C">
            <w:pPr>
              <w:jc w:val="center"/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13</w:t>
            </w: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5.28</w:t>
            </w: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)</w:t>
            </w:r>
          </w:p>
        </w:tc>
      </w:tr>
      <w:tr w14:paraId="0B673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vAlign w:val="center"/>
          </w:tcPr>
          <w:p w14:paraId="3C28AB28">
            <w:pPr>
              <w:jc w:val="center"/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DILI</w:t>
            </w:r>
          </w:p>
        </w:tc>
        <w:tc>
          <w:tcPr>
            <w:tcW w:w="2500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vAlign w:val="center"/>
          </w:tcPr>
          <w:p w14:paraId="193511F1">
            <w:pPr>
              <w:jc w:val="center"/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16</w:t>
            </w: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6.50</w:t>
            </w: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)</w:t>
            </w:r>
          </w:p>
        </w:tc>
      </w:tr>
    </w:tbl>
    <w:p w14:paraId="545AD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宋体"/>
          <w:sz w:val="21"/>
          <w:szCs w:val="21"/>
        </w:rPr>
      </w:pPr>
      <w:r>
        <w:rPr>
          <w:rFonts w:ascii="Times New Roman" w:hAnsi="Times New Roman" w:eastAsia="宋体" w:cs="宋体"/>
          <w:b w:val="0"/>
          <w:bCs w:val="0"/>
          <w:sz w:val="21"/>
          <w:szCs w:val="21"/>
        </w:rPr>
        <w:t xml:space="preserve">Abbreviations: </w:t>
      </w:r>
      <w:r>
        <w:rPr>
          <w:rFonts w:ascii="Times New Roman" w:hAnsi="Times New Roman" w:eastAsia="宋体" w:cs="宋体"/>
          <w:sz w:val="21"/>
          <w:szCs w:val="21"/>
        </w:rPr>
        <w:t>HBV, hepatitis B virus; ALD, alcohol-associated liver disease; PBC, primary biliary cholangitis; PSC, primary sclerosing cholangitis; MASLD, metabolic dysfunction–associated steatotic liver disease; AIH, autoimmune hepatitis; DILI, drug-induced liver injury.</w:t>
      </w:r>
    </w:p>
    <w:p w14:paraId="042E8D0D">
      <w:pPr>
        <w:rPr>
          <w:rFonts w:ascii="Times New Roman" w:hAnsi="Times New Roman" w:eastAsia="宋体" w:cs="宋体"/>
          <w:sz w:val="21"/>
          <w:szCs w:val="21"/>
        </w:rPr>
      </w:pPr>
    </w:p>
    <w:p w14:paraId="38118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宋体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1"/>
          <w:szCs w:val="21"/>
          <w:lang w:val="en-US" w:eastAsia="zh-CN"/>
        </w:rPr>
        <w:t>Table S2. Comparison of sCD146 levels between viral and non-viral etiologies</w:t>
      </w:r>
    </w:p>
    <w:tbl>
      <w:tblPr>
        <w:tblStyle w:val="4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1601"/>
        <w:gridCol w:w="4419"/>
        <w:gridCol w:w="4419"/>
        <w:gridCol w:w="1324"/>
      </w:tblGrid>
      <w:tr w14:paraId="357CF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7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  <w:tl2br w:val="nil"/>
            </w:tcBorders>
            <w:shd w:val="clear" w:color="auto" w:fill="91ACE0"/>
            <w:vAlign w:val="center"/>
          </w:tcPr>
          <w:p w14:paraId="7A605FC5">
            <w:pPr>
              <w:jc w:val="center"/>
              <w:rPr>
                <w:rFonts w:hint="default" w:ascii="Times New Roman" w:hAnsi="Times New Roman" w:eastAsia="宋体" w:cs="宋体"/>
                <w:b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/>
                <w:color w:val="000000"/>
                <w:sz w:val="21"/>
                <w:szCs w:val="21"/>
                <w:vertAlign w:val="baseline"/>
                <w:lang w:val="en-US" w:eastAsia="zh-CN"/>
              </w:rPr>
              <w:t>Stratum</w:t>
            </w:r>
          </w:p>
        </w:tc>
        <w:tc>
          <w:tcPr>
            <w:tcW w:w="565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  <w:vAlign w:val="center"/>
          </w:tcPr>
          <w:p w14:paraId="21B3A24D">
            <w:pPr>
              <w:jc w:val="center"/>
              <w:rPr>
                <w:rFonts w:hint="eastAsia" w:ascii="Times New Roman" w:hAnsi="Times New Roman" w:eastAsia="宋体" w:cs="宋体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color w:val="000000"/>
                <w:sz w:val="21"/>
                <w:szCs w:val="21"/>
                <w:lang w:val="en-US" w:eastAsia="zh-CN"/>
              </w:rPr>
              <w:t>Total (n)</w:t>
            </w:r>
          </w:p>
        </w:tc>
        <w:tc>
          <w:tcPr>
            <w:tcW w:w="1559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  <w:vAlign w:val="center"/>
          </w:tcPr>
          <w:p w14:paraId="42108F82">
            <w:pPr>
              <w:jc w:val="center"/>
              <w:rPr>
                <w:rFonts w:hint="eastAsia" w:ascii="Times New Roman" w:hAnsi="Times New Roman" w:eastAsia="宋体" w:cs="宋体"/>
                <w:b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b/>
                <w:color w:val="000000"/>
                <w:sz w:val="21"/>
                <w:szCs w:val="21"/>
              </w:rPr>
              <w:t>sCD146 in viral etiology (ng/mL)</w:t>
            </w:r>
          </w:p>
        </w:tc>
        <w:tc>
          <w:tcPr>
            <w:tcW w:w="1559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  <w:vAlign w:val="center"/>
          </w:tcPr>
          <w:p w14:paraId="5D7B53F9">
            <w:pPr>
              <w:jc w:val="center"/>
              <w:rPr>
                <w:rFonts w:hint="default" w:ascii="Times New Roman" w:hAnsi="Times New Roman" w:eastAsia="宋体" w:cs="宋体"/>
                <w:b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/>
                <w:color w:val="000000"/>
                <w:sz w:val="21"/>
                <w:szCs w:val="21"/>
                <w:lang w:val="en-US" w:eastAsia="zh-CN"/>
              </w:rPr>
              <w:t>sCD146 in non-viral etiology (ng/mL)</w:t>
            </w:r>
          </w:p>
        </w:tc>
        <w:tc>
          <w:tcPr>
            <w:tcW w:w="467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  <w:vAlign w:val="center"/>
          </w:tcPr>
          <w:p w14:paraId="2BBD7B6C">
            <w:pPr>
              <w:jc w:val="center"/>
              <w:rPr>
                <w:rFonts w:hint="default" w:ascii="Times New Roman" w:hAnsi="Times New Roman" w:eastAsia="宋体" w:cs="宋体"/>
                <w:b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i/>
                <w:iCs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宋体"/>
                <w:b/>
                <w:color w:val="000000"/>
                <w:sz w:val="21"/>
                <w:szCs w:val="21"/>
                <w:vertAlign w:val="baseline"/>
                <w:lang w:val="en-US" w:eastAsia="zh-CN"/>
              </w:rPr>
              <w:t>value</w:t>
            </w:r>
          </w:p>
        </w:tc>
      </w:tr>
      <w:tr w14:paraId="3348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7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5E675">
            <w:pPr>
              <w:jc w:val="center"/>
              <w:rPr>
                <w:rFonts w:hint="default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Overall</w:t>
            </w:r>
          </w:p>
        </w:tc>
        <w:tc>
          <w:tcPr>
            <w:tcW w:w="565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513F7">
            <w:pPr>
              <w:jc w:val="center"/>
              <w:rPr>
                <w:rFonts w:hint="default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246</w:t>
            </w:r>
          </w:p>
        </w:tc>
        <w:tc>
          <w:tcPr>
            <w:tcW w:w="1559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F0896">
            <w:pPr>
              <w:jc w:val="center"/>
              <w:rPr>
                <w:rFonts w:hint="default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477.80 (398.78, 619.41)</w:t>
            </w:r>
          </w:p>
        </w:tc>
        <w:tc>
          <w:tcPr>
            <w:tcW w:w="1559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A7649">
            <w:pPr>
              <w:jc w:val="center"/>
              <w:rPr>
                <w:rFonts w:hint="default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458.17 (380.70, 683.21)</w:t>
            </w:r>
          </w:p>
        </w:tc>
        <w:tc>
          <w:tcPr>
            <w:tcW w:w="467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47B56">
            <w:pPr>
              <w:jc w:val="center"/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0.819</w:t>
            </w:r>
          </w:p>
        </w:tc>
      </w:tr>
      <w:tr w14:paraId="3C54E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A8A07">
            <w:pPr>
              <w:jc w:val="center"/>
              <w:rPr>
                <w:rFonts w:hint="eastAsia" w:ascii="Times New Roman" w:hAnsi="Times New Roman" w:eastAsia="宋体" w:cs="宋体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Compensated cirrhosi</w:t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s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C2E88">
            <w:pPr>
              <w:jc w:val="center"/>
              <w:rPr>
                <w:rFonts w:hint="eastAsia" w:ascii="Times New Roman" w:hAnsi="Times New Roman" w:eastAsia="宋体" w:cs="宋体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67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FCFF0">
            <w:pPr>
              <w:jc w:val="center"/>
              <w:rPr>
                <w:rFonts w:hint="eastAsia" w:ascii="Times New Roman" w:hAnsi="Times New Roman" w:eastAsia="宋体" w:cs="宋体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531.23 (455.68, 700.73)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D72E9">
            <w:pPr>
              <w:jc w:val="center"/>
              <w:rPr>
                <w:rFonts w:hint="eastAsia" w:ascii="Times New Roman" w:hAnsi="Times New Roman" w:eastAsia="宋体" w:cs="宋体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550.07 (409.61, 901.58)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9D4EB">
            <w:pPr>
              <w:jc w:val="center"/>
              <w:rPr>
                <w:rFonts w:hint="eastAsia" w:ascii="Times New Roman" w:hAnsi="Times New Roman" w:eastAsia="宋体" w:cs="宋体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0.838</w:t>
            </w:r>
          </w:p>
        </w:tc>
      </w:tr>
      <w:tr w14:paraId="66B56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7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vAlign w:val="center"/>
          </w:tcPr>
          <w:p w14:paraId="561269BD">
            <w:pPr>
              <w:jc w:val="center"/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b w:val="0"/>
                <w:color w:val="000000"/>
                <w:sz w:val="21"/>
                <w:szCs w:val="21"/>
              </w:rPr>
              <w:t>Decompensated cirrhosis</w:t>
            </w:r>
          </w:p>
        </w:tc>
        <w:tc>
          <w:tcPr>
            <w:tcW w:w="565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vAlign w:val="center"/>
          </w:tcPr>
          <w:p w14:paraId="0912DDCA">
            <w:pPr>
              <w:jc w:val="center"/>
              <w:rPr>
                <w:rFonts w:hint="default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1559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vAlign w:val="center"/>
          </w:tcPr>
          <w:p w14:paraId="1A43006C">
            <w:pPr>
              <w:jc w:val="center"/>
              <w:rPr>
                <w:rFonts w:hint="eastAsia" w:ascii="Times New Roman" w:hAnsi="Times New Roman" w:eastAsia="宋体" w:cs="宋体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840.23 (563.60, 1030.94)</w:t>
            </w:r>
          </w:p>
        </w:tc>
        <w:tc>
          <w:tcPr>
            <w:tcW w:w="1559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vAlign w:val="center"/>
          </w:tcPr>
          <w:p w14:paraId="4AC99CED">
            <w:pPr>
              <w:jc w:val="center"/>
              <w:rPr>
                <w:rFonts w:hint="eastAsia" w:ascii="Times New Roman" w:hAnsi="Times New Roman" w:eastAsia="宋体" w:cs="宋体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783.65 (618.85, 930.16)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vAlign w:val="center"/>
          </w:tcPr>
          <w:p w14:paraId="7F4D5C12">
            <w:pPr>
              <w:jc w:val="center"/>
              <w:rPr>
                <w:rFonts w:hint="eastAsia" w:ascii="Times New Roman" w:hAnsi="Times New Roman" w:eastAsia="宋体" w:cs="宋体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0.609</w:t>
            </w:r>
          </w:p>
        </w:tc>
      </w:tr>
    </w:tbl>
    <w:p w14:paraId="411A0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宋体"/>
          <w:sz w:val="21"/>
          <w:szCs w:val="21"/>
        </w:rPr>
      </w:pPr>
      <w:r>
        <w:rPr>
          <w:rFonts w:ascii="Times New Roman" w:hAnsi="Times New Roman" w:eastAsia="宋体" w:cs="宋体"/>
          <w:sz w:val="21"/>
          <w:szCs w:val="21"/>
        </w:rPr>
        <w:t>Note: Data are presented as median (interquartile range, IQR). P values were calculated using the Mann–Whitney U test for comparisons between viral and non-viral etiology groups within each stratum.</w:t>
      </w:r>
    </w:p>
    <w:p w14:paraId="66B86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ascii="Times New Roman" w:hAnsi="Times New Roman" w:eastAsia="宋体" w:cs="宋体"/>
          <w:b w:val="0"/>
          <w:bCs w:val="0"/>
          <w:sz w:val="21"/>
          <w:szCs w:val="21"/>
        </w:rPr>
        <w:t xml:space="preserve">Abbreviations: </w:t>
      </w:r>
      <w:r>
        <w:rPr>
          <w:rFonts w:hint="eastAsia" w:ascii="Times New Roman" w:hAnsi="Times New Roman" w:eastAsia="宋体"/>
          <w:sz w:val="21"/>
          <w:szCs w:val="21"/>
        </w:rPr>
        <w:t>sCD146, soluble CD146</w:t>
      </w:r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>.</w:t>
      </w:r>
    </w:p>
    <w:p w14:paraId="00771A36">
      <w:pPr>
        <w:rPr>
          <w:rFonts w:hint="default" w:ascii="Times New Roman" w:hAnsi="Times New Roman" w:eastAsia="宋体" w:cs="宋体"/>
          <w:sz w:val="21"/>
          <w:szCs w:val="21"/>
          <w:lang w:val="en-US" w:eastAsia="zh-CN"/>
        </w:rPr>
      </w:pPr>
    </w:p>
    <w:p w14:paraId="1DF64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/>
          <w:b/>
          <w:bCs/>
          <w:sz w:val="21"/>
          <w:szCs w:val="21"/>
        </w:rPr>
      </w:pPr>
      <w:r>
        <w:rPr>
          <w:rFonts w:ascii="Times New Roman" w:hAnsi="Times New Roman" w:eastAsia="宋体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  <w:t>S3</w:t>
      </w:r>
      <w:r>
        <w:rPr>
          <w:rFonts w:ascii="Times New Roman" w:hAnsi="Times New Roman" w:eastAsia="宋体"/>
          <w:b/>
          <w:bCs/>
          <w:sz w:val="21"/>
          <w:szCs w:val="21"/>
        </w:rPr>
        <w:t>. Diagnostic performance of sCD146 across stages of chronic liver disease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4"/>
        <w:gridCol w:w="2421"/>
        <w:gridCol w:w="2243"/>
        <w:gridCol w:w="2030"/>
        <w:gridCol w:w="2019"/>
        <w:gridCol w:w="2041"/>
      </w:tblGrid>
      <w:tr w14:paraId="5AFE3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4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  <w:tl2br w:val="nil"/>
            </w:tcBorders>
            <w:shd w:val="clear" w:color="auto" w:fill="91ACE0"/>
          </w:tcPr>
          <w:p w14:paraId="1D1CF80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Stage</w:t>
            </w:r>
          </w:p>
        </w:tc>
        <w:tc>
          <w:tcPr>
            <w:tcW w:w="854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</w:tcPr>
          <w:p w14:paraId="6D99D07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AUC (95% CI)</w:t>
            </w:r>
          </w:p>
        </w:tc>
        <w:tc>
          <w:tcPr>
            <w:tcW w:w="791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</w:tcPr>
          <w:p w14:paraId="5A6C3888">
            <w:pPr>
              <w:jc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sz w:val="21"/>
                <w:szCs w:val="21"/>
              </w:rPr>
              <w:t>Cutoff (ng/mL)</w:t>
            </w:r>
          </w:p>
        </w:tc>
        <w:tc>
          <w:tcPr>
            <w:tcW w:w="716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</w:tcPr>
          <w:p w14:paraId="3F3C1C0B">
            <w:pPr>
              <w:jc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sz w:val="21"/>
                <w:szCs w:val="21"/>
              </w:rPr>
              <w:t>Sensitivity (%)</w:t>
            </w:r>
          </w:p>
        </w:tc>
        <w:tc>
          <w:tcPr>
            <w:tcW w:w="712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</w:tcPr>
          <w:p w14:paraId="59EC734C">
            <w:pPr>
              <w:jc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sz w:val="21"/>
                <w:szCs w:val="21"/>
              </w:rPr>
              <w:t>Specificity (%)</w:t>
            </w:r>
          </w:p>
        </w:tc>
        <w:tc>
          <w:tcPr>
            <w:tcW w:w="720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</w:tcPr>
          <w:p w14:paraId="1ED1ED12">
            <w:pPr>
              <w:jc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sz w:val="21"/>
                <w:szCs w:val="21"/>
              </w:rPr>
              <w:t>Youden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b/>
                <w:bCs/>
                <w:sz w:val="21"/>
                <w:szCs w:val="21"/>
              </w:rPr>
              <w:t>index</w:t>
            </w:r>
          </w:p>
        </w:tc>
      </w:tr>
      <w:tr w14:paraId="69F8A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4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</w:tcPr>
          <w:p w14:paraId="362AB58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Chronic hepatitis</w:t>
            </w:r>
          </w:p>
        </w:tc>
        <w:tc>
          <w:tcPr>
            <w:tcW w:w="854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</w:tcPr>
          <w:p w14:paraId="2237F9B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0.574 (0.479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0.669)</w:t>
            </w:r>
          </w:p>
        </w:tc>
        <w:tc>
          <w:tcPr>
            <w:tcW w:w="791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</w:tcPr>
          <w:p w14:paraId="0851851D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396.0</w:t>
            </w:r>
          </w:p>
        </w:tc>
        <w:tc>
          <w:tcPr>
            <w:tcW w:w="716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</w:tcPr>
          <w:p w14:paraId="68621C97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56.18</w:t>
            </w:r>
          </w:p>
        </w:tc>
        <w:tc>
          <w:tcPr>
            <w:tcW w:w="712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</w:tcPr>
          <w:p w14:paraId="37D5506E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61.11</w:t>
            </w:r>
          </w:p>
        </w:tc>
        <w:tc>
          <w:tcPr>
            <w:tcW w:w="720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</w:tcPr>
          <w:p w14:paraId="54BBAAC6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0.1729</w:t>
            </w:r>
          </w:p>
        </w:tc>
      </w:tr>
      <w:tr w14:paraId="522A4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D6B4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Liver fibrosis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62145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0.689 (0.600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0.777)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BF0C2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389.2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C09D45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80.95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D416F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52.45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A11C3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0.3340</w:t>
            </w:r>
          </w:p>
        </w:tc>
      </w:tr>
      <w:tr w14:paraId="56EBE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952F4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Compensated cirrhosis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2D5C1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0.794 (0.723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0.866)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2F8CFD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451.1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CB9C08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74.63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201312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77.84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F169D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0.5247</w:t>
            </w:r>
          </w:p>
        </w:tc>
      </w:tr>
      <w:tr w14:paraId="25A8A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4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</w:tcPr>
          <w:p w14:paraId="03CC51C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Decompensated cirrhosis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</w:tcPr>
          <w:p w14:paraId="6E00743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0.842 (0.775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0.910)</w:t>
            </w:r>
          </w:p>
        </w:tc>
        <w:tc>
          <w:tcPr>
            <w:tcW w:w="791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</w:tcPr>
          <w:p w14:paraId="2D22CDBF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573.8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</w:tcPr>
          <w:p w14:paraId="35BA49A0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75.00</w:t>
            </w:r>
          </w:p>
        </w:tc>
        <w:tc>
          <w:tcPr>
            <w:tcW w:w="712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</w:tcPr>
          <w:p w14:paraId="09D84263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86.51</w:t>
            </w:r>
          </w:p>
        </w:tc>
        <w:tc>
          <w:tcPr>
            <w:tcW w:w="720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</w:tcPr>
          <w:p w14:paraId="0EDDAB8C">
            <w:pPr>
              <w:jc w:val="center"/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0.6151</w:t>
            </w:r>
          </w:p>
        </w:tc>
      </w:tr>
    </w:tbl>
    <w:p w14:paraId="5391C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Note: AUC, area under the receiver operating characteristic curve; CI, confidence interval. The optimal cutoff value was determined by maximizing the Youden index (sensitivity + specificity − 1). </w:t>
      </w:r>
    </w:p>
    <w:p w14:paraId="65D8E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 w:cs="Times New Roman"/>
          <w:sz w:val="21"/>
          <w:szCs w:val="21"/>
        </w:rPr>
      </w:pPr>
    </w:p>
    <w:p w14:paraId="75B1F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  <w:t>Table S4. Diagnostic performance of non-invasive models for decompensated cirrhosis</w:t>
      </w:r>
    </w:p>
    <w:tbl>
      <w:tblPr>
        <w:tblStyle w:val="8"/>
        <w:tblpPr w:leftFromText="180" w:rightFromText="180" w:vertAnchor="text" w:horzAnchor="page" w:tblpXSpec="center" w:tblpY="61"/>
        <w:tblOverlap w:val="never"/>
        <w:tblW w:w="4994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1"/>
        <w:gridCol w:w="5095"/>
        <w:gridCol w:w="4591"/>
      </w:tblGrid>
      <w:tr w14:paraId="1472473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9" w:type="pct"/>
            <w:tcBorders>
              <w:top w:val="single" w:color="4874CB" w:sz="12" w:space="0"/>
              <w:bottom w:val="single" w:color="4874CB" w:sz="4" w:space="0"/>
              <w:insideH w:val="single" w:sz="4" w:space="0"/>
              <w:tl2br w:val="nil"/>
            </w:tcBorders>
            <w:shd w:val="clear" w:color="auto" w:fill="91ACE0"/>
            <w:vAlign w:val="center"/>
          </w:tcPr>
          <w:p w14:paraId="47B6E0A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  <w:t>Model/Index</w:t>
            </w:r>
          </w:p>
        </w:tc>
        <w:tc>
          <w:tcPr>
            <w:tcW w:w="1799" w:type="pct"/>
            <w:tcBorders>
              <w:top w:val="single" w:color="4874CB" w:sz="12" w:space="0"/>
              <w:bottom w:val="single" w:color="4874CB" w:sz="4" w:space="0"/>
              <w:insideH w:val="single" w:sz="4" w:space="0"/>
            </w:tcBorders>
            <w:shd w:val="clear" w:color="auto" w:fill="91ACE0"/>
          </w:tcPr>
          <w:p w14:paraId="03B09AF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</w:rPr>
              <w:t>AUC (95% CI)</w:t>
            </w:r>
          </w:p>
        </w:tc>
        <w:tc>
          <w:tcPr>
            <w:tcW w:w="1621" w:type="pct"/>
            <w:tcBorders>
              <w:top w:val="single" w:color="4874CB" w:sz="12" w:space="0"/>
              <w:bottom w:val="single" w:color="4874CB" w:sz="4" w:space="0"/>
              <w:insideH w:val="single" w:sz="4" w:space="0"/>
            </w:tcBorders>
            <w:shd w:val="clear" w:color="auto" w:fill="91ACE0"/>
          </w:tcPr>
          <w:p w14:paraId="6D5807F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 w:val="0"/>
                <w:color w:val="000000"/>
                <w:sz w:val="21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i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1"/>
                <w:szCs w:val="21"/>
                <w:lang w:val="en-US" w:eastAsia="zh-CN"/>
              </w:rPr>
              <w:t>v</w:t>
            </w:r>
            <w:r>
              <w:rPr>
                <w:rFonts w:ascii="Times New Roman" w:hAnsi="Times New Roman" w:eastAsia="宋体" w:cs="Times New Roman"/>
                <w:b/>
                <w:bCs/>
                <w:iCs/>
                <w:color w:val="000000"/>
                <w:sz w:val="21"/>
                <w:szCs w:val="21"/>
              </w:rPr>
              <w:t>alue</w:t>
            </w:r>
          </w:p>
        </w:tc>
      </w:tr>
      <w:tr w14:paraId="0E5023C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9" w:type="pct"/>
            <w:tcBorders>
              <w:top w:val="single" w:color="4874CB" w:sz="4" w:space="0"/>
            </w:tcBorders>
            <w:shd w:val="clear" w:color="auto" w:fill="FFFFFF"/>
            <w:vAlign w:val="top"/>
          </w:tcPr>
          <w:p w14:paraId="6D79A28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Nomogram model</w:t>
            </w:r>
          </w:p>
        </w:tc>
        <w:tc>
          <w:tcPr>
            <w:tcW w:w="1799" w:type="pct"/>
            <w:tcBorders>
              <w:top w:val="single" w:color="4874CB" w:sz="4" w:space="0"/>
            </w:tcBorders>
            <w:shd w:val="clear" w:color="auto" w:fill="FFFFFF"/>
          </w:tcPr>
          <w:p w14:paraId="0CD9AE0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0.847 (0.777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0.918)</w:t>
            </w:r>
          </w:p>
        </w:tc>
        <w:tc>
          <w:tcPr>
            <w:tcW w:w="1621" w:type="pct"/>
            <w:tcBorders>
              <w:top w:val="single" w:color="4874CB" w:sz="4" w:space="0"/>
            </w:tcBorders>
            <w:shd w:val="clear" w:color="auto" w:fill="FFFFFF"/>
          </w:tcPr>
          <w:p w14:paraId="2D761B4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&lt;0.001</w:t>
            </w:r>
          </w:p>
        </w:tc>
      </w:tr>
      <w:tr w14:paraId="7F8DBDA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9" w:type="pct"/>
            <w:shd w:val="clear" w:color="auto" w:fill="FFFFFF"/>
            <w:vAlign w:val="top"/>
          </w:tcPr>
          <w:p w14:paraId="7FAD3B6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S index</w:t>
            </w:r>
          </w:p>
        </w:tc>
        <w:tc>
          <w:tcPr>
            <w:tcW w:w="1799" w:type="pct"/>
            <w:shd w:val="clear" w:color="auto" w:fill="FFFFFF"/>
            <w:vAlign w:val="top"/>
          </w:tcPr>
          <w:p w14:paraId="59FE5FD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0.732 (0.641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0.823)</w:t>
            </w:r>
          </w:p>
        </w:tc>
        <w:tc>
          <w:tcPr>
            <w:tcW w:w="1621" w:type="pct"/>
            <w:shd w:val="clear" w:color="auto" w:fill="FFFFFF"/>
            <w:vAlign w:val="top"/>
          </w:tcPr>
          <w:p w14:paraId="1FB9B8D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&lt;0.001</w:t>
            </w:r>
          </w:p>
        </w:tc>
      </w:tr>
      <w:tr w14:paraId="0809456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9" w:type="pct"/>
            <w:shd w:val="clear" w:color="auto" w:fill="FFFFFF"/>
            <w:vAlign w:val="top"/>
          </w:tcPr>
          <w:p w14:paraId="69A5F36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FIB-4</w:t>
            </w:r>
          </w:p>
        </w:tc>
        <w:tc>
          <w:tcPr>
            <w:tcW w:w="1799" w:type="pct"/>
            <w:shd w:val="clear" w:color="auto" w:fill="FFFFFF"/>
          </w:tcPr>
          <w:p w14:paraId="692B86A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0.712 (0.617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0.807)</w:t>
            </w:r>
          </w:p>
        </w:tc>
        <w:tc>
          <w:tcPr>
            <w:tcW w:w="1621" w:type="pct"/>
            <w:shd w:val="clear" w:color="auto" w:fill="FFFFFF"/>
          </w:tcPr>
          <w:p w14:paraId="0030C7A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&lt;0.001</w:t>
            </w:r>
          </w:p>
        </w:tc>
      </w:tr>
      <w:tr w14:paraId="4B05B91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9" w:type="pct"/>
            <w:shd w:val="clear" w:color="auto" w:fill="FFFFFF"/>
            <w:vAlign w:val="top"/>
          </w:tcPr>
          <w:p w14:paraId="115E539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sCD146</w:t>
            </w:r>
          </w:p>
        </w:tc>
        <w:tc>
          <w:tcPr>
            <w:tcW w:w="1799" w:type="pct"/>
            <w:shd w:val="clear" w:color="auto" w:fill="FFFFFF"/>
            <w:vAlign w:val="top"/>
          </w:tcPr>
          <w:p w14:paraId="5675C3E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0.706 (0.611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0.801)</w:t>
            </w:r>
          </w:p>
        </w:tc>
        <w:tc>
          <w:tcPr>
            <w:tcW w:w="1621" w:type="pct"/>
            <w:shd w:val="clear" w:color="auto" w:fill="FFFFFF"/>
            <w:vAlign w:val="top"/>
          </w:tcPr>
          <w:p w14:paraId="141D2D1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&lt;0.001</w:t>
            </w:r>
          </w:p>
        </w:tc>
      </w:tr>
      <w:tr w14:paraId="3464FAB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9" w:type="pct"/>
            <w:shd w:val="clear" w:color="auto" w:fill="FFFFFF"/>
            <w:vAlign w:val="top"/>
          </w:tcPr>
          <w:p w14:paraId="5909DB3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GPR</w:t>
            </w:r>
          </w:p>
        </w:tc>
        <w:tc>
          <w:tcPr>
            <w:tcW w:w="1799" w:type="pct"/>
            <w:shd w:val="clear" w:color="auto" w:fill="FFFFFF"/>
            <w:vAlign w:val="top"/>
          </w:tcPr>
          <w:p w14:paraId="5F5DEA6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0.632 (0.530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0.733)</w:t>
            </w:r>
          </w:p>
        </w:tc>
        <w:tc>
          <w:tcPr>
            <w:tcW w:w="1621" w:type="pct"/>
            <w:shd w:val="clear" w:color="auto" w:fill="FFFFFF"/>
            <w:vAlign w:val="top"/>
          </w:tcPr>
          <w:p w14:paraId="5E1C9C7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0.016</w:t>
            </w:r>
          </w:p>
        </w:tc>
      </w:tr>
      <w:tr w14:paraId="0114BDD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9" w:type="pct"/>
            <w:tcBorders>
              <w:bottom w:val="single" w:color="4874CB" w:sz="12" w:space="0"/>
            </w:tcBorders>
            <w:shd w:val="clear" w:color="auto" w:fill="FFFFFF"/>
            <w:vAlign w:val="top"/>
          </w:tcPr>
          <w:p w14:paraId="3EB378A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APRI</w:t>
            </w:r>
          </w:p>
        </w:tc>
        <w:tc>
          <w:tcPr>
            <w:tcW w:w="1799" w:type="pct"/>
            <w:tcBorders>
              <w:bottom w:val="single" w:color="4874CB" w:sz="12" w:space="0"/>
            </w:tcBorders>
            <w:shd w:val="clear" w:color="auto" w:fill="FFFFFF"/>
          </w:tcPr>
          <w:p w14:paraId="514E6CE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0.606 (0.503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0.709)</w:t>
            </w:r>
          </w:p>
        </w:tc>
        <w:tc>
          <w:tcPr>
            <w:tcW w:w="1621" w:type="pct"/>
            <w:tcBorders>
              <w:bottom w:val="single" w:color="4874CB" w:sz="12" w:space="0"/>
            </w:tcBorders>
            <w:shd w:val="clear" w:color="auto" w:fill="FFFFFF"/>
          </w:tcPr>
          <w:p w14:paraId="241B97C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0.054</w:t>
            </w:r>
          </w:p>
        </w:tc>
      </w:tr>
    </w:tbl>
    <w:p w14:paraId="09986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 w:val="0"/>
          <w:bCs w:val="0"/>
          <w:sz w:val="21"/>
          <w:szCs w:val="21"/>
          <w:lang w:val="en-US" w:eastAsia="zh-CN"/>
        </w:rPr>
        <w:t>Note: P values indicate whether the AUC is significantly different from 0.5 (no-discrimination). AUCs were compared using ROC analysis.</w:t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lang w:val="en-US" w:eastAsia="zh-CN"/>
        </w:rPr>
        <w:br w:type="textWrapping"/>
      </w:r>
      <w:r>
        <w:rPr>
          <w:rFonts w:hint="eastAsia" w:ascii="Times New Roman" w:hAnsi="Times New Roman" w:eastAsia="宋体"/>
          <w:b w:val="0"/>
          <w:bCs w:val="0"/>
          <w:sz w:val="21"/>
          <w:szCs w:val="21"/>
          <w:lang w:val="en-US" w:eastAsia="zh-CN"/>
        </w:rPr>
        <w:t>Abbreviations: FIB-4, Fibrosis-4 index; sCD146, soluble CD146; GPR, gamma-glutamyl transferase-to-platelet ratio; APRI, AST-to-platelet ratio index.</w:t>
      </w:r>
    </w:p>
    <w:p w14:paraId="35CCE7F8">
      <w:pPr>
        <w:rPr>
          <w:rFonts w:hint="default" w:ascii="Times New Roman" w:hAnsi="Times New Roman" w:eastAsia="宋体" w:cs="宋体"/>
          <w:sz w:val="21"/>
          <w:szCs w:val="21"/>
          <w:lang w:val="en-US" w:eastAsia="zh-CN"/>
        </w:rPr>
      </w:pPr>
    </w:p>
    <w:p w14:paraId="38484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 w:eastAsia="宋体" w:cs="宋体"/>
          <w:b/>
          <w:bCs/>
          <w:sz w:val="21"/>
          <w:szCs w:val="21"/>
          <w:lang w:val="en-US" w:eastAsia="zh-CN"/>
        </w:rPr>
        <w:t>S5</w:t>
      </w:r>
      <w:r>
        <w:rPr>
          <w:rFonts w:hint="eastAsia" w:ascii="Times New Roman" w:hAnsi="Times New Roman" w:eastAsia="宋体" w:cs="宋体"/>
          <w:b/>
          <w:bCs/>
          <w:sz w:val="21"/>
          <w:szCs w:val="21"/>
        </w:rPr>
        <w:t>. Regression results and diagnostic performance of the combined diagnostic model before and after adjustment for etiology</w:t>
      </w:r>
    </w:p>
    <w:tbl>
      <w:tblPr>
        <w:tblStyle w:val="8"/>
        <w:tblpPr w:leftFromText="180" w:rightFromText="180" w:vertAnchor="text" w:horzAnchor="page" w:tblpXSpec="center" w:tblpY="79"/>
        <w:tblW w:w="4998" w:type="pct"/>
        <w:jc w:val="center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7"/>
        <w:gridCol w:w="3407"/>
        <w:gridCol w:w="4470"/>
        <w:gridCol w:w="1440"/>
        <w:gridCol w:w="1444"/>
      </w:tblGrid>
      <w:tr w14:paraId="6644D049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02" w:type="pct"/>
            <w:tcBorders>
              <w:top w:val="single" w:color="4874CB" w:sz="12" w:space="0"/>
              <w:bottom w:val="single" w:color="4874CB" w:sz="4" w:space="0"/>
              <w:tl2br w:val="nil"/>
            </w:tcBorders>
            <w:shd w:val="clear" w:color="auto" w:fill="91ACE0"/>
            <w:vAlign w:val="top"/>
          </w:tcPr>
          <w:p w14:paraId="62374C63">
            <w:pPr>
              <w:jc w:val="center"/>
              <w:rPr>
                <w:rFonts w:hint="default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  <w:t>Model</w:t>
            </w:r>
          </w:p>
        </w:tc>
        <w:tc>
          <w:tcPr>
            <w:tcW w:w="1202" w:type="pct"/>
            <w:tcBorders>
              <w:top w:val="single" w:color="4874CB" w:sz="12" w:space="0"/>
              <w:bottom w:val="single" w:color="4874CB" w:sz="4" w:space="0"/>
              <w:tl2br w:val="nil"/>
            </w:tcBorders>
            <w:shd w:val="clear" w:color="auto" w:fill="91ACE0"/>
            <w:vAlign w:val="top"/>
          </w:tcPr>
          <w:p w14:paraId="754CED8E">
            <w:pPr>
              <w:jc w:val="center"/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  <w:t>Variable</w:t>
            </w:r>
          </w:p>
        </w:tc>
        <w:tc>
          <w:tcPr>
            <w:tcW w:w="1577" w:type="pct"/>
            <w:tcBorders>
              <w:top w:val="single" w:color="4874CB" w:sz="12" w:space="0"/>
              <w:bottom w:val="single" w:color="4874CB" w:sz="4" w:space="0"/>
            </w:tcBorders>
            <w:shd w:val="clear" w:color="auto" w:fill="91ACE0"/>
            <w:vAlign w:val="top"/>
          </w:tcPr>
          <w:p w14:paraId="612AE24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OR (95% CI)</w:t>
            </w:r>
          </w:p>
        </w:tc>
        <w:tc>
          <w:tcPr>
            <w:tcW w:w="508" w:type="pct"/>
            <w:tcBorders>
              <w:top w:val="single" w:color="4874CB" w:sz="12" w:space="0"/>
              <w:bottom w:val="single" w:color="4874CB" w:sz="4" w:space="0"/>
            </w:tcBorders>
            <w:shd w:val="clear" w:color="auto" w:fill="91ACE0"/>
            <w:vAlign w:val="top"/>
          </w:tcPr>
          <w:p w14:paraId="0F2F24C8">
            <w:pPr>
              <w:jc w:val="center"/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000000"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value</w:t>
            </w:r>
          </w:p>
        </w:tc>
        <w:tc>
          <w:tcPr>
            <w:tcW w:w="509" w:type="pct"/>
            <w:tcBorders>
              <w:top w:val="single" w:color="4874CB" w:sz="12" w:space="0"/>
              <w:bottom w:val="single" w:color="4874CB" w:sz="4" w:space="0"/>
            </w:tcBorders>
            <w:shd w:val="clear" w:color="auto" w:fill="91ACE0"/>
            <w:vAlign w:val="top"/>
          </w:tcPr>
          <w:p w14:paraId="3E00B577">
            <w:pPr>
              <w:jc w:val="center"/>
              <w:rPr>
                <w:rFonts w:hint="default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  <w:t>AUC</w:t>
            </w:r>
          </w:p>
        </w:tc>
      </w:tr>
      <w:tr w14:paraId="04331FD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02" w:type="pct"/>
            <w:vMerge w:val="restart"/>
            <w:tcBorders>
              <w:top w:val="single" w:color="4874CB" w:sz="4" w:space="0"/>
            </w:tcBorders>
            <w:shd w:val="clear" w:color="auto" w:fill="FFFFFF"/>
            <w:vAlign w:val="top"/>
          </w:tcPr>
          <w:p w14:paraId="59F0AD30">
            <w:pPr>
              <w:jc w:val="center"/>
              <w:rPr>
                <w:rFonts w:hint="default" w:ascii="Times New Roman" w:hAnsi="Times New Roman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lang w:val="en-US" w:eastAsia="zh-CN"/>
              </w:rPr>
              <w:t>Unadjusted for etiology</w:t>
            </w:r>
          </w:p>
          <w:p w14:paraId="2A15A863">
            <w:pPr>
              <w:jc w:val="both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2" w:type="pct"/>
            <w:tcBorders>
              <w:top w:val="single" w:color="4874CB" w:sz="4" w:space="0"/>
            </w:tcBorders>
            <w:shd w:val="clear" w:color="auto" w:fill="FFFFFF"/>
            <w:vAlign w:val="top"/>
          </w:tcPr>
          <w:p w14:paraId="4B320FDE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PT</w:t>
            </w: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(s)</w:t>
            </w:r>
          </w:p>
        </w:tc>
        <w:tc>
          <w:tcPr>
            <w:tcW w:w="1577" w:type="pct"/>
            <w:tcBorders>
              <w:top w:val="single" w:color="4874CB" w:sz="4" w:space="0"/>
            </w:tcBorders>
            <w:shd w:val="clear" w:color="auto" w:fill="FFFFFF"/>
            <w:vAlign w:val="top"/>
          </w:tcPr>
          <w:p w14:paraId="5486294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1.093 (0.953–1.252)</w:t>
            </w:r>
          </w:p>
        </w:tc>
        <w:tc>
          <w:tcPr>
            <w:tcW w:w="508" w:type="pct"/>
            <w:tcBorders>
              <w:top w:val="single" w:color="4874CB" w:sz="4" w:space="0"/>
            </w:tcBorders>
            <w:shd w:val="clear" w:color="auto" w:fill="FFFFFF"/>
            <w:vAlign w:val="top"/>
          </w:tcPr>
          <w:p w14:paraId="63BA5BA9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0.204</w:t>
            </w:r>
          </w:p>
        </w:tc>
        <w:tc>
          <w:tcPr>
            <w:tcW w:w="509" w:type="pct"/>
            <w:vMerge w:val="restart"/>
            <w:tcBorders>
              <w:top w:val="single" w:color="4874CB" w:sz="4" w:space="0"/>
            </w:tcBorders>
            <w:shd w:val="clear" w:color="auto" w:fill="FFFFFF"/>
            <w:vAlign w:val="top"/>
          </w:tcPr>
          <w:p w14:paraId="4DCF2FD5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0.847</w:t>
            </w:r>
          </w:p>
        </w:tc>
      </w:tr>
      <w:tr w14:paraId="67ECC40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02" w:type="pct"/>
            <w:vMerge w:val="continue"/>
            <w:shd w:val="clear" w:color="auto" w:fill="FFFFFF"/>
            <w:vAlign w:val="top"/>
          </w:tcPr>
          <w:p w14:paraId="2AF61E5A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2" w:type="pct"/>
            <w:shd w:val="clear" w:color="auto" w:fill="FFFFFF"/>
            <w:vAlign w:val="top"/>
          </w:tcPr>
          <w:p w14:paraId="7A58B341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PLT</w:t>
            </w: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(10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vertAlign w:val="superscript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/L)</w:t>
            </w:r>
          </w:p>
        </w:tc>
        <w:tc>
          <w:tcPr>
            <w:tcW w:w="1577" w:type="pct"/>
            <w:shd w:val="clear" w:color="auto" w:fill="FFFFFF"/>
            <w:vAlign w:val="top"/>
          </w:tcPr>
          <w:p w14:paraId="2E4BFCB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0.993 (0.984–1.002)</w:t>
            </w:r>
          </w:p>
        </w:tc>
        <w:tc>
          <w:tcPr>
            <w:tcW w:w="508" w:type="pct"/>
            <w:shd w:val="clear" w:color="auto" w:fill="FFFFFF"/>
            <w:vAlign w:val="top"/>
          </w:tcPr>
          <w:p w14:paraId="2BE0CFAB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0.118</w:t>
            </w:r>
          </w:p>
        </w:tc>
        <w:tc>
          <w:tcPr>
            <w:tcW w:w="509" w:type="pct"/>
            <w:vMerge w:val="continue"/>
            <w:shd w:val="clear" w:color="auto" w:fill="FFFFFF"/>
            <w:vAlign w:val="top"/>
          </w:tcPr>
          <w:p w14:paraId="3C1D6D8C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564009A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02" w:type="pct"/>
            <w:vMerge w:val="continue"/>
            <w:shd w:val="clear" w:color="auto" w:fill="FFFFFF"/>
            <w:vAlign w:val="top"/>
          </w:tcPr>
          <w:p w14:paraId="1850C25D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2" w:type="pct"/>
            <w:shd w:val="clear" w:color="auto" w:fill="FFFFFF"/>
            <w:vAlign w:val="top"/>
          </w:tcPr>
          <w:p w14:paraId="0CC44E16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ALB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grade</w:t>
            </w:r>
          </w:p>
        </w:tc>
        <w:tc>
          <w:tcPr>
            <w:tcW w:w="1577" w:type="pct"/>
            <w:shd w:val="clear" w:color="auto" w:fill="FFFFFF"/>
            <w:vAlign w:val="top"/>
          </w:tcPr>
          <w:p w14:paraId="2787CA1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0.885 (0.818–0.959)</w:t>
            </w:r>
          </w:p>
        </w:tc>
        <w:tc>
          <w:tcPr>
            <w:tcW w:w="508" w:type="pct"/>
            <w:shd w:val="clear" w:color="auto" w:fill="FFFFFF"/>
            <w:vAlign w:val="top"/>
          </w:tcPr>
          <w:p w14:paraId="7B9BF662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0.003</w:t>
            </w:r>
          </w:p>
        </w:tc>
        <w:tc>
          <w:tcPr>
            <w:tcW w:w="509" w:type="pct"/>
            <w:vMerge w:val="continue"/>
            <w:shd w:val="clear" w:color="auto" w:fill="FFFFFF"/>
            <w:vAlign w:val="top"/>
          </w:tcPr>
          <w:p w14:paraId="4DA774C0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092B8BA9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02" w:type="pct"/>
            <w:vMerge w:val="continue"/>
            <w:shd w:val="clear" w:color="auto" w:fill="FFFFFF"/>
            <w:vAlign w:val="top"/>
          </w:tcPr>
          <w:p w14:paraId="6493539F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2" w:type="pct"/>
            <w:shd w:val="clear" w:color="auto" w:fill="FFFFFF"/>
            <w:vAlign w:val="top"/>
          </w:tcPr>
          <w:p w14:paraId="12A68411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sCD146</w:t>
            </w: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(ng/m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577" w:type="pct"/>
            <w:shd w:val="clear" w:color="auto" w:fill="FFFFFF"/>
            <w:vAlign w:val="top"/>
          </w:tcPr>
          <w:p w14:paraId="7EF5511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1.002 (1.000–1.003)</w:t>
            </w:r>
          </w:p>
        </w:tc>
        <w:tc>
          <w:tcPr>
            <w:tcW w:w="508" w:type="pct"/>
            <w:shd w:val="clear" w:color="auto" w:fill="FFFFFF"/>
            <w:vAlign w:val="top"/>
          </w:tcPr>
          <w:p w14:paraId="7EFEB76C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0.047</w:t>
            </w:r>
          </w:p>
        </w:tc>
        <w:tc>
          <w:tcPr>
            <w:tcW w:w="509" w:type="pct"/>
            <w:vMerge w:val="continue"/>
            <w:shd w:val="clear" w:color="auto" w:fill="FFFFFF"/>
            <w:vAlign w:val="top"/>
          </w:tcPr>
          <w:p w14:paraId="00C0C3A1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10284FE9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02" w:type="pct"/>
            <w:vMerge w:val="restart"/>
            <w:shd w:val="clear" w:color="auto" w:fill="FFFFFF"/>
            <w:vAlign w:val="top"/>
          </w:tcPr>
          <w:p w14:paraId="4C3FD40D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sz w:val="21"/>
                <w:szCs w:val="21"/>
                <w:lang w:val="en-US" w:eastAsia="zh-CN"/>
              </w:rPr>
              <w:t>Adjusted for etiology</w:t>
            </w:r>
          </w:p>
        </w:tc>
        <w:tc>
          <w:tcPr>
            <w:tcW w:w="1202" w:type="pct"/>
            <w:shd w:val="clear" w:color="auto" w:fill="FFFFFF"/>
            <w:vAlign w:val="top"/>
          </w:tcPr>
          <w:p w14:paraId="3FEA65A6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PT</w:t>
            </w: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(s)</w:t>
            </w:r>
          </w:p>
        </w:tc>
        <w:tc>
          <w:tcPr>
            <w:tcW w:w="1577" w:type="pct"/>
            <w:shd w:val="clear" w:color="auto" w:fill="FFFFFF"/>
            <w:vAlign w:val="top"/>
          </w:tcPr>
          <w:p w14:paraId="77AB02B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1.090 (0.950–1.249)</w:t>
            </w:r>
          </w:p>
        </w:tc>
        <w:tc>
          <w:tcPr>
            <w:tcW w:w="508" w:type="pct"/>
            <w:shd w:val="clear" w:color="auto" w:fill="FFFFFF"/>
            <w:vAlign w:val="top"/>
          </w:tcPr>
          <w:p w14:paraId="7A7F9249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0.218</w:t>
            </w:r>
          </w:p>
        </w:tc>
        <w:tc>
          <w:tcPr>
            <w:tcW w:w="509" w:type="pct"/>
            <w:vMerge w:val="restart"/>
            <w:shd w:val="clear" w:color="auto" w:fill="FFFFFF"/>
            <w:vAlign w:val="top"/>
          </w:tcPr>
          <w:p w14:paraId="1F79557E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0.820</w:t>
            </w:r>
          </w:p>
        </w:tc>
      </w:tr>
      <w:tr w14:paraId="29A4CED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02" w:type="pct"/>
            <w:vMerge w:val="continue"/>
            <w:shd w:val="clear" w:color="auto" w:fill="FFFFFF"/>
            <w:vAlign w:val="top"/>
          </w:tcPr>
          <w:p w14:paraId="46297272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2" w:type="pct"/>
            <w:shd w:val="clear" w:color="auto" w:fill="FFFFFF"/>
            <w:vAlign w:val="top"/>
          </w:tcPr>
          <w:p w14:paraId="216D4644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PLT</w:t>
            </w: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(10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vertAlign w:val="superscript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/L)</w:t>
            </w:r>
          </w:p>
        </w:tc>
        <w:tc>
          <w:tcPr>
            <w:tcW w:w="1577" w:type="pct"/>
            <w:shd w:val="clear" w:color="auto" w:fill="FFFFFF"/>
            <w:vAlign w:val="top"/>
          </w:tcPr>
          <w:p w14:paraId="33EB959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0.993 (0.984–1.002)</w:t>
            </w:r>
          </w:p>
        </w:tc>
        <w:tc>
          <w:tcPr>
            <w:tcW w:w="508" w:type="pct"/>
            <w:shd w:val="clear" w:color="auto" w:fill="FFFFFF"/>
            <w:vAlign w:val="top"/>
          </w:tcPr>
          <w:p w14:paraId="3D88E8A1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0.107</w:t>
            </w:r>
          </w:p>
        </w:tc>
        <w:tc>
          <w:tcPr>
            <w:tcW w:w="509" w:type="pct"/>
            <w:vMerge w:val="continue"/>
            <w:shd w:val="clear" w:color="auto" w:fill="FFFFFF"/>
            <w:vAlign w:val="top"/>
          </w:tcPr>
          <w:p w14:paraId="3657328B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7772AC8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02" w:type="pct"/>
            <w:vMerge w:val="continue"/>
            <w:shd w:val="clear" w:color="auto" w:fill="FFFFFF"/>
            <w:vAlign w:val="top"/>
          </w:tcPr>
          <w:p w14:paraId="590FE46D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2" w:type="pct"/>
            <w:shd w:val="clear" w:color="auto" w:fill="FFFFFF"/>
            <w:vAlign w:val="top"/>
          </w:tcPr>
          <w:p w14:paraId="0EBBA558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ALB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grade</w:t>
            </w:r>
          </w:p>
        </w:tc>
        <w:tc>
          <w:tcPr>
            <w:tcW w:w="1577" w:type="pct"/>
            <w:shd w:val="clear" w:color="auto" w:fill="FFFFFF"/>
            <w:vAlign w:val="top"/>
          </w:tcPr>
          <w:p w14:paraId="013AA33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0.883 (0.814–0.957)</w:t>
            </w:r>
          </w:p>
        </w:tc>
        <w:tc>
          <w:tcPr>
            <w:tcW w:w="508" w:type="pct"/>
            <w:shd w:val="clear" w:color="auto" w:fill="FFFFFF"/>
            <w:vAlign w:val="top"/>
          </w:tcPr>
          <w:p w14:paraId="5B1E502B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0.002</w:t>
            </w:r>
          </w:p>
        </w:tc>
        <w:tc>
          <w:tcPr>
            <w:tcW w:w="509" w:type="pct"/>
            <w:vMerge w:val="continue"/>
            <w:shd w:val="clear" w:color="auto" w:fill="FFFFFF"/>
            <w:vAlign w:val="top"/>
          </w:tcPr>
          <w:p w14:paraId="419E4595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29AE504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02" w:type="pct"/>
            <w:vMerge w:val="continue"/>
            <w:shd w:val="clear" w:color="auto" w:fill="FFFFFF"/>
            <w:vAlign w:val="top"/>
          </w:tcPr>
          <w:p w14:paraId="7CEA16DD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2" w:type="pct"/>
            <w:shd w:val="clear" w:color="auto" w:fill="FFFFFF"/>
            <w:vAlign w:val="top"/>
          </w:tcPr>
          <w:p w14:paraId="78F11D23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sCD146</w:t>
            </w: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(ng/m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577" w:type="pct"/>
            <w:shd w:val="clear" w:color="auto" w:fill="FFFFFF"/>
            <w:vAlign w:val="top"/>
          </w:tcPr>
          <w:p w14:paraId="777F8EB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1.002 (1.000–1.003)</w:t>
            </w:r>
          </w:p>
        </w:tc>
        <w:tc>
          <w:tcPr>
            <w:tcW w:w="508" w:type="pct"/>
            <w:shd w:val="clear" w:color="auto" w:fill="FFFFFF"/>
            <w:vAlign w:val="top"/>
          </w:tcPr>
          <w:p w14:paraId="7246C93C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0.046</w:t>
            </w:r>
          </w:p>
        </w:tc>
        <w:tc>
          <w:tcPr>
            <w:tcW w:w="509" w:type="pct"/>
            <w:vMerge w:val="continue"/>
            <w:shd w:val="clear" w:color="auto" w:fill="FFFFFF"/>
            <w:vAlign w:val="top"/>
          </w:tcPr>
          <w:p w14:paraId="14C2E427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11649AB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02" w:type="pct"/>
            <w:vMerge w:val="continue"/>
            <w:tcBorders>
              <w:bottom w:val="single" w:color="4874CB" w:sz="12" w:space="0"/>
            </w:tcBorders>
            <w:shd w:val="clear" w:color="auto" w:fill="FFFFFF"/>
            <w:vAlign w:val="top"/>
          </w:tcPr>
          <w:p w14:paraId="6E612EDE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2" w:type="pct"/>
            <w:tcBorders>
              <w:bottom w:val="single" w:color="4874CB" w:sz="12" w:space="0"/>
            </w:tcBorders>
            <w:shd w:val="clear" w:color="auto" w:fill="FFFFFF"/>
            <w:vAlign w:val="top"/>
          </w:tcPr>
          <w:p w14:paraId="159B8737"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tiology</w:t>
            </w:r>
          </w:p>
        </w:tc>
        <w:tc>
          <w:tcPr>
            <w:tcW w:w="1577" w:type="pct"/>
            <w:tcBorders>
              <w:bottom w:val="single" w:color="4874CB" w:sz="12" w:space="0"/>
            </w:tcBorders>
            <w:shd w:val="clear" w:color="auto" w:fill="FFFFFF"/>
            <w:vAlign w:val="top"/>
          </w:tcPr>
          <w:p w14:paraId="3C840C7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0.795 (0.316–2.005)</w:t>
            </w:r>
          </w:p>
        </w:tc>
        <w:tc>
          <w:tcPr>
            <w:tcW w:w="508" w:type="pct"/>
            <w:tcBorders>
              <w:bottom w:val="single" w:color="4874CB" w:sz="12" w:space="0"/>
            </w:tcBorders>
            <w:shd w:val="clear" w:color="auto" w:fill="FFFFFF"/>
            <w:vAlign w:val="top"/>
          </w:tcPr>
          <w:p w14:paraId="1E4D6264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0.628</w:t>
            </w:r>
          </w:p>
        </w:tc>
        <w:tc>
          <w:tcPr>
            <w:tcW w:w="509" w:type="pct"/>
            <w:vMerge w:val="continue"/>
            <w:tcBorders>
              <w:bottom w:val="single" w:color="4874CB" w:sz="12" w:space="0"/>
            </w:tcBorders>
            <w:shd w:val="clear" w:color="auto" w:fill="FFFFFF"/>
            <w:vAlign w:val="top"/>
          </w:tcPr>
          <w:p w14:paraId="2B3D56C4"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</w:tbl>
    <w:p w14:paraId="46C7B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宋体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宋体"/>
          <w:sz w:val="21"/>
          <w:szCs w:val="21"/>
          <w:lang w:val="en-US" w:eastAsia="zh-CN"/>
        </w:rPr>
        <w:t>Abbreviations: OR, odds ratio; CI, confidence interval; AUC, area under the receiver operating characteristic curve; PT, prothrombin time; PLT, platelet count; ALB, albumin; sCD146, soluble CD146.</w:t>
      </w:r>
    </w:p>
    <w:p w14:paraId="39EAE3DC">
      <w:pPr>
        <w:rPr>
          <w:rFonts w:hint="default" w:ascii="Times New Roman" w:hAnsi="Times New Roman" w:eastAsia="宋体" w:cs="宋体"/>
          <w:sz w:val="21"/>
          <w:szCs w:val="21"/>
          <w:lang w:val="en-US" w:eastAsia="zh-CN"/>
        </w:rPr>
      </w:pPr>
    </w:p>
    <w:p w14:paraId="6A9BF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宋体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宋体"/>
          <w:b/>
          <w:bCs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宋体"/>
          <w:b/>
          <w:bCs/>
          <w:sz w:val="21"/>
          <w:szCs w:val="21"/>
          <w:lang w:val="en-US" w:eastAsia="zh-CN"/>
        </w:rPr>
        <w:t>S6</w:t>
      </w:r>
      <w:r>
        <w:rPr>
          <w:rFonts w:hint="default" w:ascii="Times New Roman" w:hAnsi="Times New Roman" w:eastAsia="宋体" w:cs="宋体"/>
          <w:b/>
          <w:bCs/>
          <w:sz w:val="21"/>
          <w:szCs w:val="21"/>
          <w:lang w:val="en-US" w:eastAsia="zh-CN"/>
        </w:rPr>
        <w:t>. Diagnostic performance of the combined diagnostic model across etiology subgroups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6"/>
        <w:gridCol w:w="3600"/>
        <w:gridCol w:w="2960"/>
        <w:gridCol w:w="2960"/>
        <w:gridCol w:w="1772"/>
      </w:tblGrid>
      <w:tr w14:paraId="17DFF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5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  <w:tl2br w:val="nil"/>
            </w:tcBorders>
            <w:shd w:val="clear" w:color="auto" w:fill="91ACE0"/>
          </w:tcPr>
          <w:p w14:paraId="6CBE950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Subgroup</w:t>
            </w:r>
          </w:p>
        </w:tc>
        <w:tc>
          <w:tcPr>
            <w:tcW w:w="1270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</w:tcPr>
          <w:p w14:paraId="6E57679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AUC (95% CI)</w:t>
            </w:r>
          </w:p>
        </w:tc>
        <w:tc>
          <w:tcPr>
            <w:tcW w:w="1044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</w:tcPr>
          <w:p w14:paraId="2B56F7C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Sensitivity (%)</w:t>
            </w:r>
          </w:p>
        </w:tc>
        <w:tc>
          <w:tcPr>
            <w:tcW w:w="1044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</w:tcPr>
          <w:p w14:paraId="6602F0A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Specificity (%)</w:t>
            </w:r>
          </w:p>
        </w:tc>
        <w:tc>
          <w:tcPr>
            <w:tcW w:w="625" w:type="pct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91ACE0"/>
          </w:tcPr>
          <w:p w14:paraId="1603604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Youden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index</w:t>
            </w:r>
          </w:p>
        </w:tc>
      </w:tr>
      <w:tr w14:paraId="4608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5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</w:tcPr>
          <w:p w14:paraId="6439A6D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Viral etiology</w:t>
            </w:r>
          </w:p>
        </w:tc>
        <w:tc>
          <w:tcPr>
            <w:tcW w:w="1270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</w:tcPr>
          <w:p w14:paraId="5D93F27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0.818 (0.719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0.916)</w:t>
            </w:r>
          </w:p>
        </w:tc>
        <w:tc>
          <w:tcPr>
            <w:tcW w:w="1044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</w:tcPr>
          <w:p w14:paraId="284BB29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90.00</w:t>
            </w:r>
          </w:p>
        </w:tc>
        <w:tc>
          <w:tcPr>
            <w:tcW w:w="1044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</w:tcPr>
          <w:p w14:paraId="5FE5E9E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60.00</w:t>
            </w:r>
          </w:p>
        </w:tc>
        <w:tc>
          <w:tcPr>
            <w:tcW w:w="625" w:type="pct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</w:tcPr>
          <w:p w14:paraId="7CC97E0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0.500</w:t>
            </w:r>
          </w:p>
        </w:tc>
      </w:tr>
      <w:tr w14:paraId="2A055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E78C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Non-viral etiology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842BF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0.84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 (0.721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0.971)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FD25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94.44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1BFF5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66.67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56C9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0.611</w:t>
            </w:r>
          </w:p>
        </w:tc>
      </w:tr>
      <w:tr w14:paraId="5E6BE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5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</w:tcPr>
          <w:p w14:paraId="3A94824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Overall</w:t>
            </w:r>
          </w:p>
        </w:tc>
        <w:tc>
          <w:tcPr>
            <w:tcW w:w="1270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</w:tcPr>
          <w:p w14:paraId="2F89B55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0.847 (0.777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0.918)</w:t>
            </w:r>
          </w:p>
        </w:tc>
        <w:tc>
          <w:tcPr>
            <w:tcW w:w="1044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</w:tcPr>
          <w:p w14:paraId="29268A6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93.75</w:t>
            </w:r>
          </w:p>
        </w:tc>
        <w:tc>
          <w:tcPr>
            <w:tcW w:w="1044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</w:tcPr>
          <w:p w14:paraId="37D2E19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61.19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</w:tcPr>
          <w:p w14:paraId="6E64E3D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0.549</w:t>
            </w:r>
          </w:p>
        </w:tc>
      </w:tr>
    </w:tbl>
    <w:p w14:paraId="05559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宋体"/>
          <w:sz w:val="21"/>
          <w:szCs w:val="21"/>
        </w:rPr>
      </w:pPr>
      <w:r>
        <w:rPr>
          <w:rFonts w:ascii="Times New Roman" w:hAnsi="Times New Roman" w:eastAsia="宋体" w:cs="宋体"/>
          <w:sz w:val="21"/>
          <w:szCs w:val="21"/>
        </w:rPr>
        <w:t>Note: AUC, area under the receiver operating characteristic curve; CI, confidence interval. The interaction test showed no significant difference in diagnostic pe</w:t>
      </w:r>
      <w:bookmarkStart w:id="0" w:name="_GoBack"/>
      <w:bookmarkEnd w:id="0"/>
      <w:r>
        <w:rPr>
          <w:rFonts w:ascii="Times New Roman" w:hAnsi="Times New Roman" w:eastAsia="宋体" w:cs="宋体"/>
          <w:sz w:val="21"/>
          <w:szCs w:val="21"/>
        </w:rPr>
        <w:t>rformance across etiology subgroups (P = 0.772).</w:t>
      </w:r>
    </w:p>
    <w:p w14:paraId="28950902">
      <w:pPr>
        <w:rPr>
          <w:rFonts w:hint="default" w:ascii="Times New Roman" w:hAnsi="Times New Roman" w:eastAsia="宋体" w:cs="宋体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3A2A"/>
    <w:rsid w:val="009D7247"/>
    <w:rsid w:val="01884238"/>
    <w:rsid w:val="03357924"/>
    <w:rsid w:val="03F54306"/>
    <w:rsid w:val="04BB4F8E"/>
    <w:rsid w:val="051060E7"/>
    <w:rsid w:val="056F72B2"/>
    <w:rsid w:val="069B7C33"/>
    <w:rsid w:val="06B8082B"/>
    <w:rsid w:val="0B3E4FA8"/>
    <w:rsid w:val="0CAD496D"/>
    <w:rsid w:val="0D046532"/>
    <w:rsid w:val="0EAC0C2F"/>
    <w:rsid w:val="112C778A"/>
    <w:rsid w:val="14D95BA5"/>
    <w:rsid w:val="15A17F2E"/>
    <w:rsid w:val="15EA2154"/>
    <w:rsid w:val="18267CA4"/>
    <w:rsid w:val="190035B0"/>
    <w:rsid w:val="1AAF412F"/>
    <w:rsid w:val="1D0B54AF"/>
    <w:rsid w:val="1DBA49EB"/>
    <w:rsid w:val="20A93C81"/>
    <w:rsid w:val="20D178AD"/>
    <w:rsid w:val="24D6035C"/>
    <w:rsid w:val="256E03E2"/>
    <w:rsid w:val="266F35AE"/>
    <w:rsid w:val="273C7EC5"/>
    <w:rsid w:val="279B3F46"/>
    <w:rsid w:val="27F57BD6"/>
    <w:rsid w:val="28292799"/>
    <w:rsid w:val="2890116A"/>
    <w:rsid w:val="297C2ABA"/>
    <w:rsid w:val="29EF3F24"/>
    <w:rsid w:val="2A1B1011"/>
    <w:rsid w:val="2BCC1E01"/>
    <w:rsid w:val="2D0E34D2"/>
    <w:rsid w:val="2D53146F"/>
    <w:rsid w:val="305931DC"/>
    <w:rsid w:val="33B27B7C"/>
    <w:rsid w:val="33B93FC7"/>
    <w:rsid w:val="36FB2C6D"/>
    <w:rsid w:val="3752113A"/>
    <w:rsid w:val="38C80007"/>
    <w:rsid w:val="39FA1E72"/>
    <w:rsid w:val="3B337215"/>
    <w:rsid w:val="3B6B592B"/>
    <w:rsid w:val="3BDC04F6"/>
    <w:rsid w:val="3CCC6361"/>
    <w:rsid w:val="3E2C1E97"/>
    <w:rsid w:val="3ED47727"/>
    <w:rsid w:val="401B0F1D"/>
    <w:rsid w:val="41670862"/>
    <w:rsid w:val="42500748"/>
    <w:rsid w:val="428606F1"/>
    <w:rsid w:val="442D0264"/>
    <w:rsid w:val="44DE7B04"/>
    <w:rsid w:val="456168A1"/>
    <w:rsid w:val="46356F05"/>
    <w:rsid w:val="485C2543"/>
    <w:rsid w:val="4AA97C09"/>
    <w:rsid w:val="4B4327E6"/>
    <w:rsid w:val="4C8D1427"/>
    <w:rsid w:val="4C9149E5"/>
    <w:rsid w:val="512B2F86"/>
    <w:rsid w:val="521248BB"/>
    <w:rsid w:val="529078CD"/>
    <w:rsid w:val="536F00C7"/>
    <w:rsid w:val="57447106"/>
    <w:rsid w:val="59276FF4"/>
    <w:rsid w:val="5CF41428"/>
    <w:rsid w:val="5E183FC6"/>
    <w:rsid w:val="629B71E9"/>
    <w:rsid w:val="62B30D99"/>
    <w:rsid w:val="62CC4142"/>
    <w:rsid w:val="64C35B83"/>
    <w:rsid w:val="66B51B5B"/>
    <w:rsid w:val="6D186487"/>
    <w:rsid w:val="6D70091C"/>
    <w:rsid w:val="70156AD3"/>
    <w:rsid w:val="70D9644C"/>
    <w:rsid w:val="70F42B95"/>
    <w:rsid w:val="71645CEB"/>
    <w:rsid w:val="71A72C17"/>
    <w:rsid w:val="71E005E3"/>
    <w:rsid w:val="72E26A48"/>
    <w:rsid w:val="74B1646F"/>
    <w:rsid w:val="78BD5287"/>
    <w:rsid w:val="79DD6C0C"/>
    <w:rsid w:val="7A445377"/>
    <w:rsid w:val="7B503B39"/>
    <w:rsid w:val="7BC50F5E"/>
    <w:rsid w:val="7BFE6C93"/>
    <w:rsid w:val="7C337045"/>
    <w:rsid w:val="7C4F3DF1"/>
    <w:rsid w:val="7D89668E"/>
    <w:rsid w:val="7ED7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table" w:customStyle="1" w:styleId="8">
    <w:name w:val="无格式表格 21"/>
    <w:basedOn w:val="3"/>
    <w:autoRedefine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614</Words>
  <Characters>3656</Characters>
  <Lines>0</Lines>
  <Paragraphs>0</Paragraphs>
  <TotalTime>21</TotalTime>
  <ScaleCrop>false</ScaleCrop>
  <LinksUpToDate>false</LinksUpToDate>
  <CharactersWithSpaces>4058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2026-02-27T12:30:00Z</dcterms:created>
  <dc:creator>CT</dc:creator>
  <cp:lastModifiedBy>杨冰清</cp:lastModifiedBy>
  <dcterms:modified xsi:type="dcterms:W3CDTF">2026-06-01T13:11:52Z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eyJoZGlkIjoiNTA5NTUyN2M2M2JhMjVhMzQ2YjU3OGRhYjY0MjNmYTQiLCJ1c2VySWQiOiIyMzkzMzQ3OTIifQ==</vt:lpwstr>
  </property>
  <property fmtid="{D5CDD505-2E9C-101B-9397-08002B2CF9AE}" pid="4" name="ICV">
    <vt:lpwstr>648078C6B9A841C4B49AAC23507F5F6D_12</vt:lpwstr>
  </property>
</Properties>
</file>