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D13CF">
      <w:pPr>
        <w:spacing w:line="300" w:lineRule="auto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drawing>
          <wp:inline distT="0" distB="0" distL="114300" distR="114300">
            <wp:extent cx="5268595" cy="7452360"/>
            <wp:effectExtent l="0" t="0" r="1905" b="2540"/>
            <wp:docPr id="6" name="图片 6" descr="supplemen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upplement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DC6A3">
      <w:pPr>
        <w:spacing w:line="300" w:lineRule="auto"/>
        <w:rPr>
          <w:rFonts w:ascii="Times New Roman" w:hAnsi="Times New Roman" w:cs="Times New Roman"/>
          <w:szCs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cs="Times New Roman"/>
          <w:b/>
          <w:bCs/>
          <w:szCs w:val="21"/>
        </w:rPr>
        <w:t xml:space="preserve">Supplemental Figure 1. Spastin inhibition impairs autophagic flux.  </w:t>
      </w:r>
      <w:r>
        <w:rPr>
          <w:rFonts w:ascii="Times New Roman" w:hAnsi="Times New Roman" w:cs="Times New Roman"/>
          <w:b/>
          <w:bCs/>
          <w:szCs w:val="21"/>
        </w:rPr>
        <w:br w:type="textWrapping"/>
      </w:r>
      <w:r>
        <w:rPr>
          <w:rFonts w:ascii="Times New Roman" w:hAnsi="Times New Roman" w:cs="Times New Roman"/>
          <w:szCs w:val="21"/>
        </w:rPr>
        <w:t xml:space="preserve">(A–B) Dose-dependent treatment of cells with spastazoline for 24 h altered LC3-II and p62 protein levels, normalized to β-actin.  </w:t>
      </w:r>
      <w:r>
        <w:rPr>
          <w:rFonts w:ascii="Times New Roman" w:hAnsi="Times New Roman" w:cs="Times New Roman"/>
          <w:szCs w:val="21"/>
        </w:rPr>
        <w:br w:type="textWrapping"/>
      </w:r>
      <w:r>
        <w:rPr>
          <w:rFonts w:ascii="Times New Roman" w:hAnsi="Times New Roman" w:cs="Times New Roman"/>
          <w:szCs w:val="21"/>
        </w:rPr>
        <w:t xml:space="preserve">(C) siRNA-mediated knockdown of spastin in HEK293T cells reduced spastin expression relative to β-actin.  </w:t>
      </w:r>
      <w:r>
        <w:rPr>
          <w:rFonts w:ascii="Times New Roman" w:hAnsi="Times New Roman" w:cs="Times New Roman"/>
          <w:szCs w:val="21"/>
        </w:rPr>
        <w:br w:type="textWrapping"/>
      </w:r>
      <w:r>
        <w:rPr>
          <w:rFonts w:ascii="Times New Roman" w:hAnsi="Times New Roman" w:cs="Times New Roman"/>
          <w:szCs w:val="21"/>
        </w:rPr>
        <w:t xml:space="preserve">(D–E) Treatment with spastazoline (5 μM) or chloroquine (CQ; 10 μM) for 24 h increased LC3-II and p62 accumulation, normalized to β-actin.  </w:t>
      </w:r>
      <w:r>
        <w:rPr>
          <w:rFonts w:ascii="Times New Roman" w:hAnsi="Times New Roman" w:cs="Times New Roman"/>
          <w:szCs w:val="21"/>
        </w:rPr>
        <w:br w:type="textWrapping"/>
      </w:r>
      <w:r>
        <w:rPr>
          <w:rFonts w:ascii="Times New Roman" w:hAnsi="Times New Roman" w:cs="Times New Roman"/>
          <w:szCs w:val="21"/>
        </w:rPr>
        <w:t xml:space="preserve">(F–G) In spastin-knockdown HEK293T cells, CQ (10 μM) treatment for 24 h further elevated LC3-II and p62 levels, normalized to β-actin.  </w:t>
      </w:r>
      <w:r>
        <w:rPr>
          <w:rFonts w:ascii="Times New Roman" w:hAnsi="Times New Roman" w:cs="Times New Roman"/>
          <w:szCs w:val="21"/>
        </w:rPr>
        <w:br w:type="textWrapping"/>
      </w:r>
      <w:r>
        <w:rPr>
          <w:rFonts w:ascii="Times New Roman" w:hAnsi="Times New Roman" w:cs="Times New Roman"/>
          <w:szCs w:val="21"/>
        </w:rPr>
        <w:t xml:space="preserve">(H–I) Spastazoline (5 μM) or 3-methyladenine (3-MA; 3 mM) treatment for 24 h increased LC3-II and p62 levels, normalized to β-actin.  </w:t>
      </w:r>
      <w:r>
        <w:rPr>
          <w:rFonts w:ascii="Times New Roman" w:hAnsi="Times New Roman" w:cs="Times New Roman"/>
          <w:szCs w:val="21"/>
        </w:rPr>
        <w:br w:type="textWrapping"/>
      </w:r>
      <w:r>
        <w:rPr>
          <w:rFonts w:ascii="Times New Roman" w:hAnsi="Times New Roman" w:cs="Times New Roman"/>
          <w:szCs w:val="21"/>
        </w:rPr>
        <w:t xml:space="preserve">(J–K) In spastin-knockdown HEK293T cells, 3-MA (3 mM) treatment for 24 h similarly enhanced LC3-II and p62 accumulation, normalized to β-actin.  </w:t>
      </w:r>
      <w:r>
        <w:rPr>
          <w:rFonts w:ascii="Times New Roman" w:hAnsi="Times New Roman" w:cs="Times New Roman"/>
          <w:szCs w:val="21"/>
        </w:rPr>
        <w:br w:type="textWrapping"/>
      </w:r>
      <w:r>
        <w:rPr>
          <w:rFonts w:ascii="Times New Roman" w:hAnsi="Times New Roman" w:cs="Times New Roman"/>
          <w:szCs w:val="21"/>
        </w:rPr>
        <w:t xml:space="preserve">(L–M) Cells pretreated with spastazoline (5 μM) for 24 h followed by EBSS starvation for 2 h exhibited impaired LC3-II turnover and p62 accumulation, normalized to β-actin.  </w:t>
      </w:r>
      <w:r>
        <w:rPr>
          <w:rFonts w:ascii="Times New Roman" w:hAnsi="Times New Roman" w:cs="Times New Roman"/>
          <w:szCs w:val="21"/>
        </w:rPr>
        <w:br w:type="textWrapping"/>
      </w:r>
      <w:r>
        <w:rPr>
          <w:rFonts w:ascii="Times New Roman" w:hAnsi="Times New Roman" w:cs="Times New Roman"/>
          <w:szCs w:val="21"/>
        </w:rPr>
        <w:t xml:space="preserve">(N–O) Rapamycin (10 μM) treatment for 24 h in spastin-knockdown HEK293T cells failed to reduce p62 levels despite elevated LC3-II, normalized to β-actin.  </w:t>
      </w:r>
      <w:r>
        <w:rPr>
          <w:rFonts w:ascii="Times New Roman" w:hAnsi="Times New Roman" w:cs="Times New Roman"/>
          <w:szCs w:val="21"/>
        </w:rPr>
        <w:br w:type="textWrapping"/>
      </w:r>
      <w:r>
        <w:rPr>
          <w:rFonts w:ascii="Times New Roman" w:hAnsi="Times New Roman" w:cs="Times New Roman"/>
          <w:szCs w:val="21"/>
        </w:rPr>
        <w:t>Data are presented as mean ± SD. Statistical significance: *p &lt; 0.05; **p &lt; 0.01; ***p &lt; 0.001; ****p &lt; 0.0001.</w:t>
      </w:r>
    </w:p>
    <w:p w14:paraId="780A3E44">
      <w:pPr>
        <w:spacing w:line="300" w:lineRule="auto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298440" cy="3676650"/>
            <wp:effectExtent l="0" t="0" r="0" b="0"/>
            <wp:docPr id="1" name="图片 1" descr="neun-spx-si-sp-eb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neun-spx-si-sp-ebss"/>
                    <pic:cNvPicPr>
                      <a:picLocks noChangeAspect="1"/>
                    </pic:cNvPicPr>
                  </pic:nvPicPr>
                  <pic:blipFill>
                    <a:blip r:embed="rId5"/>
                    <a:srcRect l="6148" t="4880" r="11775" b="9723"/>
                    <a:stretch>
                      <a:fillRect/>
                    </a:stretch>
                  </pic:blipFill>
                  <pic:spPr>
                    <a:xfrm>
                      <a:off x="0" y="0"/>
                      <a:ext cx="5304422" cy="36803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3BBDA">
      <w:pPr>
        <w:spacing w:line="300" w:lineRule="auto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 xml:space="preserve">Supplemental Figure </w:t>
      </w:r>
      <w:r>
        <w:rPr>
          <w:rFonts w:hint="eastAsia" w:ascii="Times New Roman" w:hAnsi="Times New Roman" w:cs="Times New Roman"/>
          <w:b/>
          <w:bCs/>
          <w:szCs w:val="21"/>
        </w:rPr>
        <w:t>2</w:t>
      </w:r>
      <w:r>
        <w:rPr>
          <w:rFonts w:ascii="Times New Roman" w:hAnsi="Times New Roman" w:cs="Times New Roman"/>
          <w:b/>
          <w:bCs/>
          <w:szCs w:val="21"/>
        </w:rPr>
        <w:t>. Spastin inhibition impairs autophagic flux</w:t>
      </w:r>
      <w:r>
        <w:rPr>
          <w:rFonts w:hint="eastAsia" w:ascii="Times New Roman" w:hAnsi="Times New Roman" w:cs="Times New Roman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>in neurons</w:t>
      </w:r>
      <w:r>
        <w:rPr>
          <w:rFonts w:hint="eastAsia" w:ascii="Times New Roman" w:hAnsi="Times New Roman" w:cs="Times New Roman"/>
          <w:b/>
          <w:bCs/>
          <w:szCs w:val="21"/>
        </w:rPr>
        <w:t>.</w:t>
      </w:r>
    </w:p>
    <w:p w14:paraId="764A6B7D">
      <w:pPr>
        <w:numPr>
          <w:ilvl w:val="0"/>
          <w:numId w:val="1"/>
        </w:numPr>
        <w:spacing w:line="300" w:lineRule="auto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Neurons</w:t>
      </w:r>
      <w:r>
        <w:rPr>
          <w:rFonts w:ascii="Times New Roman" w:hAnsi="Times New Roman" w:cs="Times New Roman"/>
          <w:szCs w:val="21"/>
        </w:rPr>
        <w:t xml:space="preserve"> were treated with Spastazoline</w:t>
      </w:r>
      <w:r>
        <w:rPr>
          <w:rFonts w:hint="eastAsia" w:ascii="Times New Roman" w:hAnsi="Times New Roman" w:eastAsia="宋体" w:cs="Times New Roman"/>
          <w:color w:val="0F1115"/>
          <w:szCs w:val="21"/>
          <w:shd w:val="clear" w:color="auto" w:fill="FFFFFF"/>
        </w:rPr>
        <w:t xml:space="preserve"> (</w:t>
      </w:r>
      <w:r>
        <w:rPr>
          <w:rFonts w:ascii="Times New Roman" w:hAnsi="Times New Roman" w:eastAsia="Segoe UI" w:cs="Times New Roman"/>
          <w:color w:val="0F1115"/>
          <w:szCs w:val="21"/>
          <w:shd w:val="clear" w:color="auto" w:fill="FFFFFF"/>
        </w:rPr>
        <w:t>5 μM</w:t>
      </w:r>
      <w:r>
        <w:rPr>
          <w:rFonts w:hint="eastAsia" w:ascii="Times New Roman" w:hAnsi="Times New Roman" w:eastAsia="宋体" w:cs="Times New Roman"/>
          <w:color w:val="0F1115"/>
          <w:szCs w:val="21"/>
          <w:shd w:val="clear" w:color="auto" w:fill="FFFFFF"/>
        </w:rPr>
        <w:t>)</w:t>
      </w:r>
      <w:r>
        <w:rPr>
          <w:rFonts w:ascii="Times New Roman" w:hAnsi="Times New Roman" w:cs="Times New Roman"/>
          <w:szCs w:val="21"/>
        </w:rPr>
        <w:t xml:space="preserve"> or chloroquine (CQ, 10 μM) for 24 hours, followed by Western blot analysis of LC3-II and p62.</w:t>
      </w:r>
    </w:p>
    <w:p w14:paraId="200A9DB0">
      <w:pPr>
        <w:numPr>
          <w:ilvl w:val="0"/>
          <w:numId w:val="1"/>
        </w:numPr>
        <w:spacing w:line="300" w:lineRule="auto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Neurons</w:t>
      </w:r>
      <w:r>
        <w:rPr>
          <w:rFonts w:ascii="Times New Roman" w:hAnsi="Times New Roman" w:cs="Times New Roman"/>
          <w:szCs w:val="21"/>
        </w:rPr>
        <w:t xml:space="preserve"> were treated with Spastazoline</w:t>
      </w:r>
      <w:r>
        <w:rPr>
          <w:rFonts w:hint="eastAsia" w:ascii="Times New Roman" w:hAnsi="Times New Roman" w:eastAsia="宋体" w:cs="Times New Roman"/>
          <w:color w:val="0F1115"/>
          <w:szCs w:val="21"/>
          <w:shd w:val="clear" w:color="auto" w:fill="FFFFFF"/>
        </w:rPr>
        <w:t xml:space="preserve"> (</w:t>
      </w:r>
      <w:r>
        <w:rPr>
          <w:rFonts w:ascii="Times New Roman" w:hAnsi="Times New Roman" w:eastAsia="Segoe UI" w:cs="Times New Roman"/>
          <w:color w:val="0F1115"/>
          <w:szCs w:val="21"/>
          <w:shd w:val="clear" w:color="auto" w:fill="FFFFFF"/>
        </w:rPr>
        <w:t>5 μM</w:t>
      </w:r>
      <w:r>
        <w:rPr>
          <w:rFonts w:hint="eastAsia" w:ascii="Times New Roman" w:hAnsi="Times New Roman" w:eastAsia="宋体" w:cs="Times New Roman"/>
          <w:color w:val="0F1115"/>
          <w:szCs w:val="21"/>
          <w:shd w:val="clear" w:color="auto" w:fill="FFFFFF"/>
        </w:rPr>
        <w:t>)</w:t>
      </w:r>
      <w:r>
        <w:rPr>
          <w:rFonts w:ascii="Times New Roman" w:hAnsi="Times New Roman" w:cs="Times New Roman"/>
          <w:szCs w:val="21"/>
        </w:rPr>
        <w:t xml:space="preserve"> for 24 hours and then subjected to 2 hours of EBSS starvation, followed by Western blot analysis of LC3-II and p62. </w:t>
      </w:r>
    </w:p>
    <w:p w14:paraId="52502567">
      <w:pPr>
        <w:tabs>
          <w:tab w:val="left" w:pos="348"/>
        </w:tabs>
        <w:jc w:val="left"/>
        <w:rPr>
          <w:rFonts w:ascii="Times New Roman" w:hAnsi="Times New Roman" w:cs="Times New Roman"/>
          <w:szCs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cs="Times New Roman"/>
          <w:szCs w:val="21"/>
        </w:rPr>
        <w:t xml:space="preserve">(C) Western blot assessment of ATG5, ATG12–ATG5 conjugate, ATG16L1, Beclin1, LC3-II, and p62 levels in </w:t>
      </w:r>
      <w:r>
        <w:rPr>
          <w:rFonts w:hint="eastAsia" w:ascii="Times New Roman" w:hAnsi="Times New Roman" w:cs="Times New Roman"/>
          <w:szCs w:val="21"/>
        </w:rPr>
        <w:t>neurons</w:t>
      </w:r>
      <w:r>
        <w:rPr>
          <w:rFonts w:ascii="Times New Roman" w:hAnsi="Times New Roman" w:cs="Times New Roman"/>
          <w:szCs w:val="21"/>
        </w:rPr>
        <w:t xml:space="preserve"> transfected with si-NC or si-spastin and subjected to 2-h EBSS-induced autophagy induction.</w:t>
      </w:r>
    </w:p>
    <w:p w14:paraId="67B7D0A9">
      <w:pPr>
        <w:spacing w:line="300" w:lineRule="auto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271135" cy="3057525"/>
            <wp:effectExtent l="0" t="0" r="5715" b="9525"/>
            <wp:docPr id="10" name="图片 10" descr="对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对接"/>
                    <pic:cNvPicPr>
                      <a:picLocks noChangeAspect="1"/>
                    </pic:cNvPicPr>
                  </pic:nvPicPr>
                  <pic:blipFill>
                    <a:blip r:embed="rId6"/>
                    <a:srcRect t="7953" b="1468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057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CC0FC">
      <w:pPr>
        <w:pStyle w:val="11"/>
        <w:rPr>
          <w:rFonts w:ascii="Times New Roman" w:hAnsi="Times New Roman" w:eastAsia="宋体"/>
          <w:b/>
          <w:bCs/>
          <w:shd w:val="clear" w:color="FFFFFF" w:fill="D9D9D9"/>
        </w:rPr>
      </w:pPr>
      <w:r>
        <w:rPr>
          <w:rFonts w:ascii="Times New Roman" w:hAnsi="Times New Roman" w:cs="Times New Roman"/>
          <w:b/>
          <w:bCs/>
          <w:szCs w:val="21"/>
        </w:rPr>
        <w:t xml:space="preserve">Supplemental Figure </w:t>
      </w:r>
      <w:r>
        <w:rPr>
          <w:rFonts w:hint="eastAsia" w:ascii="Times New Roman" w:hAnsi="Times New Roman" w:cs="Times New Roman"/>
          <w:b/>
          <w:bCs/>
          <w:szCs w:val="21"/>
        </w:rPr>
        <w:t>3</w:t>
      </w:r>
      <w:r>
        <w:rPr>
          <w:rFonts w:ascii="Times New Roman" w:hAnsi="Times New Roman" w:cs="Times New Roman"/>
          <w:b/>
          <w:bCs/>
          <w:szCs w:val="21"/>
        </w:rPr>
        <w:t>.</w:t>
      </w:r>
      <w:r>
        <w:rPr>
          <w:rFonts w:hint="eastAsia" w:ascii="Times New Roman" w:hAnsi="Times New Roman" w:cs="Times New Roman"/>
          <w:b/>
          <w:bCs/>
          <w:szCs w:val="21"/>
        </w:rPr>
        <w:t xml:space="preserve"> </w:t>
      </w:r>
      <w:r>
        <w:rPr>
          <w:rFonts w:ascii="Times New Roman" w:hAnsi="Times New Roman" w:eastAsia="宋体"/>
          <w:b/>
          <w:bCs/>
        </w:rPr>
        <w:t xml:space="preserve">Molecular docking analysis of spastin with </w:t>
      </w:r>
      <w:r>
        <w:rPr>
          <w:rFonts w:hint="eastAsia" w:ascii="Times New Roman" w:hAnsi="Times New Roman" w:eastAsia="宋体"/>
          <w:b/>
          <w:bCs/>
        </w:rPr>
        <w:t>ATG5</w:t>
      </w:r>
      <w:r>
        <w:rPr>
          <w:rFonts w:ascii="Times New Roman" w:hAnsi="Times New Roman" w:eastAsia="宋体"/>
          <w:b/>
          <w:bCs/>
        </w:rPr>
        <w:t>.</w:t>
      </w:r>
    </w:p>
    <w:p w14:paraId="77143200">
      <w:pPr>
        <w:pStyle w:val="11"/>
        <w:rPr>
          <w:rFonts w:eastAsia="宋体"/>
        </w:rPr>
      </w:pPr>
      <w:r>
        <w:rPr>
          <w:rFonts w:ascii="Times New Roman" w:hAnsi="Times New Roman" w:eastAsia="Segoe UI" w:cs="Times New Roman"/>
          <w:szCs w:val="21"/>
          <w:shd w:val="clear" w:color="auto" w:fill="FFFFFF"/>
        </w:rPr>
        <w:t>Predicted hydrogen bond network between spastin AAA (yellow) and ATG5 (blue) by HDOCK and visualized by P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>ymol.</w:t>
      </w:r>
      <w:r>
        <w:rPr>
          <w:rFonts w:ascii="Times New Roman" w:hAnsi="Times New Roman" w:cs="Times New Roman"/>
        </w:rPr>
        <w:t xml:space="preserve"> </w:t>
      </w:r>
      <w:r>
        <w:rPr>
          <w:rFonts w:hint="eastAsia"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h</w:t>
      </w:r>
      <w:r>
        <w:rPr>
          <w:rFonts w:hint="eastAsia" w:ascii="Times New Roman" w:hAnsi="Times New Roman" w:cs="Times New Roman"/>
        </w:rPr>
        <w:t xml:space="preserve">e model </w:t>
      </w:r>
      <w:r>
        <w:rPr>
          <w:rFonts w:ascii="Times New Roman" w:hAnsi="Times New Roman" w:cs="Times New Roman"/>
        </w:rPr>
        <w:t>identif</w:t>
      </w:r>
      <w:r>
        <w:rPr>
          <w:rFonts w:hint="eastAsia" w:ascii="Times New Roman" w:hAnsi="Times New Roman" w:cs="Times New Roman"/>
        </w:rPr>
        <w:t>ied</w:t>
      </w:r>
      <w:r>
        <w:rPr>
          <w:rFonts w:ascii="Times New Roman" w:hAnsi="Times New Roman" w:cs="Times New Roman"/>
        </w:rPr>
        <w:t xml:space="preserve"> </w:t>
      </w:r>
      <w:r>
        <w:rPr>
          <w:rFonts w:hint="eastAsia" w:ascii="Times New Roman" w:hAnsi="Times New Roman" w:cs="Times New Roman"/>
        </w:rPr>
        <w:t>seven</w:t>
      </w:r>
      <w:r>
        <w:rPr>
          <w:rFonts w:ascii="Times New Roman" w:hAnsi="Times New Roman" w:cs="Times New Roman"/>
        </w:rPr>
        <w:t xml:space="preserve"> residue pairs that may potentially mediate the interaction: GLY-336-ARG-12, ASN-400-MET-246, THR-402-LEU-247, GLN-434-MET-246, GLU-366-ARG-23, ARG-372-GLN-20, and LYS-351-ASP-228</w:t>
      </w:r>
      <w:r>
        <w:rPr>
          <w:rFonts w:hint="eastAsia" w:ascii="Times New Roman" w:hAnsi="Times New Roman" w:cs="Times New Roman"/>
        </w:rPr>
        <w:t>.</w:t>
      </w:r>
    </w:p>
    <w:p w14:paraId="4FDA2F56">
      <w:pPr>
        <w:tabs>
          <w:tab w:val="left" w:pos="338"/>
        </w:tabs>
        <w:jc w:val="left"/>
      </w:pPr>
      <w:r>
        <w:rPr>
          <w:rFonts w:hint="eastAsia"/>
        </w:rPr>
        <w:t xml:space="preserve"> </w:t>
      </w:r>
    </w:p>
    <w:p w14:paraId="206AA56B">
      <w:pPr>
        <w:tabs>
          <w:tab w:val="left" w:pos="338"/>
        </w:tabs>
        <w:jc w:val="left"/>
      </w:pPr>
    </w:p>
    <w:p w14:paraId="3658CDB8">
      <w:pPr>
        <w:tabs>
          <w:tab w:val="left" w:pos="498"/>
        </w:tabs>
        <w:jc w:val="left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271135" cy="2832100"/>
            <wp:effectExtent l="0" t="0" r="12065" b="0"/>
            <wp:docPr id="9" name="图片 9" descr="SPX-GFP-SPASTIN-FLAG-ATG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SPX-GFP-SPASTIN-FLAG-ATG5"/>
                    <pic:cNvPicPr>
                      <a:picLocks noChangeAspect="1"/>
                    </pic:cNvPicPr>
                  </pic:nvPicPr>
                  <pic:blipFill>
                    <a:blip r:embed="rId7"/>
                    <a:srcRect b="2834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83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8D786">
      <w:pPr>
        <w:spacing w:line="300" w:lineRule="auto"/>
        <w:rPr>
          <w:rFonts w:ascii="Times New Roman" w:hAnsi="Times New Roman" w:eastAsia="宋体"/>
          <w:b/>
          <w:bCs/>
        </w:rPr>
      </w:pPr>
      <w:r>
        <w:rPr>
          <w:rFonts w:ascii="Times New Roman" w:hAnsi="Times New Roman" w:cs="Times New Roman"/>
          <w:b/>
          <w:bCs/>
          <w:szCs w:val="21"/>
        </w:rPr>
        <w:t xml:space="preserve">Supplemental Figure </w:t>
      </w:r>
      <w:r>
        <w:rPr>
          <w:rFonts w:hint="eastAsia" w:ascii="Times New Roman" w:hAnsi="Times New Roman" w:cs="Times New Roman"/>
          <w:b/>
          <w:bCs/>
          <w:szCs w:val="21"/>
        </w:rPr>
        <w:t>4</w:t>
      </w:r>
      <w:r>
        <w:rPr>
          <w:rFonts w:hint="eastAsia" w:ascii="Times New Roman" w:hAnsi="Times New Roman" w:eastAsia="宋体"/>
          <w:b/>
          <w:bCs/>
        </w:rPr>
        <w:t>. Spastin-ATG5 binding depends on spastin enzymatic activity.</w:t>
      </w:r>
    </w:p>
    <w:p w14:paraId="24D0F4B1">
      <w:pPr>
        <w:numPr>
          <w:ilvl w:val="0"/>
          <w:numId w:val="2"/>
        </w:numPr>
        <w:spacing w:line="300" w:lineRule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Co-immunoprecipitation assay was performed on lysates of cells co-expressing GFP-spastin and Flag-ATG5 in the presence or absence of Spastazoline treatment. Immunoprecipitation was carried out using an anti-GFP antibody, and the co-precipitated Flag-ATG5 was detected with an anti-Flag antibody.</w:t>
      </w:r>
    </w:p>
    <w:p w14:paraId="7F47E8F0">
      <w:pPr>
        <w:spacing w:line="300" w:lineRule="auto"/>
        <w:rPr>
          <w:rFonts w:hint="eastAsia"/>
        </w:rPr>
      </w:pPr>
      <w:r>
        <w:rPr>
          <w:rFonts w:hint="eastAsia" w:ascii="Times New Roman" w:hAnsi="Times New Roman" w:eastAsia="宋体"/>
        </w:rPr>
        <w:t>(B) Corresponding quantitative statistical graph.</w:t>
      </w:r>
    </w:p>
    <w:p w14:paraId="105F77FD">
      <w:pPr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Data are presented as mean ± SD; *p &lt; 0.05, **p &lt; 0.01, ***p &lt; 0.001</w:t>
      </w:r>
      <w:r>
        <w:rPr>
          <w:rFonts w:hint="eastAsia" w:ascii="Times New Roman" w:hAnsi="Times New Roman" w:cs="Times New Roman"/>
          <w:szCs w:val="21"/>
        </w:rPr>
        <w:t xml:space="preserve">. </w:t>
      </w:r>
      <w:r>
        <w:rPr>
          <w:rFonts w:hint="eastAsia" w:ascii="Times New Roman" w:hAnsi="Times New Roman" w:cs="Times New Roman"/>
          <w:szCs w:val="21"/>
        </w:rPr>
        <w:drawing>
          <wp:inline distT="0" distB="0" distL="114300" distR="114300">
            <wp:extent cx="5268595" cy="6271260"/>
            <wp:effectExtent l="0" t="0" r="0" b="0"/>
            <wp:docPr id="7" name="图片 7" descr="supplemen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supplement2"/>
                    <pic:cNvPicPr>
                      <a:picLocks noChangeAspect="1"/>
                    </pic:cNvPicPr>
                  </pic:nvPicPr>
                  <pic:blipFill>
                    <a:blip r:embed="rId8"/>
                    <a:srcRect b="1584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27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7CFC5">
      <w:pPr>
        <w:spacing w:line="30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 xml:space="preserve">Supplemental Figure </w:t>
      </w:r>
      <w:r>
        <w:rPr>
          <w:rFonts w:hint="eastAsia" w:ascii="Times New Roman" w:hAnsi="Times New Roman" w:cs="Times New Roman"/>
          <w:b/>
          <w:bCs/>
          <w:szCs w:val="21"/>
        </w:rPr>
        <w:t>5</w:t>
      </w:r>
      <w:r>
        <w:rPr>
          <w:rFonts w:ascii="Times New Roman" w:hAnsi="Times New Roman" w:cs="Times New Roman"/>
          <w:b/>
          <w:bCs/>
          <w:szCs w:val="21"/>
        </w:rPr>
        <w:t xml:space="preserve">. Spastin modulates the expression levels of ATG5, ATG12–ATG5 conjugate, ATG16L1, and Beclin1.  </w:t>
      </w:r>
      <w:r>
        <w:rPr>
          <w:rFonts w:ascii="Times New Roman" w:hAnsi="Times New Roman" w:cs="Times New Roman"/>
          <w:szCs w:val="21"/>
        </w:rPr>
        <w:br w:type="textWrapping"/>
      </w:r>
      <w:r>
        <w:rPr>
          <w:rFonts w:ascii="Times New Roman" w:hAnsi="Times New Roman" w:cs="Times New Roman"/>
          <w:szCs w:val="21"/>
        </w:rPr>
        <w:t xml:space="preserve">(A–F) HEK293T cells were transfected with either non-targeting siRNA (si-NC) or spastin-specific siRNA (si-spastin) and subsequently subjected to EBSS-induced starvation for 2 hours. Protein levels of LC3-II, p62, ATG5, ATG12–ATG5 conjugate, ATG16L1, and Beclin1—normalized to β-actin—were quantified by immunoblotting.  </w:t>
      </w:r>
      <w:r>
        <w:rPr>
          <w:rFonts w:ascii="Times New Roman" w:hAnsi="Times New Roman" w:cs="Times New Roman"/>
          <w:szCs w:val="21"/>
        </w:rPr>
        <w:br w:type="textWrapping"/>
      </w:r>
      <w:r>
        <w:rPr>
          <w:rFonts w:ascii="Times New Roman" w:hAnsi="Times New Roman" w:cs="Times New Roman"/>
          <w:szCs w:val="21"/>
        </w:rPr>
        <w:t xml:space="preserve">(G–L) HEK293T cells were transfected with empty FLAG vector or FLAG-tagged spastin and similarly starved with EBSS for 2 hours. Immunoblot-based quantification assessed the same autophagy-related proteins relative to β-actin.  </w:t>
      </w:r>
      <w:r>
        <w:rPr>
          <w:rFonts w:ascii="Times New Roman" w:hAnsi="Times New Roman" w:cs="Times New Roman"/>
          <w:szCs w:val="21"/>
        </w:rPr>
        <w:br w:type="textWrapping"/>
      </w:r>
      <w:r>
        <w:rPr>
          <w:rFonts w:ascii="Times New Roman" w:hAnsi="Times New Roman" w:cs="Times New Roman"/>
          <w:szCs w:val="21"/>
        </w:rPr>
        <w:t>Data are presented as mean ± SD; *p &lt; 0.05, **p &lt; 0.01, ***p &lt; 0.001</w:t>
      </w:r>
      <w:r>
        <w:rPr>
          <w:rFonts w:hint="eastAsia" w:ascii="Times New Roman" w:hAnsi="Times New Roman" w:cs="Times New Roman"/>
          <w:szCs w:val="21"/>
        </w:rPr>
        <w:t xml:space="preserve">.   </w:t>
      </w:r>
    </w:p>
    <w:p w14:paraId="4BC50BD6">
      <w:pPr>
        <w:spacing w:line="300" w:lineRule="auto"/>
        <w:rPr>
          <w:rFonts w:ascii="Times New Roman" w:hAnsi="Times New Roman" w:cs="Times New Roman"/>
          <w:szCs w:val="21"/>
        </w:rPr>
      </w:pPr>
    </w:p>
    <w:p w14:paraId="1FE6B0C4">
      <w:pPr>
        <w:spacing w:line="300" w:lineRule="auto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271135" cy="3952240"/>
            <wp:effectExtent l="0" t="0" r="12065" b="10160"/>
            <wp:docPr id="2" name="图片 2" descr="ATG16L1-ATG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TG16L1-ATG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81B07">
      <w:pPr>
        <w:rPr>
          <w:rFonts w:hint="eastAsia"/>
        </w:rPr>
      </w:pPr>
    </w:p>
    <w:p w14:paraId="67D1D4DA">
      <w:pPr>
        <w:spacing w:line="300" w:lineRule="auto"/>
        <w:rPr>
          <w:rFonts w:hint="eastAsia"/>
        </w:rPr>
      </w:pPr>
      <w:r>
        <w:rPr>
          <w:rFonts w:ascii="Times New Roman" w:hAnsi="Times New Roman" w:cs="Times New Roman"/>
          <w:b/>
          <w:bCs/>
          <w:szCs w:val="21"/>
        </w:rPr>
        <w:t xml:space="preserve">Supplemental Figure </w:t>
      </w:r>
      <w:r>
        <w:rPr>
          <w:rFonts w:hint="eastAsia" w:ascii="Times New Roman" w:hAnsi="Times New Roman" w:cs="Times New Roman"/>
          <w:b/>
          <w:bCs/>
          <w:szCs w:val="21"/>
        </w:rPr>
        <w:t xml:space="preserve">6. </w:t>
      </w:r>
      <w:r>
        <w:rPr>
          <w:rFonts w:ascii="Times New Roman" w:hAnsi="Times New Roman" w:cs="Times New Roman"/>
          <w:b/>
          <w:bCs/>
          <w:szCs w:val="21"/>
        </w:rPr>
        <w:t xml:space="preserve">Spastin modulates the ATG12–ATG5–ATG16L1 complex. </w:t>
      </w:r>
    </w:p>
    <w:p w14:paraId="77DF8C07">
      <w:pPr>
        <w:spacing w:line="300" w:lineRule="auto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(A–C) Corresponding quantitative graphs of the normalized binding ratios (IP-ATG16L1 / IP-ATG5) for (A) </w:t>
      </w:r>
      <w:r>
        <w:rPr>
          <w:rFonts w:hint="eastAsia" w:ascii="Times New Roman" w:hAnsi="Times New Roman" w:eastAsia="宋体"/>
        </w:rPr>
        <w:t>Figure 4</w:t>
      </w:r>
      <w:r>
        <w:rPr>
          <w:rFonts w:ascii="Times New Roman" w:hAnsi="Times New Roman" w:eastAsia="宋体"/>
        </w:rPr>
        <w:t>F, (B) </w:t>
      </w:r>
      <w:r>
        <w:rPr>
          <w:rFonts w:hint="eastAsia" w:ascii="Times New Roman" w:hAnsi="Times New Roman" w:eastAsia="宋体"/>
        </w:rPr>
        <w:t>Figure 4</w:t>
      </w:r>
      <w:r>
        <w:rPr>
          <w:rFonts w:ascii="Times New Roman" w:hAnsi="Times New Roman" w:eastAsia="宋体"/>
        </w:rPr>
        <w:t>G, and (C) </w:t>
      </w:r>
      <w:r>
        <w:rPr>
          <w:rFonts w:hint="eastAsia" w:ascii="Times New Roman" w:hAnsi="Times New Roman" w:eastAsia="宋体"/>
        </w:rPr>
        <w:t>Figure 4</w:t>
      </w:r>
      <w:r>
        <w:rPr>
          <w:rFonts w:ascii="Times New Roman" w:hAnsi="Times New Roman" w:eastAsia="宋体"/>
        </w:rPr>
        <w:t>H, respectively. </w:t>
      </w:r>
    </w:p>
    <w:p w14:paraId="560BEAC4">
      <w:pPr>
        <w:spacing w:line="300" w:lineRule="auto"/>
        <w:rPr>
          <w:rFonts w:hint="eastAsia"/>
        </w:rPr>
      </w:pPr>
      <w:r>
        <w:rPr>
          <w:rFonts w:ascii="Times New Roman" w:hAnsi="Times New Roman" w:cs="Times New Roman"/>
          <w:szCs w:val="21"/>
        </w:rPr>
        <w:t>Data are presented as mean ± SD; *p &lt; 0.05, **p &lt; 0.01, ***p &lt; 0.001</w:t>
      </w:r>
      <w:r>
        <w:rPr>
          <w:rFonts w:hint="eastAsia" w:ascii="Times New Roman" w:hAnsi="Times New Roman" w:cs="Times New Roman"/>
          <w:szCs w:val="21"/>
        </w:rPr>
        <w:t>.</w:t>
      </w:r>
    </w:p>
    <w:p w14:paraId="223A55B8">
      <w:pPr>
        <w:tabs>
          <w:tab w:val="left" w:pos="1298"/>
        </w:tabs>
        <w:jc w:val="left"/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</w:rPr>
        <w:tab/>
      </w:r>
    </w:p>
    <w:p w14:paraId="32F738A1">
      <w:pPr>
        <w:tabs>
          <w:tab w:val="left" w:pos="498"/>
        </w:tabs>
        <w:jc w:val="left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drawing>
          <wp:inline distT="0" distB="0" distL="114300" distR="114300">
            <wp:extent cx="5268595" cy="5700395"/>
            <wp:effectExtent l="0" t="0" r="1905" b="1905"/>
            <wp:docPr id="11" name="图片 11" descr="CH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HX"/>
                    <pic:cNvPicPr>
                      <a:picLocks noChangeAspect="1"/>
                    </pic:cNvPicPr>
                  </pic:nvPicPr>
                  <pic:blipFill>
                    <a:blip r:embed="rId10"/>
                    <a:srcRect b="2350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70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44896">
      <w:pPr>
        <w:spacing w:line="300" w:lineRule="auto"/>
        <w:rPr>
          <w:rFonts w:ascii="Times New Roman" w:hAnsi="Times New Roman" w:eastAsia="宋体"/>
        </w:rPr>
      </w:pPr>
      <w:r>
        <w:rPr>
          <w:rFonts w:ascii="Times New Roman" w:hAnsi="Times New Roman" w:cs="Times New Roman"/>
          <w:b/>
          <w:bCs/>
          <w:szCs w:val="21"/>
        </w:rPr>
        <w:t>Supplemental</w:t>
      </w:r>
      <w:r>
        <w:rPr>
          <w:rFonts w:hint="eastAsia" w:ascii="Times New Roman" w:hAnsi="Times New Roman" w:cs="Times New Roman"/>
          <w:b/>
          <w:bCs/>
          <w:szCs w:val="21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Times New Roman" w:hAnsi="Times New Roman" w:eastAsia="宋体"/>
          <w:b/>
          <w:bCs/>
        </w:rPr>
        <w:t>Figure 7. Analysis of ATG5 stability and ubiquitination regulated by spastin.</w:t>
      </w:r>
      <w:r>
        <w:rPr>
          <w:rFonts w:hint="eastAsia" w:ascii="Times New Roman" w:hAnsi="Times New Roman" w:eastAsia="宋体"/>
        </w:rPr>
        <w:t xml:space="preserve">  </w:t>
      </w:r>
    </w:p>
    <w:p w14:paraId="43A18300">
      <w:pPr>
        <w:numPr>
          <w:ilvl w:val="0"/>
          <w:numId w:val="3"/>
        </w:numPr>
        <w:spacing w:line="300" w:lineRule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 xml:space="preserve">HEK293T cells expressing GFP or GFP-spastin were treated with cycloheximide (CHX, 100 μg/ml) for 0, 6, and 12 hours. ATG5 protein levels were detected by immunoblotting.  </w:t>
      </w:r>
    </w:p>
    <w:p w14:paraId="262B6F0B">
      <w:pPr>
        <w:spacing w:line="300" w:lineRule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 xml:space="preserve">(B) Quantitative graph of the CHX chase experiment shown in (A).  </w:t>
      </w:r>
    </w:p>
    <w:p w14:paraId="6B4FBCE1">
      <w:pPr>
        <w:spacing w:line="300" w:lineRule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(C) Ubiquitination assay. HEK293T cells co-expressing HA-ubiquitin, Flag-ATG5, and GFP or GFP-spastin were subjected to immunoprecipitation (with anti-Flag antibody), followed by immunoblotting with anti-HA antibody to detect ubiquitinated ATG5 products.</w:t>
      </w:r>
    </w:p>
    <w:p w14:paraId="6D0DF34E">
      <w:pPr>
        <w:jc w:val="left"/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cs="Times New Roman"/>
          <w:szCs w:val="21"/>
        </w:rPr>
        <w:t>Data are presented as mean ± SD; *p &lt; 0.05, **p &lt; 0.01, ***p &lt; 0.001</w:t>
      </w:r>
    </w:p>
    <w:p w14:paraId="60A2B2C4">
      <w:pPr>
        <w:spacing w:line="300" w:lineRule="auto"/>
        <w:rPr>
          <w:rFonts w:ascii="Times New Roman" w:hAnsi="Times New Roman" w:eastAsia="宋体"/>
        </w:rPr>
      </w:pPr>
    </w:p>
    <w:p w14:paraId="0A8CBCF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4159885"/>
            <wp:effectExtent l="0" t="0" r="0" b="0"/>
            <wp:docPr id="8" name="图片 8" descr="sci-rapa-spx-p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sci-rapa-spx-p62"/>
                    <pic:cNvPicPr>
                      <a:picLocks noChangeAspect="1"/>
                    </pic:cNvPicPr>
                  </pic:nvPicPr>
                  <pic:blipFill>
                    <a:blip r:embed="rId11"/>
                    <a:srcRect b="4418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15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6E298">
      <w:pPr>
        <w:keepNext w:val="0"/>
        <w:keepLines w:val="0"/>
        <w:pageBreakBefore w:val="0"/>
        <w:widowControl w:val="0"/>
        <w:tabs>
          <w:tab w:val="left" w:pos="43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Cs w:val="21"/>
        </w:rPr>
        <w:t xml:space="preserve">Supplemental Figure </w:t>
      </w:r>
      <w:r>
        <w:rPr>
          <w:rFonts w:hint="eastAsia" w:ascii="Times New Roman" w:hAnsi="Times New Roman" w:cs="Times New Roman"/>
          <w:b/>
          <w:bCs/>
          <w:szCs w:val="21"/>
        </w:rPr>
        <w:t>8</w:t>
      </w:r>
      <w:r>
        <w:rPr>
          <w:rFonts w:ascii="Times New Roman" w:hAnsi="Times New Roman" w:cs="Times New Roman"/>
          <w:b/>
          <w:bCs/>
        </w:rPr>
        <w:t>. Western blot analysis of p62 expression levels in mouse spinal cord tissue at 3 days post-surgery.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(A) Sham, SCI, SCI + Spastazoline, and SCI + CQ + Spastazoline groups.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(B) Sham, SCI, SCI + Spastazoline, SCI + Rapamycin, and SCI + Rapamycin + Spastazoline groups.</w:t>
      </w:r>
    </w:p>
    <w:p w14:paraId="7D4CE36B">
      <w:pPr>
        <w:keepNext w:val="0"/>
        <w:keepLines w:val="0"/>
        <w:pageBreakBefore w:val="0"/>
        <w:widowControl w:val="0"/>
        <w:tabs>
          <w:tab w:val="left" w:pos="43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(C-D)</w:t>
      </w:r>
      <w:r>
        <w:rPr>
          <w:rFonts w:hint="eastAsia" w:ascii="Times New Roman" w:hAnsi="Times New Roman" w:eastAsia="宋体"/>
          <w:sz w:val="21"/>
          <w:lang w:val="en-US" w:eastAsia="zh-CN"/>
        </w:rPr>
        <w:t xml:space="preserve"> Corresponding quantitative statistical graph.</w:t>
      </w:r>
    </w:p>
    <w:p w14:paraId="76D68912">
      <w:pPr>
        <w:tabs>
          <w:tab w:val="left" w:pos="1298"/>
        </w:tabs>
        <w:jc w:val="left"/>
        <w:rPr>
          <w:rFonts w:hint="eastAsia" w:ascii="Times New Roman" w:hAnsi="Times New Roman" w:cs="Times New Roman" w:eastAsiaTheme="minor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cs="Times New Roman"/>
          <w:szCs w:val="21"/>
        </w:rPr>
        <w:t>Data are presented as mean ± SD. Statistical significance: *p &lt; 0.05; **p &lt; 0.01; ***p &lt; 0.001; ****p &lt; 0.0001</w:t>
      </w:r>
      <w:r>
        <w:rPr>
          <w:rFonts w:hint="eastAsia" w:ascii="Times New Roman" w:hAnsi="Times New Roman" w:cs="Times New Roman"/>
          <w:szCs w:val="21"/>
          <w:lang w:val="en-US" w:eastAsia="zh-CN"/>
        </w:rPr>
        <w:t>.</w:t>
      </w:r>
    </w:p>
    <w:p w14:paraId="40EA2E98">
      <w:pPr>
        <w:tabs>
          <w:tab w:val="left" w:pos="1298"/>
        </w:tabs>
        <w:jc w:val="left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268595" cy="7452360"/>
            <wp:effectExtent l="0" t="0" r="1905" b="2540"/>
            <wp:docPr id="3" name="图片 3" descr="7D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DAY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A593A">
      <w:pPr>
        <w:spacing w:line="30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 xml:space="preserve">Supplemental Figure </w:t>
      </w:r>
      <w:r>
        <w:rPr>
          <w:rFonts w:hint="eastAsia" w:ascii="Times New Roman" w:hAnsi="Times New Roman" w:cs="Times New Roman"/>
          <w:b/>
          <w:bCs/>
          <w:szCs w:val="21"/>
        </w:rPr>
        <w:t>9</w:t>
      </w:r>
      <w:r>
        <w:rPr>
          <w:rFonts w:ascii="Times New Roman" w:hAnsi="Times New Roman" w:cs="Times New Roman"/>
          <w:b/>
          <w:bCs/>
          <w:szCs w:val="21"/>
        </w:rPr>
        <w:t xml:space="preserve">. Inhibition of spastin-mediated autophagy compromises motor function recovery following spinal cord injury.  </w:t>
      </w:r>
      <w:r>
        <w:rPr>
          <w:rFonts w:ascii="Times New Roman" w:hAnsi="Times New Roman" w:cs="Times New Roman"/>
          <w:szCs w:val="21"/>
        </w:rPr>
        <w:br w:type="textWrapping"/>
      </w:r>
      <w:r>
        <w:rPr>
          <w:rFonts w:ascii="Times New Roman" w:hAnsi="Times New Roman" w:cs="Times New Roman"/>
          <w:szCs w:val="21"/>
        </w:rPr>
        <w:t>(A) Representative hindlimb footprint patterns from mice in the Sham, SCI, SCI + Spastazoline, and SCI + Spastazoline + CQ groups at</w:t>
      </w:r>
      <w:r>
        <w:rPr>
          <w:rFonts w:hint="eastAsia" w:ascii="Times New Roman" w:hAnsi="Times New Roman" w:cs="Times New Roman"/>
          <w:szCs w:val="21"/>
        </w:rPr>
        <w:t xml:space="preserve"> 7</w:t>
      </w:r>
      <w:r>
        <w:rPr>
          <w:rFonts w:ascii="Times New Roman" w:hAnsi="Times New Roman" w:cs="Times New Roman"/>
          <w:szCs w:val="21"/>
        </w:rPr>
        <w:t xml:space="preserve"> days post-injury.  </w:t>
      </w:r>
      <w:r>
        <w:rPr>
          <w:rFonts w:ascii="Times New Roman" w:hAnsi="Times New Roman" w:cs="Times New Roman"/>
          <w:szCs w:val="21"/>
        </w:rPr>
        <w:br w:type="textWrapping"/>
      </w:r>
      <w:r>
        <w:rPr>
          <w:rFonts w:ascii="Times New Roman" w:hAnsi="Times New Roman" w:cs="Times New Roman"/>
          <w:szCs w:val="21"/>
        </w:rPr>
        <w:t xml:space="preserve">(B, C) Quantitative analyses of hindlimb stride length and stride width, respectively, at </w:t>
      </w:r>
      <w:r>
        <w:rPr>
          <w:rFonts w:hint="eastAsia" w:ascii="Times New Roman" w:hAnsi="Times New Roman" w:cs="Times New Roman"/>
          <w:szCs w:val="21"/>
        </w:rPr>
        <w:t>7</w:t>
      </w:r>
      <w:r>
        <w:rPr>
          <w:rFonts w:ascii="Times New Roman" w:hAnsi="Times New Roman" w:cs="Times New Roman"/>
          <w:szCs w:val="21"/>
        </w:rPr>
        <w:t xml:space="preserve"> days post-injury.  </w:t>
      </w:r>
      <w:r>
        <w:rPr>
          <w:rFonts w:ascii="Times New Roman" w:hAnsi="Times New Roman" w:cs="Times New Roman"/>
          <w:szCs w:val="21"/>
        </w:rPr>
        <w:br w:type="textWrapping"/>
      </w:r>
      <w:r>
        <w:rPr>
          <w:rFonts w:ascii="Times New Roman" w:hAnsi="Times New Roman" w:cs="Times New Roman"/>
          <w:szCs w:val="21"/>
        </w:rPr>
        <w:t xml:space="preserve">(D) Number of right hindlimb footfalls (footfaults) over 50 steps per animal at </w:t>
      </w:r>
      <w:r>
        <w:rPr>
          <w:rFonts w:hint="eastAsia" w:ascii="Times New Roman" w:hAnsi="Times New Roman" w:cs="Times New Roman"/>
          <w:szCs w:val="21"/>
        </w:rPr>
        <w:t>7</w:t>
      </w:r>
      <w:r>
        <w:rPr>
          <w:rFonts w:ascii="Times New Roman" w:hAnsi="Times New Roman" w:cs="Times New Roman"/>
          <w:szCs w:val="21"/>
        </w:rPr>
        <w:t xml:space="preserve"> days post-injury.  </w:t>
      </w:r>
      <w:r>
        <w:rPr>
          <w:rFonts w:ascii="Times New Roman" w:hAnsi="Times New Roman" w:cs="Times New Roman"/>
          <w:szCs w:val="21"/>
        </w:rPr>
        <w:br w:type="textWrapping"/>
      </w:r>
      <w:r>
        <w:rPr>
          <w:rFonts w:ascii="Times New Roman" w:hAnsi="Times New Roman" w:cs="Times New Roman"/>
          <w:szCs w:val="21"/>
        </w:rPr>
        <w:t>(</w:t>
      </w:r>
      <w:r>
        <w:rPr>
          <w:rFonts w:hint="eastAsia" w:ascii="Times New Roman" w:hAnsi="Times New Roman" w:cs="Times New Roman"/>
          <w:szCs w:val="21"/>
        </w:rPr>
        <w:t>E</w:t>
      </w:r>
      <w:r>
        <w:rPr>
          <w:rFonts w:ascii="Times New Roman" w:hAnsi="Times New Roman" w:cs="Times New Roman"/>
          <w:szCs w:val="21"/>
        </w:rPr>
        <w:t xml:space="preserve">) Hindlimb footprints of mice in the Sham, SCI, SCI + Spastazoline, SCI + Rapamycin, and SCI + Rapamycin + Spastazoline groups at </w:t>
      </w:r>
      <w:r>
        <w:rPr>
          <w:rFonts w:hint="eastAsia" w:ascii="Times New Roman" w:hAnsi="Times New Roman" w:cs="Times New Roman"/>
          <w:szCs w:val="21"/>
        </w:rPr>
        <w:t>7</w:t>
      </w:r>
      <w:r>
        <w:rPr>
          <w:rFonts w:ascii="Times New Roman" w:hAnsi="Times New Roman" w:cs="Times New Roman"/>
          <w:szCs w:val="21"/>
        </w:rPr>
        <w:t xml:space="preserve"> days post-surgery. </w:t>
      </w:r>
    </w:p>
    <w:p w14:paraId="6F0E085E">
      <w:pPr>
        <w:spacing w:line="30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(</w:t>
      </w:r>
      <w:r>
        <w:rPr>
          <w:rFonts w:hint="eastAsia" w:ascii="Times New Roman" w:hAnsi="Times New Roman" w:cs="Times New Roman"/>
          <w:szCs w:val="21"/>
        </w:rPr>
        <w:t>F</w:t>
      </w:r>
      <w:r>
        <w:rPr>
          <w:rFonts w:ascii="Times New Roman" w:hAnsi="Times New Roman" w:cs="Times New Roman"/>
          <w:szCs w:val="21"/>
        </w:rPr>
        <w:t>-</w:t>
      </w:r>
      <w:r>
        <w:rPr>
          <w:rFonts w:hint="eastAsia" w:ascii="Times New Roman" w:hAnsi="Times New Roman" w:cs="Times New Roman"/>
          <w:szCs w:val="21"/>
        </w:rPr>
        <w:t>G</w:t>
      </w:r>
      <w:r>
        <w:rPr>
          <w:rFonts w:ascii="Times New Roman" w:hAnsi="Times New Roman" w:cs="Times New Roman"/>
          <w:szCs w:val="21"/>
        </w:rPr>
        <w:t xml:space="preserve">) Quantitative analysis of stride length and width of hindlimb footprints for each group of mice at </w:t>
      </w:r>
      <w:r>
        <w:rPr>
          <w:rFonts w:hint="eastAsia" w:ascii="Times New Roman" w:hAnsi="Times New Roman" w:cs="Times New Roman"/>
          <w:szCs w:val="21"/>
        </w:rPr>
        <w:t>7</w:t>
      </w:r>
      <w:r>
        <w:rPr>
          <w:rFonts w:ascii="Times New Roman" w:hAnsi="Times New Roman" w:cs="Times New Roman"/>
          <w:szCs w:val="21"/>
        </w:rPr>
        <w:t xml:space="preserve"> days post-surgery. </w:t>
      </w:r>
    </w:p>
    <w:p w14:paraId="0863F98F">
      <w:pPr>
        <w:spacing w:line="30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(</w:t>
      </w:r>
      <w:r>
        <w:rPr>
          <w:rFonts w:hint="eastAsia" w:ascii="Times New Roman" w:hAnsi="Times New Roman" w:cs="Times New Roman"/>
          <w:szCs w:val="21"/>
        </w:rPr>
        <w:t>H</w:t>
      </w:r>
      <w:r>
        <w:rPr>
          <w:rFonts w:ascii="Times New Roman" w:hAnsi="Times New Roman" w:cs="Times New Roman"/>
          <w:szCs w:val="21"/>
        </w:rPr>
        <w:t xml:space="preserve">) Number of footfaults in the right hindlimb over 50 steps for each group at </w:t>
      </w:r>
      <w:r>
        <w:rPr>
          <w:rFonts w:hint="eastAsia" w:ascii="Times New Roman" w:hAnsi="Times New Roman" w:cs="Times New Roman"/>
          <w:szCs w:val="21"/>
        </w:rPr>
        <w:t>7</w:t>
      </w:r>
      <w:r>
        <w:rPr>
          <w:rFonts w:ascii="Times New Roman" w:hAnsi="Times New Roman" w:cs="Times New Roman"/>
          <w:szCs w:val="21"/>
        </w:rPr>
        <w:t xml:space="preserve"> days post-surgery.  </w:t>
      </w:r>
      <w:r>
        <w:rPr>
          <w:rFonts w:ascii="Times New Roman" w:hAnsi="Times New Roman" w:cs="Times New Roman"/>
          <w:szCs w:val="21"/>
        </w:rPr>
        <w:br w:type="textWrapping"/>
      </w:r>
      <w:r>
        <w:rPr>
          <w:rFonts w:ascii="Times New Roman" w:hAnsi="Times New Roman" w:cs="Times New Roman"/>
          <w:szCs w:val="21"/>
        </w:rPr>
        <w:t>Data are presented as mean ± SD (n = 4 mice per group). Statistical significance: *p &lt; 0.05; **p &lt; 0.01; ***p &lt; 0.001; ****p &lt; 0.0001.</w:t>
      </w:r>
    </w:p>
    <w:p w14:paraId="7E699CB7">
      <w:pPr>
        <w:tabs>
          <w:tab w:val="left" w:pos="248"/>
        </w:tabs>
        <w:jc w:val="left"/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4AE1A68">
      <w:pPr>
        <w:tabs>
          <w:tab w:val="left" w:pos="1298"/>
        </w:tabs>
        <w:jc w:val="left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268595" cy="7452360"/>
            <wp:effectExtent l="0" t="0" r="1905" b="2540"/>
            <wp:docPr id="4" name="图片 4" descr="14D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4DAY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7E06D">
      <w:pPr>
        <w:spacing w:line="30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 xml:space="preserve">Supplemental Figure </w:t>
      </w:r>
      <w:r>
        <w:rPr>
          <w:rFonts w:hint="eastAsia" w:ascii="Times New Roman" w:hAnsi="Times New Roman" w:cs="Times New Roman"/>
          <w:b/>
          <w:bCs/>
          <w:szCs w:val="21"/>
        </w:rPr>
        <w:t>10</w:t>
      </w:r>
      <w:r>
        <w:rPr>
          <w:rFonts w:ascii="Times New Roman" w:hAnsi="Times New Roman" w:cs="Times New Roman"/>
          <w:b/>
          <w:bCs/>
          <w:szCs w:val="21"/>
        </w:rPr>
        <w:t xml:space="preserve">. Inhibition of spastin-mediated autophagy compromises motor function recovery following spinal cord injury.  </w:t>
      </w:r>
      <w:r>
        <w:rPr>
          <w:rFonts w:ascii="Times New Roman" w:hAnsi="Times New Roman" w:cs="Times New Roman"/>
          <w:szCs w:val="21"/>
        </w:rPr>
        <w:br w:type="textWrapping"/>
      </w:r>
      <w:r>
        <w:rPr>
          <w:rFonts w:ascii="Times New Roman" w:hAnsi="Times New Roman" w:cs="Times New Roman"/>
          <w:szCs w:val="21"/>
        </w:rPr>
        <w:t>(A) Representative hindlimb footprint patterns from mice in the Sham, SCI, SCI + Spastazoline, and SCI + Spastazoline + CQ groups at</w:t>
      </w:r>
      <w:r>
        <w:rPr>
          <w:rFonts w:hint="eastAsia" w:ascii="Times New Roman" w:hAnsi="Times New Roman" w:cs="Times New Roman"/>
          <w:szCs w:val="21"/>
        </w:rPr>
        <w:t xml:space="preserve"> 14</w:t>
      </w:r>
      <w:r>
        <w:rPr>
          <w:rFonts w:ascii="Times New Roman" w:hAnsi="Times New Roman" w:cs="Times New Roman"/>
          <w:szCs w:val="21"/>
        </w:rPr>
        <w:t xml:space="preserve"> days post-injury.  </w:t>
      </w:r>
      <w:r>
        <w:rPr>
          <w:rFonts w:ascii="Times New Roman" w:hAnsi="Times New Roman" w:cs="Times New Roman"/>
          <w:szCs w:val="21"/>
        </w:rPr>
        <w:br w:type="textWrapping"/>
      </w:r>
      <w:r>
        <w:rPr>
          <w:rFonts w:ascii="Times New Roman" w:hAnsi="Times New Roman" w:cs="Times New Roman"/>
          <w:szCs w:val="21"/>
        </w:rPr>
        <w:t xml:space="preserve">(B, C) Quantitative analyses of hindlimb stride length and stride width, respectively, at </w:t>
      </w:r>
      <w:r>
        <w:rPr>
          <w:rFonts w:hint="eastAsia" w:ascii="Times New Roman" w:hAnsi="Times New Roman" w:cs="Times New Roman"/>
          <w:szCs w:val="21"/>
        </w:rPr>
        <w:t>14</w:t>
      </w:r>
      <w:r>
        <w:rPr>
          <w:rFonts w:ascii="Times New Roman" w:hAnsi="Times New Roman" w:cs="Times New Roman"/>
          <w:szCs w:val="21"/>
        </w:rPr>
        <w:t xml:space="preserve"> days post-injury.  </w:t>
      </w:r>
      <w:r>
        <w:rPr>
          <w:rFonts w:ascii="Times New Roman" w:hAnsi="Times New Roman" w:cs="Times New Roman"/>
          <w:szCs w:val="21"/>
        </w:rPr>
        <w:br w:type="textWrapping"/>
      </w:r>
      <w:r>
        <w:rPr>
          <w:rFonts w:ascii="Times New Roman" w:hAnsi="Times New Roman" w:cs="Times New Roman"/>
          <w:szCs w:val="21"/>
        </w:rPr>
        <w:t xml:space="preserve">(D) Number of right hindlimb footfalls (footfaults) over 50 steps per animal at </w:t>
      </w:r>
      <w:r>
        <w:rPr>
          <w:rFonts w:hint="eastAsia" w:ascii="Times New Roman" w:hAnsi="Times New Roman" w:cs="Times New Roman"/>
          <w:szCs w:val="21"/>
        </w:rPr>
        <w:t>14</w:t>
      </w:r>
      <w:r>
        <w:rPr>
          <w:rFonts w:ascii="Times New Roman" w:hAnsi="Times New Roman" w:cs="Times New Roman"/>
          <w:szCs w:val="21"/>
        </w:rPr>
        <w:t xml:space="preserve"> days post-injury.  </w:t>
      </w:r>
      <w:r>
        <w:rPr>
          <w:rFonts w:ascii="Times New Roman" w:hAnsi="Times New Roman" w:cs="Times New Roman"/>
          <w:szCs w:val="21"/>
        </w:rPr>
        <w:br w:type="textWrapping"/>
      </w:r>
      <w:r>
        <w:rPr>
          <w:rFonts w:ascii="Times New Roman" w:hAnsi="Times New Roman" w:cs="Times New Roman"/>
          <w:szCs w:val="21"/>
        </w:rPr>
        <w:t>(</w:t>
      </w:r>
      <w:r>
        <w:rPr>
          <w:rFonts w:hint="eastAsia" w:ascii="Times New Roman" w:hAnsi="Times New Roman" w:cs="Times New Roman"/>
          <w:szCs w:val="21"/>
        </w:rPr>
        <w:t>E</w:t>
      </w:r>
      <w:r>
        <w:rPr>
          <w:rFonts w:ascii="Times New Roman" w:hAnsi="Times New Roman" w:cs="Times New Roman"/>
          <w:szCs w:val="21"/>
        </w:rPr>
        <w:t xml:space="preserve">) Hindlimb footprints of mice in the Sham, SCI, SCI + Spastazoline, SCI + Rapamycin, and SCI + Rapamycin + Spastazoline groups at </w:t>
      </w:r>
      <w:r>
        <w:rPr>
          <w:rFonts w:hint="eastAsia" w:ascii="Times New Roman" w:hAnsi="Times New Roman" w:cs="Times New Roman"/>
          <w:szCs w:val="21"/>
        </w:rPr>
        <w:t>14</w:t>
      </w:r>
      <w:r>
        <w:rPr>
          <w:rFonts w:ascii="Times New Roman" w:hAnsi="Times New Roman" w:cs="Times New Roman"/>
          <w:szCs w:val="21"/>
        </w:rPr>
        <w:t xml:space="preserve"> days post-surgery. </w:t>
      </w:r>
    </w:p>
    <w:p w14:paraId="78A96480">
      <w:pPr>
        <w:spacing w:line="30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(</w:t>
      </w:r>
      <w:r>
        <w:rPr>
          <w:rFonts w:hint="eastAsia" w:ascii="Times New Roman" w:hAnsi="Times New Roman" w:cs="Times New Roman"/>
          <w:szCs w:val="21"/>
        </w:rPr>
        <w:t>F</w:t>
      </w:r>
      <w:r>
        <w:rPr>
          <w:rFonts w:ascii="Times New Roman" w:hAnsi="Times New Roman" w:cs="Times New Roman"/>
          <w:szCs w:val="21"/>
        </w:rPr>
        <w:t>-</w:t>
      </w:r>
      <w:r>
        <w:rPr>
          <w:rFonts w:hint="eastAsia" w:ascii="Times New Roman" w:hAnsi="Times New Roman" w:cs="Times New Roman"/>
          <w:szCs w:val="21"/>
        </w:rPr>
        <w:t>G</w:t>
      </w:r>
      <w:r>
        <w:rPr>
          <w:rFonts w:ascii="Times New Roman" w:hAnsi="Times New Roman" w:cs="Times New Roman"/>
          <w:szCs w:val="21"/>
        </w:rPr>
        <w:t xml:space="preserve">) Quantitative analysis of stride length and width of hindlimb footprints for each group of mice at </w:t>
      </w:r>
      <w:r>
        <w:rPr>
          <w:rFonts w:hint="eastAsia" w:ascii="Times New Roman" w:hAnsi="Times New Roman" w:cs="Times New Roman"/>
          <w:szCs w:val="21"/>
        </w:rPr>
        <w:t>14</w:t>
      </w:r>
      <w:r>
        <w:rPr>
          <w:rFonts w:ascii="Times New Roman" w:hAnsi="Times New Roman" w:cs="Times New Roman"/>
          <w:szCs w:val="21"/>
        </w:rPr>
        <w:t xml:space="preserve"> days post-surgery. </w:t>
      </w:r>
    </w:p>
    <w:p w14:paraId="15817777">
      <w:pPr>
        <w:spacing w:line="30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(</w:t>
      </w:r>
      <w:r>
        <w:rPr>
          <w:rFonts w:hint="eastAsia" w:ascii="Times New Roman" w:hAnsi="Times New Roman" w:cs="Times New Roman"/>
          <w:szCs w:val="21"/>
        </w:rPr>
        <w:t>H</w:t>
      </w:r>
      <w:r>
        <w:rPr>
          <w:rFonts w:ascii="Times New Roman" w:hAnsi="Times New Roman" w:cs="Times New Roman"/>
          <w:szCs w:val="21"/>
        </w:rPr>
        <w:t xml:space="preserve">) Number of footfaults in the right hindlimb over 50 steps for each group at </w:t>
      </w:r>
      <w:r>
        <w:rPr>
          <w:rFonts w:hint="eastAsia" w:ascii="Times New Roman" w:hAnsi="Times New Roman" w:cs="Times New Roman"/>
          <w:szCs w:val="21"/>
        </w:rPr>
        <w:t>14</w:t>
      </w:r>
      <w:r>
        <w:rPr>
          <w:rFonts w:ascii="Times New Roman" w:hAnsi="Times New Roman" w:cs="Times New Roman"/>
          <w:szCs w:val="21"/>
        </w:rPr>
        <w:t xml:space="preserve"> days post-surgery.  </w:t>
      </w:r>
      <w:r>
        <w:rPr>
          <w:rFonts w:ascii="Times New Roman" w:hAnsi="Times New Roman" w:cs="Times New Roman"/>
          <w:szCs w:val="21"/>
        </w:rPr>
        <w:br w:type="textWrapping"/>
      </w:r>
      <w:r>
        <w:rPr>
          <w:rFonts w:ascii="Times New Roman" w:hAnsi="Times New Roman" w:cs="Times New Roman"/>
          <w:szCs w:val="21"/>
        </w:rPr>
        <w:t>Data are presented as mean ± SD (n = 4 mice per group). Statistical significance: *p &lt; 0.05; **p &lt; 0.01; ***p &lt; 0.001; ****p &lt; 0.0001.</w:t>
      </w:r>
    </w:p>
    <w:p w14:paraId="22D0D88A">
      <w:pPr>
        <w:tabs>
          <w:tab w:val="left" w:pos="248"/>
        </w:tabs>
        <w:jc w:val="left"/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10FE479">
      <w:pPr>
        <w:tabs>
          <w:tab w:val="left" w:pos="1298"/>
        </w:tabs>
        <w:jc w:val="left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268595" cy="7452360"/>
            <wp:effectExtent l="0" t="0" r="1905" b="2540"/>
            <wp:docPr id="5" name="图片 5" descr="21D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1DAY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CD498">
      <w:pPr>
        <w:spacing w:line="30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 xml:space="preserve">Supplemental Figure </w:t>
      </w:r>
      <w:r>
        <w:rPr>
          <w:rFonts w:hint="eastAsia" w:ascii="Times New Roman" w:hAnsi="Times New Roman" w:cs="Times New Roman"/>
          <w:b/>
          <w:bCs/>
          <w:szCs w:val="21"/>
        </w:rPr>
        <w:t>11</w:t>
      </w:r>
      <w:r>
        <w:rPr>
          <w:rFonts w:ascii="Times New Roman" w:hAnsi="Times New Roman" w:cs="Times New Roman"/>
          <w:b/>
          <w:bCs/>
          <w:szCs w:val="21"/>
        </w:rPr>
        <w:t xml:space="preserve">. Inhibition of spastin-mediated autophagy compromises motor function recovery following spinal cord injury.  </w:t>
      </w:r>
      <w:r>
        <w:rPr>
          <w:rFonts w:ascii="Times New Roman" w:hAnsi="Times New Roman" w:cs="Times New Roman"/>
          <w:szCs w:val="21"/>
        </w:rPr>
        <w:br w:type="textWrapping"/>
      </w:r>
      <w:r>
        <w:rPr>
          <w:rFonts w:ascii="Times New Roman" w:hAnsi="Times New Roman" w:cs="Times New Roman"/>
          <w:szCs w:val="21"/>
        </w:rPr>
        <w:t>(A) Representative hindlimb footprint patterns from mice in the Sham, SCI, SCI + Spastazoline, and SCI + Spastazoline + CQ groups at</w:t>
      </w:r>
      <w:r>
        <w:rPr>
          <w:rFonts w:hint="eastAsia" w:ascii="Times New Roman" w:hAnsi="Times New Roman" w:cs="Times New Roman"/>
          <w:szCs w:val="21"/>
        </w:rPr>
        <w:t xml:space="preserve"> 21</w:t>
      </w:r>
      <w:r>
        <w:rPr>
          <w:rFonts w:ascii="Times New Roman" w:hAnsi="Times New Roman" w:cs="Times New Roman"/>
          <w:szCs w:val="21"/>
        </w:rPr>
        <w:t xml:space="preserve"> days post-injury.  </w:t>
      </w:r>
      <w:r>
        <w:rPr>
          <w:rFonts w:ascii="Times New Roman" w:hAnsi="Times New Roman" w:cs="Times New Roman"/>
          <w:szCs w:val="21"/>
        </w:rPr>
        <w:br w:type="textWrapping"/>
      </w:r>
      <w:r>
        <w:rPr>
          <w:rFonts w:ascii="Times New Roman" w:hAnsi="Times New Roman" w:cs="Times New Roman"/>
          <w:szCs w:val="21"/>
        </w:rPr>
        <w:t xml:space="preserve">(B, C) Quantitative analyses of hindlimb stride length and stride width, respectively, at </w:t>
      </w:r>
      <w:r>
        <w:rPr>
          <w:rFonts w:hint="eastAsia" w:ascii="Times New Roman" w:hAnsi="Times New Roman" w:cs="Times New Roman"/>
          <w:szCs w:val="21"/>
        </w:rPr>
        <w:t>21</w:t>
      </w:r>
      <w:r>
        <w:rPr>
          <w:rFonts w:ascii="Times New Roman" w:hAnsi="Times New Roman" w:cs="Times New Roman"/>
          <w:szCs w:val="21"/>
        </w:rPr>
        <w:t xml:space="preserve"> days post-injury.  </w:t>
      </w:r>
      <w:r>
        <w:rPr>
          <w:rFonts w:ascii="Times New Roman" w:hAnsi="Times New Roman" w:cs="Times New Roman"/>
          <w:szCs w:val="21"/>
        </w:rPr>
        <w:br w:type="textWrapping"/>
      </w:r>
      <w:r>
        <w:rPr>
          <w:rFonts w:ascii="Times New Roman" w:hAnsi="Times New Roman" w:cs="Times New Roman"/>
          <w:szCs w:val="21"/>
        </w:rPr>
        <w:t xml:space="preserve">(D) Number of right hindlimb footfalls (footfaults) over 50 steps per animal at </w:t>
      </w:r>
      <w:r>
        <w:rPr>
          <w:rFonts w:hint="eastAsia" w:ascii="Times New Roman" w:hAnsi="Times New Roman" w:cs="Times New Roman"/>
          <w:szCs w:val="21"/>
        </w:rPr>
        <w:t>21</w:t>
      </w:r>
      <w:r>
        <w:rPr>
          <w:rFonts w:ascii="Times New Roman" w:hAnsi="Times New Roman" w:cs="Times New Roman"/>
          <w:szCs w:val="21"/>
        </w:rPr>
        <w:t xml:space="preserve"> days post-injury.  </w:t>
      </w:r>
      <w:r>
        <w:rPr>
          <w:rFonts w:ascii="Times New Roman" w:hAnsi="Times New Roman" w:cs="Times New Roman"/>
          <w:szCs w:val="21"/>
        </w:rPr>
        <w:br w:type="textWrapping"/>
      </w:r>
      <w:r>
        <w:rPr>
          <w:rFonts w:ascii="Times New Roman" w:hAnsi="Times New Roman" w:cs="Times New Roman"/>
          <w:szCs w:val="21"/>
        </w:rPr>
        <w:t>(</w:t>
      </w:r>
      <w:r>
        <w:rPr>
          <w:rFonts w:hint="eastAsia" w:ascii="Times New Roman" w:hAnsi="Times New Roman" w:cs="Times New Roman"/>
          <w:szCs w:val="21"/>
        </w:rPr>
        <w:t>E</w:t>
      </w:r>
      <w:r>
        <w:rPr>
          <w:rFonts w:ascii="Times New Roman" w:hAnsi="Times New Roman" w:cs="Times New Roman"/>
          <w:szCs w:val="21"/>
        </w:rPr>
        <w:t xml:space="preserve">) Hindlimb footprints of mice in the Sham, SCI, SCI + Spastazoline, SCI + Rapamycin, and SCI + Rapamycin + Spastazoline groups at </w:t>
      </w:r>
      <w:r>
        <w:rPr>
          <w:rFonts w:hint="eastAsia" w:ascii="Times New Roman" w:hAnsi="Times New Roman" w:cs="Times New Roman"/>
          <w:szCs w:val="21"/>
        </w:rPr>
        <w:t>21</w:t>
      </w:r>
      <w:r>
        <w:rPr>
          <w:rFonts w:ascii="Times New Roman" w:hAnsi="Times New Roman" w:cs="Times New Roman"/>
          <w:szCs w:val="21"/>
        </w:rPr>
        <w:t xml:space="preserve"> days post-surgery. </w:t>
      </w:r>
    </w:p>
    <w:p w14:paraId="7C348E80">
      <w:pPr>
        <w:spacing w:line="30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(</w:t>
      </w:r>
      <w:r>
        <w:rPr>
          <w:rFonts w:hint="eastAsia" w:ascii="Times New Roman" w:hAnsi="Times New Roman" w:cs="Times New Roman"/>
          <w:szCs w:val="21"/>
        </w:rPr>
        <w:t>F</w:t>
      </w:r>
      <w:r>
        <w:rPr>
          <w:rFonts w:ascii="Times New Roman" w:hAnsi="Times New Roman" w:cs="Times New Roman"/>
          <w:szCs w:val="21"/>
        </w:rPr>
        <w:t>-</w:t>
      </w:r>
      <w:r>
        <w:rPr>
          <w:rFonts w:hint="eastAsia" w:ascii="Times New Roman" w:hAnsi="Times New Roman" w:cs="Times New Roman"/>
          <w:szCs w:val="21"/>
        </w:rPr>
        <w:t>G</w:t>
      </w:r>
      <w:r>
        <w:rPr>
          <w:rFonts w:ascii="Times New Roman" w:hAnsi="Times New Roman" w:cs="Times New Roman"/>
          <w:szCs w:val="21"/>
        </w:rPr>
        <w:t xml:space="preserve">) Quantitative analysis of stride length and width of hindlimb footprints for each group of mice at </w:t>
      </w:r>
      <w:r>
        <w:rPr>
          <w:rFonts w:hint="eastAsia" w:ascii="Times New Roman" w:hAnsi="Times New Roman" w:cs="Times New Roman"/>
          <w:szCs w:val="21"/>
        </w:rPr>
        <w:t>21</w:t>
      </w:r>
      <w:r>
        <w:rPr>
          <w:rFonts w:ascii="Times New Roman" w:hAnsi="Times New Roman" w:cs="Times New Roman"/>
          <w:szCs w:val="21"/>
        </w:rPr>
        <w:t xml:space="preserve"> days post-surgery. </w:t>
      </w:r>
    </w:p>
    <w:p w14:paraId="216C41B2">
      <w:pPr>
        <w:spacing w:line="30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(</w:t>
      </w:r>
      <w:r>
        <w:rPr>
          <w:rFonts w:hint="eastAsia" w:ascii="Times New Roman" w:hAnsi="Times New Roman" w:cs="Times New Roman"/>
          <w:szCs w:val="21"/>
        </w:rPr>
        <w:t>H</w:t>
      </w:r>
      <w:r>
        <w:rPr>
          <w:rFonts w:ascii="Times New Roman" w:hAnsi="Times New Roman" w:cs="Times New Roman"/>
          <w:szCs w:val="21"/>
        </w:rPr>
        <w:t xml:space="preserve">) Number of footfaults in the right hindlimb over 50 steps for each group at </w:t>
      </w:r>
      <w:r>
        <w:rPr>
          <w:rFonts w:hint="eastAsia" w:ascii="Times New Roman" w:hAnsi="Times New Roman" w:cs="Times New Roman"/>
          <w:szCs w:val="21"/>
        </w:rPr>
        <w:t>21</w:t>
      </w:r>
      <w:r>
        <w:rPr>
          <w:rFonts w:ascii="Times New Roman" w:hAnsi="Times New Roman" w:cs="Times New Roman"/>
          <w:szCs w:val="21"/>
        </w:rPr>
        <w:t xml:space="preserve"> days post-surgery.  </w:t>
      </w:r>
      <w:r>
        <w:rPr>
          <w:rFonts w:ascii="Times New Roman" w:hAnsi="Times New Roman" w:cs="Times New Roman"/>
          <w:szCs w:val="21"/>
        </w:rPr>
        <w:br w:type="textWrapping"/>
      </w:r>
      <w:r>
        <w:rPr>
          <w:rFonts w:ascii="Times New Roman" w:hAnsi="Times New Roman" w:cs="Times New Roman"/>
          <w:szCs w:val="21"/>
        </w:rPr>
        <w:t>Data are presented as mean ± SD (n = 4 mice per group). Statistical significance: *p &lt; 0.05; **p &lt; 0.01; ***p &lt; 0.001; ****p &lt; 0.0001</w:t>
      </w:r>
    </w:p>
    <w:p w14:paraId="79FDDB5A">
      <w:pPr>
        <w:spacing w:line="300" w:lineRule="auto"/>
        <w:rPr>
          <w:rFonts w:ascii="Times New Roman" w:hAnsi="Times New Roman" w:cs="Times New Roman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DBF72E"/>
    <w:multiLevelType w:val="singleLevel"/>
    <w:tmpl w:val="8EDBF72E"/>
    <w:lvl w:ilvl="0" w:tentative="0">
      <w:start w:val="1"/>
      <w:numFmt w:val="upperLetter"/>
      <w:suff w:val="space"/>
      <w:lvlText w:val="(%1)"/>
      <w:lvlJc w:val="left"/>
    </w:lvl>
  </w:abstractNum>
  <w:abstractNum w:abstractNumId="1">
    <w:nsid w:val="4D1CA91B"/>
    <w:multiLevelType w:val="singleLevel"/>
    <w:tmpl w:val="4D1CA91B"/>
    <w:lvl w:ilvl="0" w:tentative="0">
      <w:start w:val="1"/>
      <w:numFmt w:val="upperLetter"/>
      <w:suff w:val="space"/>
      <w:lvlText w:val="(%1)"/>
      <w:lvlJc w:val="left"/>
    </w:lvl>
  </w:abstractNum>
  <w:abstractNum w:abstractNumId="2">
    <w:nsid w:val="7F8662DB"/>
    <w:multiLevelType w:val="singleLevel"/>
    <w:tmpl w:val="7F8662DB"/>
    <w:lvl w:ilvl="0" w:tentative="0">
      <w:start w:val="1"/>
      <w:numFmt w:val="upperLetter"/>
      <w:suff w:val="space"/>
      <w:lvlText w:val="(%1)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1E8"/>
    <w:rsid w:val="000B79F6"/>
    <w:rsid w:val="00193AC1"/>
    <w:rsid w:val="002A5A82"/>
    <w:rsid w:val="003A639C"/>
    <w:rsid w:val="00450040"/>
    <w:rsid w:val="00486A92"/>
    <w:rsid w:val="004A5EF3"/>
    <w:rsid w:val="00547E8D"/>
    <w:rsid w:val="00595035"/>
    <w:rsid w:val="008674A4"/>
    <w:rsid w:val="008A6AC5"/>
    <w:rsid w:val="00A408E2"/>
    <w:rsid w:val="00B72891"/>
    <w:rsid w:val="00B95468"/>
    <w:rsid w:val="00BD6F86"/>
    <w:rsid w:val="00DB4885"/>
    <w:rsid w:val="00E478E9"/>
    <w:rsid w:val="00F2078A"/>
    <w:rsid w:val="00F321E8"/>
    <w:rsid w:val="00FC53A2"/>
    <w:rsid w:val="08265D38"/>
    <w:rsid w:val="13D36C5E"/>
    <w:rsid w:val="14583230"/>
    <w:rsid w:val="18F85A30"/>
    <w:rsid w:val="1BEC59C8"/>
    <w:rsid w:val="29674132"/>
    <w:rsid w:val="2C4D3779"/>
    <w:rsid w:val="2D3B7AC2"/>
    <w:rsid w:val="2DE322BD"/>
    <w:rsid w:val="34AE3F51"/>
    <w:rsid w:val="34FC58CE"/>
    <w:rsid w:val="3B365BA1"/>
    <w:rsid w:val="419C189B"/>
    <w:rsid w:val="45971064"/>
    <w:rsid w:val="4F80040D"/>
    <w:rsid w:val="532A6DFE"/>
    <w:rsid w:val="55F378B6"/>
    <w:rsid w:val="5A24076D"/>
    <w:rsid w:val="5B2852DB"/>
    <w:rsid w:val="632D67F6"/>
    <w:rsid w:val="6EC162DB"/>
    <w:rsid w:val="79A82F06"/>
    <w:rsid w:val="7F49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  <w:sz w:val="22"/>
      <w:szCs w:val="22"/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 w:val="22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:sz w:val="22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:sz w:val="22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Plain Text"/>
    <w:basedOn w:val="1"/>
    <w:qFormat/>
    <w:uiPriority w:val="0"/>
    <w:rPr>
      <w:rFonts w:ascii="宋体" w:hAnsi="Courier New"/>
    </w:rPr>
  </w:style>
  <w:style w:type="paragraph" w:styleId="12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5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:sz w:val="22"/>
      <w:szCs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  <w:rPr>
      <w:sz w:val="22"/>
      <w:szCs w:val="22"/>
      <w14:ligatures w14:val="standardContextual"/>
    </w:rPr>
  </w:style>
  <w:style w:type="character" w:customStyle="1" w:styleId="32">
    <w:name w:val="明显强调1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  <w:sz w:val="22"/>
      <w:szCs w:val="22"/>
      <w14:ligatures w14:val="standardContextual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明显参考1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37">
    <w:name w:val="页脚 字符"/>
    <w:basedOn w:val="17"/>
    <w:link w:val="1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1175</Words>
  <Characters>6597</Characters>
  <Lines>55</Lines>
  <Paragraphs>15</Paragraphs>
  <TotalTime>1</TotalTime>
  <ScaleCrop>false</ScaleCrop>
  <LinksUpToDate>false</LinksUpToDate>
  <CharactersWithSpaces>7788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2026-02-02T04:40:00Z</dcterms:created>
  <dc:creator>Tom Tan</dc:creator>
  <cp:lastModifiedBy>向阳的星光</cp:lastModifiedBy>
  <dcterms:modified xsi:type="dcterms:W3CDTF">2026-07-14T16:31:09Z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eyJoZGlkIjoiZDgxMGU2ZGFlZmM3ODBlNmFjMmZhNDM1YjUyYzhlNWYiLCJ1c2VySWQiOiIzNTMxODY1OTQifQ==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8F6B3A88CA394918B37A62D46F263992_13</vt:lpwstr>
  </property>
</Properties>
</file>