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83D39" w14:textId="5B913962" w:rsidR="00FA1481" w:rsidRPr="000E7FAB" w:rsidRDefault="00E36851" w:rsidP="00E40896">
      <w:pPr>
        <w:jc w:val="center"/>
        <w:rPr>
          <w:i/>
          <w:iCs/>
          <w:sz w:val="36"/>
          <w:szCs w:val="36"/>
        </w:rPr>
      </w:pPr>
      <w:r w:rsidRPr="000E7FAB">
        <w:rPr>
          <w:i/>
          <w:iCs/>
          <w:sz w:val="36"/>
          <w:szCs w:val="36"/>
        </w:rPr>
        <w:t>Pure and Applied Geophysics</w:t>
      </w:r>
    </w:p>
    <w:p w14:paraId="030D1254" w14:textId="77777777" w:rsidR="00E36851" w:rsidRDefault="00E36851" w:rsidP="00FF3503">
      <w:pPr>
        <w:spacing w:before="100" w:beforeAutospacing="1" w:after="100" w:afterAutospacing="1"/>
        <w:jc w:val="center"/>
        <w:rPr>
          <w:rFonts w:asciiTheme="minorHAnsi" w:hAnsiTheme="minorHAnsi"/>
          <w:szCs w:val="24"/>
        </w:rPr>
      </w:pPr>
    </w:p>
    <w:p w14:paraId="2CB29489" w14:textId="0946FAB8" w:rsidR="00FF3503" w:rsidRPr="00344786" w:rsidRDefault="00FF3503" w:rsidP="00FF3503">
      <w:pPr>
        <w:spacing w:before="100" w:beforeAutospacing="1" w:after="100" w:afterAutospacing="1"/>
        <w:jc w:val="center"/>
        <w:rPr>
          <w:rFonts w:asciiTheme="minorHAnsi" w:hAnsiTheme="minorHAnsi"/>
          <w:szCs w:val="24"/>
        </w:rPr>
      </w:pPr>
      <w:r w:rsidRPr="00344786">
        <w:rPr>
          <w:rFonts w:asciiTheme="minorHAnsi" w:hAnsiTheme="minorHAnsi"/>
          <w:szCs w:val="24"/>
        </w:rPr>
        <w:t>Supporting Information for</w:t>
      </w:r>
    </w:p>
    <w:p w14:paraId="59F910A1" w14:textId="5D16EDF3" w:rsidR="00FF3503" w:rsidRPr="00344786" w:rsidRDefault="003D03A9" w:rsidP="003D03A9">
      <w:pPr>
        <w:spacing w:before="100" w:beforeAutospacing="1" w:after="100" w:afterAutospacing="1"/>
        <w:jc w:val="center"/>
        <w:rPr>
          <w:rFonts w:asciiTheme="minorHAnsi" w:hAnsiTheme="minorHAnsi"/>
          <w:b/>
          <w:szCs w:val="24"/>
          <w:lang w:val="en"/>
        </w:rPr>
      </w:pPr>
      <w:r w:rsidRPr="00344786">
        <w:rPr>
          <w:rFonts w:asciiTheme="minorHAnsi" w:hAnsiTheme="minorHAnsi"/>
          <w:b/>
          <w:szCs w:val="24"/>
          <w:lang w:val="en"/>
        </w:rPr>
        <w:t>The Gutenberg</w:t>
      </w:r>
      <w:r w:rsidR="001D2F5A">
        <w:rPr>
          <w:rFonts w:asciiTheme="minorHAnsi" w:hAnsiTheme="minorHAnsi"/>
          <w:b/>
          <w:szCs w:val="24"/>
          <w:lang w:val="en"/>
        </w:rPr>
        <w:t>–</w:t>
      </w:r>
      <w:r w:rsidRPr="00344786">
        <w:rPr>
          <w:rFonts w:asciiTheme="minorHAnsi" w:hAnsiTheme="minorHAnsi"/>
          <w:b/>
          <w:szCs w:val="24"/>
          <w:lang w:val="en"/>
        </w:rPr>
        <w:t xml:space="preserve">Richter Relation </w:t>
      </w:r>
      <w:r w:rsidR="001D2F5A">
        <w:rPr>
          <w:rFonts w:asciiTheme="minorHAnsi" w:hAnsiTheme="minorHAnsi"/>
          <w:b/>
          <w:szCs w:val="24"/>
          <w:lang w:val="en"/>
        </w:rPr>
        <w:t>M</w:t>
      </w:r>
      <w:r w:rsidRPr="00344786">
        <w:rPr>
          <w:rFonts w:asciiTheme="minorHAnsi" w:hAnsiTheme="minorHAnsi"/>
          <w:b/>
          <w:szCs w:val="24"/>
          <w:lang w:val="en"/>
        </w:rPr>
        <w:t xml:space="preserve">ay </w:t>
      </w:r>
      <w:r w:rsidR="001D2F5A">
        <w:rPr>
          <w:rFonts w:asciiTheme="minorHAnsi" w:hAnsiTheme="minorHAnsi"/>
          <w:b/>
          <w:szCs w:val="24"/>
          <w:lang w:val="en"/>
        </w:rPr>
        <w:t>N</w:t>
      </w:r>
      <w:r w:rsidRPr="00344786">
        <w:rPr>
          <w:rFonts w:asciiTheme="minorHAnsi" w:hAnsiTheme="minorHAnsi"/>
          <w:b/>
          <w:szCs w:val="24"/>
          <w:lang w:val="en"/>
        </w:rPr>
        <w:t xml:space="preserve">ot </w:t>
      </w:r>
      <w:r w:rsidR="001D2F5A">
        <w:rPr>
          <w:rFonts w:asciiTheme="minorHAnsi" w:hAnsiTheme="minorHAnsi"/>
          <w:b/>
          <w:szCs w:val="24"/>
          <w:lang w:val="en"/>
        </w:rPr>
        <w:t>H</w:t>
      </w:r>
      <w:r w:rsidRPr="00344786">
        <w:rPr>
          <w:rFonts w:asciiTheme="minorHAnsi" w:hAnsiTheme="minorHAnsi"/>
          <w:b/>
          <w:szCs w:val="24"/>
          <w:lang w:val="en"/>
        </w:rPr>
        <w:t>old for the Anthropogenic Seismicity</w:t>
      </w:r>
    </w:p>
    <w:p w14:paraId="03A36AAA" w14:textId="77777777" w:rsidR="001B1E3F" w:rsidRPr="001B1E3F" w:rsidRDefault="001B1E3F" w:rsidP="001B1E3F">
      <w:pPr>
        <w:spacing w:before="100" w:beforeAutospacing="1" w:after="100" w:afterAutospacing="1"/>
        <w:jc w:val="center"/>
        <w:rPr>
          <w:rFonts w:asciiTheme="minorHAnsi" w:eastAsia="Calibri" w:hAnsiTheme="minorHAnsi" w:cs="Calibri"/>
          <w:bCs/>
          <w:szCs w:val="24"/>
        </w:rPr>
      </w:pPr>
      <w:r w:rsidRPr="001B1E3F">
        <w:rPr>
          <w:rFonts w:asciiTheme="minorHAnsi" w:eastAsia="Calibri" w:hAnsiTheme="minorHAnsi" w:cs="Calibri"/>
          <w:bCs/>
          <w:szCs w:val="24"/>
        </w:rPr>
        <w:t>A. Kostoglou</w:t>
      </w:r>
      <w:r w:rsidRPr="00AE3EC4">
        <w:rPr>
          <w:rFonts w:asciiTheme="minorHAnsi" w:eastAsia="Calibri" w:hAnsiTheme="minorHAnsi" w:cs="Calibri"/>
          <w:bCs/>
          <w:szCs w:val="24"/>
          <w:vertAlign w:val="superscript"/>
        </w:rPr>
        <w:t>1</w:t>
      </w:r>
      <w:r w:rsidRPr="001B1E3F">
        <w:rPr>
          <w:rFonts w:asciiTheme="minorHAnsi" w:eastAsia="Calibri" w:hAnsiTheme="minorHAnsi" w:cs="Calibri"/>
          <w:bCs/>
          <w:szCs w:val="24"/>
        </w:rPr>
        <w:t>, B. Orlecka-Sikora</w:t>
      </w:r>
      <w:r w:rsidRPr="00AE3EC4">
        <w:rPr>
          <w:rFonts w:asciiTheme="minorHAnsi" w:eastAsia="Calibri" w:hAnsiTheme="minorHAnsi" w:cs="Calibri"/>
          <w:bCs/>
          <w:szCs w:val="24"/>
          <w:vertAlign w:val="superscript"/>
        </w:rPr>
        <w:t>1</w:t>
      </w:r>
      <w:r w:rsidRPr="001B1E3F">
        <w:rPr>
          <w:rFonts w:asciiTheme="minorHAnsi" w:eastAsia="Calibri" w:hAnsiTheme="minorHAnsi" w:cs="Calibri"/>
          <w:bCs/>
          <w:szCs w:val="24"/>
        </w:rPr>
        <w:t>, S. Lasocki</w:t>
      </w:r>
      <w:r w:rsidRPr="00AE3EC4">
        <w:rPr>
          <w:rFonts w:asciiTheme="minorHAnsi" w:eastAsia="Calibri" w:hAnsiTheme="minorHAnsi" w:cs="Calibri"/>
          <w:bCs/>
          <w:szCs w:val="24"/>
          <w:vertAlign w:val="superscript"/>
        </w:rPr>
        <w:t>1</w:t>
      </w:r>
      <w:r w:rsidRPr="001B1E3F">
        <w:rPr>
          <w:rFonts w:asciiTheme="minorHAnsi" w:eastAsia="Calibri" w:hAnsiTheme="minorHAnsi" w:cs="Calibri"/>
          <w:bCs/>
          <w:szCs w:val="24"/>
        </w:rPr>
        <w:t>, and F. Tong</w:t>
      </w:r>
      <w:r w:rsidRPr="00AE3EC4">
        <w:rPr>
          <w:rFonts w:asciiTheme="minorHAnsi" w:eastAsia="Calibri" w:hAnsiTheme="minorHAnsi" w:cs="Calibri"/>
          <w:bCs/>
          <w:szCs w:val="24"/>
          <w:vertAlign w:val="superscript"/>
        </w:rPr>
        <w:t>1</w:t>
      </w:r>
    </w:p>
    <w:p w14:paraId="2F3FAF3C" w14:textId="77777777" w:rsidR="001B1E3F" w:rsidRPr="001B1E3F" w:rsidRDefault="001B1E3F" w:rsidP="001B1E3F">
      <w:pPr>
        <w:spacing w:before="100" w:beforeAutospacing="1" w:after="100" w:afterAutospacing="1"/>
        <w:jc w:val="center"/>
        <w:rPr>
          <w:rFonts w:asciiTheme="minorHAnsi" w:eastAsia="Calibri" w:hAnsiTheme="minorHAnsi" w:cs="Calibri"/>
          <w:bCs/>
          <w:szCs w:val="24"/>
        </w:rPr>
      </w:pPr>
    </w:p>
    <w:p w14:paraId="39326278" w14:textId="77777777" w:rsidR="001B1E3F" w:rsidRPr="001B1E3F" w:rsidRDefault="001B1E3F" w:rsidP="001B1E3F">
      <w:pPr>
        <w:spacing w:before="100" w:beforeAutospacing="1" w:after="100" w:afterAutospacing="1"/>
        <w:rPr>
          <w:rFonts w:asciiTheme="minorHAnsi" w:eastAsia="Calibri" w:hAnsiTheme="minorHAnsi" w:cs="Calibri"/>
          <w:bCs/>
          <w:szCs w:val="24"/>
        </w:rPr>
      </w:pPr>
      <w:r w:rsidRPr="00AE3EC4">
        <w:rPr>
          <w:rFonts w:asciiTheme="minorHAnsi" w:eastAsia="Calibri" w:hAnsiTheme="minorHAnsi" w:cs="Calibri"/>
          <w:bCs/>
          <w:szCs w:val="24"/>
          <w:vertAlign w:val="superscript"/>
        </w:rPr>
        <w:t>1</w:t>
      </w:r>
      <w:r w:rsidRPr="001B1E3F">
        <w:rPr>
          <w:rFonts w:asciiTheme="minorHAnsi" w:eastAsia="Calibri" w:hAnsiTheme="minorHAnsi" w:cs="Calibri"/>
          <w:bCs/>
          <w:szCs w:val="24"/>
        </w:rPr>
        <w:t>Institute of Geophysics, Polish Academy of Sciences, Warsaw, Poland</w:t>
      </w:r>
    </w:p>
    <w:p w14:paraId="347237BD" w14:textId="37B8C923" w:rsidR="00094365" w:rsidRDefault="001B1E3F" w:rsidP="001B1E3F">
      <w:pPr>
        <w:spacing w:before="100" w:beforeAutospacing="1" w:after="100" w:afterAutospacing="1"/>
        <w:rPr>
          <w:rFonts w:asciiTheme="minorHAnsi" w:eastAsia="Calibri" w:hAnsiTheme="minorHAnsi" w:cs="Calibri"/>
          <w:bCs/>
          <w:szCs w:val="24"/>
        </w:rPr>
      </w:pPr>
      <w:r w:rsidRPr="001B1E3F">
        <w:rPr>
          <w:rFonts w:asciiTheme="minorHAnsi" w:eastAsia="Calibri" w:hAnsiTheme="minorHAnsi" w:cs="Calibri"/>
          <w:bCs/>
          <w:szCs w:val="24"/>
        </w:rPr>
        <w:t>Corresponding author: Anastasios Kostoglou (</w:t>
      </w:r>
      <w:hyperlink r:id="rId8" w:history="1">
        <w:r w:rsidRPr="000E48D2">
          <w:rPr>
            <w:rStyle w:val="Hyperlink"/>
            <w:rFonts w:asciiTheme="minorHAnsi" w:eastAsia="Calibri" w:hAnsiTheme="minorHAnsi" w:cs="Calibri"/>
            <w:bCs/>
            <w:szCs w:val="24"/>
          </w:rPr>
          <w:t>tkostoglou@igf.edu.pl</w:t>
        </w:r>
      </w:hyperlink>
      <w:r w:rsidRPr="001B1E3F">
        <w:rPr>
          <w:rFonts w:asciiTheme="minorHAnsi" w:eastAsia="Calibri" w:hAnsiTheme="minorHAnsi" w:cs="Calibri"/>
          <w:bCs/>
          <w:szCs w:val="24"/>
        </w:rPr>
        <w:t>)</w:t>
      </w:r>
    </w:p>
    <w:p w14:paraId="6EDFA68C" w14:textId="77777777" w:rsidR="001B1E3F" w:rsidRPr="00344786" w:rsidRDefault="001B1E3F" w:rsidP="001B1E3F">
      <w:pPr>
        <w:spacing w:before="100" w:beforeAutospacing="1" w:after="100" w:afterAutospacing="1"/>
        <w:rPr>
          <w:rFonts w:asciiTheme="minorHAnsi" w:hAnsiTheme="minorHAnsi"/>
          <w:szCs w:val="24"/>
        </w:rPr>
      </w:pPr>
    </w:p>
    <w:p w14:paraId="1CD128B3" w14:textId="77777777" w:rsidR="00111843" w:rsidRPr="00344786" w:rsidRDefault="00111843" w:rsidP="00111843">
      <w:pPr>
        <w:rPr>
          <w:rFonts w:asciiTheme="minorHAnsi" w:hAnsiTheme="minorHAnsi"/>
          <w:b/>
          <w:szCs w:val="24"/>
        </w:rPr>
      </w:pPr>
      <w:r w:rsidRPr="00344786">
        <w:rPr>
          <w:rFonts w:asciiTheme="minorHAnsi" w:hAnsiTheme="minorHAnsi"/>
          <w:b/>
          <w:szCs w:val="24"/>
        </w:rPr>
        <w:t>Contents of this file</w:t>
      </w:r>
      <w:r w:rsidR="00E43D2D" w:rsidRPr="00344786">
        <w:rPr>
          <w:rFonts w:asciiTheme="minorHAnsi" w:hAnsiTheme="minorHAnsi"/>
          <w:b/>
          <w:szCs w:val="24"/>
        </w:rPr>
        <w:t xml:space="preserve"> </w:t>
      </w:r>
    </w:p>
    <w:p w14:paraId="1F13291B" w14:textId="77777777" w:rsidR="00E43D2D" w:rsidRPr="00344786" w:rsidRDefault="00E43D2D" w:rsidP="00111843">
      <w:pPr>
        <w:rPr>
          <w:rFonts w:asciiTheme="minorHAnsi" w:hAnsiTheme="minorHAnsi"/>
          <w:szCs w:val="24"/>
        </w:rPr>
      </w:pPr>
    </w:p>
    <w:p w14:paraId="3D1CAEA0" w14:textId="667984F6" w:rsidR="00111843" w:rsidRPr="00344786" w:rsidRDefault="00111843" w:rsidP="00111843">
      <w:pPr>
        <w:ind w:left="720"/>
        <w:rPr>
          <w:rFonts w:asciiTheme="minorHAnsi" w:hAnsiTheme="minorHAnsi"/>
          <w:szCs w:val="24"/>
        </w:rPr>
      </w:pPr>
      <w:r w:rsidRPr="00344786">
        <w:rPr>
          <w:rFonts w:asciiTheme="minorHAnsi" w:hAnsiTheme="minorHAnsi"/>
          <w:szCs w:val="24"/>
        </w:rPr>
        <w:t>Text S</w:t>
      </w:r>
      <w:r w:rsidR="00745DBD" w:rsidRPr="00344786">
        <w:rPr>
          <w:rFonts w:asciiTheme="minorHAnsi" w:hAnsiTheme="minorHAnsi"/>
          <w:szCs w:val="24"/>
        </w:rPr>
        <w:t>upplementary note 1</w:t>
      </w:r>
      <w:r w:rsidRPr="00344786">
        <w:rPr>
          <w:rFonts w:asciiTheme="minorHAnsi" w:hAnsiTheme="minorHAnsi"/>
          <w:szCs w:val="24"/>
        </w:rPr>
        <w:t xml:space="preserve"> to </w:t>
      </w:r>
      <w:r w:rsidR="00745DBD" w:rsidRPr="00344786">
        <w:rPr>
          <w:rFonts w:asciiTheme="minorHAnsi" w:hAnsiTheme="minorHAnsi"/>
          <w:szCs w:val="24"/>
        </w:rPr>
        <w:t xml:space="preserve">Supplementary note </w:t>
      </w:r>
      <w:r w:rsidR="003D03A9" w:rsidRPr="00344786">
        <w:rPr>
          <w:rFonts w:asciiTheme="minorHAnsi" w:hAnsiTheme="minorHAnsi"/>
          <w:szCs w:val="24"/>
        </w:rPr>
        <w:t>4</w:t>
      </w:r>
    </w:p>
    <w:p w14:paraId="10640459" w14:textId="2896047D" w:rsidR="00111843" w:rsidRPr="00344786" w:rsidRDefault="00111843" w:rsidP="00111843">
      <w:pPr>
        <w:ind w:left="720"/>
        <w:rPr>
          <w:rFonts w:asciiTheme="minorHAnsi" w:hAnsiTheme="minorHAnsi"/>
          <w:szCs w:val="24"/>
        </w:rPr>
      </w:pPr>
      <w:r w:rsidRPr="00344786">
        <w:rPr>
          <w:rFonts w:asciiTheme="minorHAnsi" w:hAnsiTheme="minorHAnsi"/>
          <w:szCs w:val="24"/>
        </w:rPr>
        <w:t>Figures S1 to S</w:t>
      </w:r>
      <w:r w:rsidR="00EF5708">
        <w:rPr>
          <w:rFonts w:asciiTheme="minorHAnsi" w:hAnsiTheme="minorHAnsi"/>
          <w:szCs w:val="24"/>
        </w:rPr>
        <w:t>9</w:t>
      </w:r>
      <w:r w:rsidR="00192E71">
        <w:rPr>
          <w:rFonts w:asciiTheme="minorHAnsi" w:hAnsiTheme="minorHAnsi"/>
          <w:szCs w:val="24"/>
        </w:rPr>
        <w:t>5</w:t>
      </w:r>
    </w:p>
    <w:p w14:paraId="6807841A" w14:textId="578921C4" w:rsidR="00111843" w:rsidRPr="00344786" w:rsidRDefault="00111843" w:rsidP="00111843">
      <w:pPr>
        <w:ind w:left="720"/>
        <w:rPr>
          <w:rFonts w:asciiTheme="minorHAnsi" w:hAnsiTheme="minorHAnsi"/>
          <w:szCs w:val="24"/>
        </w:rPr>
      </w:pPr>
      <w:r w:rsidRPr="00344786">
        <w:rPr>
          <w:rFonts w:asciiTheme="minorHAnsi" w:hAnsiTheme="minorHAnsi"/>
          <w:szCs w:val="24"/>
        </w:rPr>
        <w:t>Tables S1 to S</w:t>
      </w:r>
      <w:r w:rsidR="00FD6767">
        <w:rPr>
          <w:rFonts w:asciiTheme="minorHAnsi" w:hAnsiTheme="minorHAnsi"/>
          <w:szCs w:val="24"/>
        </w:rPr>
        <w:t>18</w:t>
      </w:r>
      <w:r w:rsidR="00AA76F3" w:rsidRPr="00344786">
        <w:rPr>
          <w:rFonts w:asciiTheme="minorHAnsi" w:hAnsiTheme="minorHAnsi"/>
          <w:szCs w:val="24"/>
        </w:rPr>
        <w:t xml:space="preserve"> </w:t>
      </w:r>
    </w:p>
    <w:p w14:paraId="0363B503" w14:textId="77777777" w:rsidR="00111843" w:rsidRPr="00344786" w:rsidRDefault="00111843" w:rsidP="00111843">
      <w:pPr>
        <w:ind w:left="720"/>
        <w:rPr>
          <w:rFonts w:asciiTheme="minorHAnsi" w:hAnsiTheme="minorHAnsi"/>
          <w:szCs w:val="24"/>
        </w:rPr>
      </w:pPr>
    </w:p>
    <w:p w14:paraId="795CD27E" w14:textId="495B4BBE" w:rsidR="00A1111D" w:rsidRDefault="00A1111D">
      <w:pPr>
        <w:rPr>
          <w:rFonts w:ascii="Myriad Pro" w:hAnsi="Myriad Pro"/>
          <w:b/>
          <w:bCs/>
          <w:szCs w:val="24"/>
        </w:rPr>
      </w:pPr>
      <w:r>
        <w:rPr>
          <w:rFonts w:ascii="Myriad Pro" w:hAnsi="Myriad Pro"/>
          <w:b/>
          <w:bCs/>
          <w:szCs w:val="24"/>
        </w:rPr>
        <w:br w:type="page"/>
      </w:r>
    </w:p>
    <w:p w14:paraId="79042C92" w14:textId="77777777" w:rsidR="00FF3503" w:rsidRPr="00344786" w:rsidRDefault="00FF3503" w:rsidP="00E97234">
      <w:pPr>
        <w:spacing w:before="100" w:beforeAutospacing="1" w:after="100" w:afterAutospacing="1" w:line="360" w:lineRule="auto"/>
        <w:jc w:val="both"/>
        <w:rPr>
          <w:rFonts w:asciiTheme="minorHAnsi" w:hAnsiTheme="minorHAnsi"/>
          <w:b/>
          <w:szCs w:val="24"/>
        </w:rPr>
      </w:pPr>
      <w:r w:rsidRPr="00344786">
        <w:rPr>
          <w:rFonts w:asciiTheme="minorHAnsi" w:hAnsiTheme="minorHAnsi"/>
          <w:b/>
          <w:bCs/>
          <w:szCs w:val="24"/>
        </w:rPr>
        <w:lastRenderedPageBreak/>
        <w:t>Introduction</w:t>
      </w:r>
      <w:r w:rsidRPr="00344786">
        <w:rPr>
          <w:rFonts w:asciiTheme="minorHAnsi" w:hAnsiTheme="minorHAnsi"/>
          <w:b/>
          <w:szCs w:val="24"/>
        </w:rPr>
        <w:t xml:space="preserve"> </w:t>
      </w:r>
    </w:p>
    <w:p w14:paraId="78C648D2" w14:textId="576FF6FE" w:rsidR="00E14A4C" w:rsidRPr="00344786" w:rsidRDefault="00E14A4C" w:rsidP="00E97234">
      <w:pPr>
        <w:spacing w:before="100" w:beforeAutospacing="1" w:after="100" w:afterAutospacing="1" w:line="360" w:lineRule="auto"/>
        <w:jc w:val="both"/>
        <w:rPr>
          <w:rFonts w:asciiTheme="minorHAnsi" w:hAnsiTheme="minorHAnsi"/>
          <w:sz w:val="22"/>
          <w:szCs w:val="22"/>
        </w:rPr>
      </w:pPr>
      <w:r w:rsidRPr="00344786">
        <w:rPr>
          <w:rFonts w:asciiTheme="minorHAnsi" w:hAnsiTheme="minorHAnsi"/>
          <w:sz w:val="22"/>
          <w:szCs w:val="22"/>
        </w:rPr>
        <w:t>This supporting information includes four supplementary notes to the main article. The first one includes the description of original anthropogenic seismicity datasets and the determination and subsequent testing of the subsets from each catalog. The second one is a breakdown of the power of commonly used exponentiality tests that supports our decision to use the Anderson – Darling test. The third supplementary note is a description of the testing procedure used to evaluate the significance of the b–value variations in the testing of exponentiality of a seismic catalog and finally the fourth supplementary note contains information about the Kernel Density Estimator used in the main article</w:t>
      </w:r>
    </w:p>
    <w:p w14:paraId="516E0BA3" w14:textId="77777777" w:rsidR="0020183F" w:rsidRPr="00344786" w:rsidRDefault="0020183F" w:rsidP="00E97234">
      <w:pPr>
        <w:spacing w:line="360" w:lineRule="auto"/>
        <w:jc w:val="both"/>
        <w:rPr>
          <w:rFonts w:asciiTheme="minorHAnsi" w:hAnsiTheme="minorHAnsi"/>
        </w:rPr>
      </w:pPr>
    </w:p>
    <w:p w14:paraId="667D8CA8" w14:textId="081E2E40" w:rsidR="00015F74" w:rsidRPr="00344786" w:rsidRDefault="00607D90" w:rsidP="00E97234">
      <w:pPr>
        <w:pStyle w:val="SMHeading"/>
        <w:spacing w:line="360" w:lineRule="auto"/>
        <w:jc w:val="both"/>
        <w:rPr>
          <w:rFonts w:asciiTheme="minorHAnsi" w:hAnsiTheme="minorHAnsi"/>
        </w:rPr>
      </w:pPr>
      <w:bookmarkStart w:id="0" w:name="_Toc162435989"/>
      <w:r w:rsidRPr="00344786">
        <w:rPr>
          <w:rFonts w:asciiTheme="minorHAnsi" w:hAnsiTheme="minorHAnsi"/>
        </w:rPr>
        <w:t xml:space="preserve">Supplementary note 1 – Description of anthropogenic seismicity catalogs and determination of subsets </w:t>
      </w:r>
      <w:bookmarkEnd w:id="0"/>
      <w:r w:rsidRPr="00344786">
        <w:rPr>
          <w:rFonts w:asciiTheme="minorHAnsi" w:hAnsiTheme="minorHAnsi"/>
        </w:rPr>
        <w:t>for testing</w:t>
      </w:r>
      <w:r w:rsidR="00D60BB0" w:rsidRPr="00344786">
        <w:rPr>
          <w:rFonts w:asciiTheme="minorHAnsi" w:hAnsiTheme="minorHAnsi"/>
          <w:sz w:val="22"/>
          <w:szCs w:val="22"/>
        </w:rPr>
        <w:t>.</w:t>
      </w:r>
    </w:p>
    <w:p w14:paraId="2CCD814B" w14:textId="5AFC4584" w:rsidR="00607D90" w:rsidRPr="00344786" w:rsidRDefault="00607D90" w:rsidP="00E97234">
      <w:pPr>
        <w:pStyle w:val="SMText"/>
        <w:spacing w:line="360" w:lineRule="auto"/>
        <w:jc w:val="both"/>
        <w:rPr>
          <w:rFonts w:asciiTheme="minorHAnsi" w:hAnsiTheme="minorHAnsi"/>
          <w:sz w:val="22"/>
          <w:szCs w:val="18"/>
        </w:rPr>
      </w:pPr>
      <w:r w:rsidRPr="00344786">
        <w:rPr>
          <w:rFonts w:asciiTheme="minorHAnsi" w:hAnsiTheme="minorHAnsi"/>
          <w:sz w:val="22"/>
          <w:szCs w:val="18"/>
        </w:rPr>
        <w:t>The anthropogenic seismicity catalogs used to assess the complexity of frequency magnitude distributions were acquired from the EPISODES platform of Thematic Core Service – Anthropogenic Hazards (TCS – AH). In this supplement, we provide a short description about the datasets we used</w:t>
      </w:r>
      <w:r w:rsidR="00A92D34">
        <w:rPr>
          <w:rFonts w:asciiTheme="minorHAnsi" w:hAnsiTheme="minorHAnsi"/>
          <w:sz w:val="22"/>
          <w:szCs w:val="18"/>
        </w:rPr>
        <w:t>,</w:t>
      </w:r>
      <w:r w:rsidRPr="00344786">
        <w:rPr>
          <w:rFonts w:asciiTheme="minorHAnsi" w:hAnsiTheme="minorHAnsi"/>
          <w:sz w:val="22"/>
          <w:szCs w:val="18"/>
        </w:rPr>
        <w:t xml:space="preserve"> followed by a more detailed view of the testing process. Specifically, for each Episode we present a short introduction accompanied by a table with the of existing information in the EPISODES platform that were used or considered for the data processing. This is followed by a step-by-step description of the process that supports the selection of seismicity </w:t>
      </w:r>
      <w:r w:rsidR="00FF08F0">
        <w:rPr>
          <w:rFonts w:asciiTheme="minorHAnsi" w:hAnsiTheme="minorHAnsi"/>
          <w:sz w:val="22"/>
          <w:szCs w:val="18"/>
        </w:rPr>
        <w:t>sub-catalogs</w:t>
      </w:r>
      <w:r w:rsidRPr="00344786">
        <w:rPr>
          <w:rFonts w:asciiTheme="minorHAnsi" w:hAnsiTheme="minorHAnsi"/>
          <w:sz w:val="22"/>
          <w:szCs w:val="18"/>
        </w:rPr>
        <w:t xml:space="preserve"> whose magnitude distributions were tested for non-exponential or complex characteristics.</w:t>
      </w:r>
      <w:r w:rsidR="006A2CCB">
        <w:rPr>
          <w:rFonts w:asciiTheme="minorHAnsi" w:hAnsiTheme="minorHAnsi"/>
          <w:sz w:val="22"/>
          <w:szCs w:val="18"/>
        </w:rPr>
        <w:t xml:space="preserve"> </w:t>
      </w:r>
      <w:r w:rsidR="00717174" w:rsidRPr="003A3B38">
        <w:rPr>
          <w:rFonts w:asciiTheme="minorHAnsi" w:hAnsiTheme="minorHAnsi"/>
          <w:sz w:val="22"/>
          <w:szCs w:val="18"/>
        </w:rPr>
        <w:t>The</w:t>
      </w:r>
      <w:r w:rsidR="00717174">
        <w:rPr>
          <w:rFonts w:asciiTheme="minorHAnsi" w:hAnsiTheme="minorHAnsi"/>
          <w:sz w:val="22"/>
          <w:szCs w:val="18"/>
        </w:rPr>
        <w:t xml:space="preserve"> final results of the </w:t>
      </w:r>
      <w:r w:rsidR="00C246B9">
        <w:rPr>
          <w:rFonts w:asciiTheme="minorHAnsi" w:hAnsiTheme="minorHAnsi"/>
          <w:sz w:val="22"/>
          <w:szCs w:val="18"/>
        </w:rPr>
        <w:t xml:space="preserve">testing for non-exponentiality and complexity </w:t>
      </w:r>
      <w:r w:rsidR="00FF08F0">
        <w:rPr>
          <w:rFonts w:asciiTheme="minorHAnsi" w:hAnsiTheme="minorHAnsi"/>
          <w:sz w:val="22"/>
          <w:szCs w:val="18"/>
        </w:rPr>
        <w:t xml:space="preserve">of sub-catalogs </w:t>
      </w:r>
      <w:r w:rsidR="00C246B9">
        <w:rPr>
          <w:rFonts w:asciiTheme="minorHAnsi" w:hAnsiTheme="minorHAnsi"/>
          <w:sz w:val="22"/>
          <w:szCs w:val="18"/>
        </w:rPr>
        <w:t>appear on Tables 1, 2 and 3 of the main manuscript.</w:t>
      </w:r>
    </w:p>
    <w:p w14:paraId="62E5D703" w14:textId="4B7A727D" w:rsidR="00B17F7A" w:rsidRDefault="00B17F7A">
      <w:pPr>
        <w:rPr>
          <w:rFonts w:asciiTheme="minorHAnsi" w:hAnsiTheme="minorHAnsi"/>
        </w:rPr>
      </w:pPr>
      <w:r>
        <w:rPr>
          <w:rFonts w:asciiTheme="minorHAnsi" w:hAnsiTheme="minorHAnsi"/>
        </w:rPr>
        <w:br w:type="page"/>
      </w:r>
    </w:p>
    <w:p w14:paraId="267673D8" w14:textId="77777777" w:rsidR="00607D90" w:rsidRPr="00344786" w:rsidRDefault="00607D90" w:rsidP="00E97234">
      <w:pPr>
        <w:pStyle w:val="Heading2"/>
        <w:keepLines/>
        <w:numPr>
          <w:ilvl w:val="1"/>
          <w:numId w:val="18"/>
        </w:numPr>
        <w:spacing w:before="40" w:after="240" w:line="360" w:lineRule="auto"/>
        <w:jc w:val="both"/>
        <w:rPr>
          <w:rFonts w:asciiTheme="minorHAnsi" w:hAnsiTheme="minorHAnsi"/>
          <w:sz w:val="22"/>
          <w:szCs w:val="22"/>
        </w:rPr>
      </w:pPr>
      <w:bookmarkStart w:id="1" w:name="_Toc162435990"/>
      <w:r w:rsidRPr="00344786">
        <w:rPr>
          <w:rFonts w:asciiTheme="minorHAnsi" w:hAnsiTheme="minorHAnsi"/>
          <w:sz w:val="22"/>
          <w:szCs w:val="22"/>
        </w:rPr>
        <w:lastRenderedPageBreak/>
        <w:t>Geothermal Energy Production</w:t>
      </w:r>
      <w:bookmarkEnd w:id="1"/>
    </w:p>
    <w:p w14:paraId="69795C5F" w14:textId="77777777" w:rsidR="00885D2F" w:rsidRPr="00344786" w:rsidRDefault="00885D2F" w:rsidP="00E97234">
      <w:pPr>
        <w:spacing w:line="360" w:lineRule="auto"/>
        <w:jc w:val="both"/>
        <w:rPr>
          <w:rFonts w:asciiTheme="minorHAnsi" w:hAnsiTheme="minorHAnsi"/>
          <w:sz w:val="22"/>
          <w:szCs w:val="22"/>
        </w:rPr>
      </w:pPr>
    </w:p>
    <w:p w14:paraId="0D3BDCEE"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2" w:name="_Toc162435993"/>
      <w:r w:rsidRPr="00344786">
        <w:rPr>
          <w:rFonts w:asciiTheme="minorHAnsi" w:hAnsiTheme="minorHAnsi"/>
          <w:sz w:val="22"/>
          <w:szCs w:val="22"/>
        </w:rPr>
        <w:t>Soultz-Sous-Forêts 2004</w:t>
      </w:r>
      <w:bookmarkEnd w:id="2"/>
    </w:p>
    <w:p w14:paraId="4C973E66" w14:textId="77777777" w:rsidR="00607D90" w:rsidRPr="00344786" w:rsidRDefault="00607D90" w:rsidP="00E97234">
      <w:pPr>
        <w:pStyle w:val="SMSubheading"/>
        <w:spacing w:line="360" w:lineRule="auto"/>
        <w:jc w:val="both"/>
        <w:rPr>
          <w:rFonts w:asciiTheme="minorHAnsi" w:hAnsiTheme="minorHAnsi"/>
          <w:sz w:val="22"/>
          <w:szCs w:val="22"/>
        </w:rPr>
      </w:pPr>
    </w:p>
    <w:p w14:paraId="6141A1C6"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2DE81727" w14:textId="7670204A"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The Soultz-sous-Forêts 2004 episode involves seismicity associated with the stimulation of GPK4 well. </w:t>
      </w:r>
      <w:r w:rsidR="00351646">
        <w:rPr>
          <w:rFonts w:asciiTheme="minorHAnsi" w:hAnsiTheme="minorHAnsi"/>
          <w:sz w:val="22"/>
          <w:szCs w:val="22"/>
        </w:rPr>
        <w:t>Th</w:t>
      </w:r>
      <w:r w:rsidR="00157D6C">
        <w:rPr>
          <w:rFonts w:asciiTheme="minorHAnsi" w:hAnsiTheme="minorHAnsi"/>
          <w:sz w:val="22"/>
          <w:szCs w:val="22"/>
        </w:rPr>
        <w:t>e 2004 and</w:t>
      </w:r>
      <w:r w:rsidR="00351646">
        <w:rPr>
          <w:rFonts w:asciiTheme="minorHAnsi" w:hAnsiTheme="minorHAnsi"/>
          <w:sz w:val="22"/>
          <w:szCs w:val="22"/>
        </w:rPr>
        <w:t xml:space="preserve"> 2005 injection</w:t>
      </w:r>
      <w:r w:rsidR="00157D6C">
        <w:rPr>
          <w:rFonts w:asciiTheme="minorHAnsi" w:hAnsiTheme="minorHAnsi"/>
          <w:sz w:val="22"/>
          <w:szCs w:val="22"/>
        </w:rPr>
        <w:t>s</w:t>
      </w:r>
      <w:r w:rsidR="00351646">
        <w:rPr>
          <w:rFonts w:asciiTheme="minorHAnsi" w:hAnsiTheme="minorHAnsi"/>
          <w:sz w:val="22"/>
          <w:szCs w:val="22"/>
        </w:rPr>
        <w:t xml:space="preserve"> are the only </w:t>
      </w:r>
      <w:r w:rsidR="000E4E28">
        <w:rPr>
          <w:rFonts w:asciiTheme="minorHAnsi" w:hAnsiTheme="minorHAnsi"/>
          <w:sz w:val="22"/>
          <w:szCs w:val="22"/>
        </w:rPr>
        <w:t xml:space="preserve">considered </w:t>
      </w:r>
      <w:r w:rsidR="00351646">
        <w:rPr>
          <w:rFonts w:asciiTheme="minorHAnsi" w:hAnsiTheme="minorHAnsi"/>
          <w:sz w:val="22"/>
          <w:szCs w:val="22"/>
        </w:rPr>
        <w:t xml:space="preserve">injections from </w:t>
      </w:r>
      <w:r w:rsidR="00351646" w:rsidRPr="00344786">
        <w:rPr>
          <w:rFonts w:asciiTheme="minorHAnsi" w:hAnsiTheme="minorHAnsi"/>
          <w:sz w:val="22"/>
          <w:szCs w:val="22"/>
        </w:rPr>
        <w:t xml:space="preserve">Soultz-sous-Forêts </w:t>
      </w:r>
      <w:r w:rsidR="00A60674">
        <w:rPr>
          <w:rFonts w:asciiTheme="minorHAnsi" w:hAnsiTheme="minorHAnsi"/>
          <w:sz w:val="22"/>
          <w:szCs w:val="22"/>
        </w:rPr>
        <w:t xml:space="preserve">site out of the </w:t>
      </w:r>
      <w:r w:rsidR="00351646">
        <w:rPr>
          <w:rFonts w:asciiTheme="minorHAnsi" w:hAnsiTheme="minorHAnsi"/>
          <w:sz w:val="22"/>
          <w:szCs w:val="22"/>
        </w:rPr>
        <w:t xml:space="preserve">five available datasets of EPISODES platform. </w:t>
      </w:r>
      <w:r w:rsidR="00157D6C">
        <w:rPr>
          <w:rFonts w:asciiTheme="minorHAnsi" w:hAnsiTheme="minorHAnsi"/>
          <w:sz w:val="22"/>
          <w:szCs w:val="22"/>
        </w:rPr>
        <w:t>The 1993 injection</w:t>
      </w:r>
      <w:r w:rsidR="00A00C3D">
        <w:rPr>
          <w:rFonts w:asciiTheme="minorHAnsi" w:hAnsiTheme="minorHAnsi"/>
          <w:sz w:val="22"/>
          <w:szCs w:val="22"/>
        </w:rPr>
        <w:t xml:space="preserve"> EPISODE</w:t>
      </w:r>
      <w:r w:rsidR="00157D6C">
        <w:rPr>
          <w:rFonts w:asciiTheme="minorHAnsi" w:hAnsiTheme="minorHAnsi"/>
          <w:sz w:val="22"/>
          <w:szCs w:val="22"/>
        </w:rPr>
        <w:t xml:space="preserve"> contains a break in </w:t>
      </w:r>
      <w:r w:rsidR="00A00C3D">
        <w:rPr>
          <w:rFonts w:asciiTheme="minorHAnsi" w:hAnsiTheme="minorHAnsi"/>
          <w:sz w:val="22"/>
          <w:szCs w:val="22"/>
        </w:rPr>
        <w:t>the</w:t>
      </w:r>
      <w:r w:rsidR="007D15E9">
        <w:rPr>
          <w:rFonts w:asciiTheme="minorHAnsi" w:hAnsiTheme="minorHAnsi"/>
          <w:sz w:val="22"/>
          <w:szCs w:val="22"/>
        </w:rPr>
        <w:t xml:space="preserve"> FMD</w:t>
      </w:r>
      <w:r w:rsidR="00A00C3D">
        <w:rPr>
          <w:rFonts w:asciiTheme="minorHAnsi" w:hAnsiTheme="minorHAnsi"/>
          <w:sz w:val="22"/>
          <w:szCs w:val="22"/>
        </w:rPr>
        <w:t xml:space="preserve"> likely due to the scaling relationship used to calculate moment magnitudes.</w:t>
      </w:r>
      <w:r w:rsidR="007D15E9">
        <w:rPr>
          <w:rFonts w:asciiTheme="minorHAnsi" w:hAnsiTheme="minorHAnsi"/>
          <w:sz w:val="22"/>
          <w:szCs w:val="22"/>
        </w:rPr>
        <w:t xml:space="preserve"> </w:t>
      </w:r>
      <w:r w:rsidR="00A00C3D">
        <w:rPr>
          <w:rFonts w:asciiTheme="minorHAnsi" w:hAnsiTheme="minorHAnsi"/>
          <w:sz w:val="22"/>
          <w:szCs w:val="22"/>
        </w:rPr>
        <w:t>T</w:t>
      </w:r>
      <w:r w:rsidR="007D15E9">
        <w:rPr>
          <w:rFonts w:asciiTheme="minorHAnsi" w:hAnsiTheme="minorHAnsi"/>
          <w:sz w:val="22"/>
          <w:szCs w:val="22"/>
        </w:rPr>
        <w:t xml:space="preserve">he 2000 and 2003 </w:t>
      </w:r>
      <w:r w:rsidR="00A00C3D">
        <w:rPr>
          <w:rFonts w:asciiTheme="minorHAnsi" w:hAnsiTheme="minorHAnsi"/>
          <w:sz w:val="22"/>
          <w:szCs w:val="22"/>
        </w:rPr>
        <w:t xml:space="preserve">injection EPISODES </w:t>
      </w:r>
      <w:r w:rsidR="007D15E9">
        <w:rPr>
          <w:rFonts w:asciiTheme="minorHAnsi" w:hAnsiTheme="minorHAnsi"/>
          <w:sz w:val="22"/>
          <w:szCs w:val="22"/>
        </w:rPr>
        <w:t>FMD</w:t>
      </w:r>
      <w:r w:rsidR="00D862C0">
        <w:rPr>
          <w:rFonts w:asciiTheme="minorHAnsi" w:hAnsiTheme="minorHAnsi"/>
          <w:sz w:val="22"/>
          <w:szCs w:val="22"/>
        </w:rPr>
        <w:t xml:space="preserve">s </w:t>
      </w:r>
      <w:r w:rsidR="00A00C3D">
        <w:rPr>
          <w:rFonts w:asciiTheme="minorHAnsi" w:hAnsiTheme="minorHAnsi"/>
          <w:sz w:val="22"/>
          <w:szCs w:val="22"/>
        </w:rPr>
        <w:t>contain</w:t>
      </w:r>
      <w:r w:rsidR="00D862C0">
        <w:rPr>
          <w:rFonts w:asciiTheme="minorHAnsi" w:hAnsiTheme="minorHAnsi"/>
          <w:sz w:val="22"/>
          <w:szCs w:val="22"/>
        </w:rPr>
        <w:t xml:space="preserve"> magnitude bins</w:t>
      </w:r>
      <w:r w:rsidR="008555EE">
        <w:rPr>
          <w:rFonts w:asciiTheme="minorHAnsi" w:hAnsiTheme="minorHAnsi"/>
          <w:sz w:val="22"/>
          <w:szCs w:val="22"/>
        </w:rPr>
        <w:t xml:space="preserve"> </w:t>
      </w:r>
      <w:r w:rsidR="00D862C0">
        <w:rPr>
          <w:rFonts w:asciiTheme="minorHAnsi" w:hAnsiTheme="minorHAnsi"/>
          <w:sz w:val="22"/>
          <w:szCs w:val="22"/>
        </w:rPr>
        <w:t>that are not represented</w:t>
      </w:r>
      <w:r w:rsidR="00A00C3D">
        <w:rPr>
          <w:rFonts w:asciiTheme="minorHAnsi" w:hAnsiTheme="minorHAnsi"/>
          <w:sz w:val="22"/>
          <w:szCs w:val="22"/>
        </w:rPr>
        <w:t xml:space="preserve"> due to the repetitiveness of certain magnitudes</w:t>
      </w:r>
      <w:r w:rsidR="00D862C0">
        <w:rPr>
          <w:rFonts w:asciiTheme="minorHAnsi" w:hAnsiTheme="minorHAnsi"/>
          <w:sz w:val="22"/>
          <w:szCs w:val="22"/>
        </w:rPr>
        <w:t xml:space="preserve">. </w:t>
      </w:r>
      <w:r w:rsidR="008555EE">
        <w:rPr>
          <w:rFonts w:asciiTheme="minorHAnsi" w:hAnsiTheme="minorHAnsi"/>
          <w:sz w:val="22"/>
          <w:szCs w:val="22"/>
        </w:rPr>
        <w:t>In the 2004 stimulation, t</w:t>
      </w:r>
      <w:r w:rsidRPr="00344786">
        <w:rPr>
          <w:rFonts w:asciiTheme="minorHAnsi" w:hAnsiTheme="minorHAnsi"/>
          <w:sz w:val="22"/>
          <w:szCs w:val="22"/>
        </w:rPr>
        <w:t>he borehole was stimulated two times, once for a low – flow injection to evaluate initial injectivity of the well and subsequently the full stimulation experiment</w:t>
      </w:r>
      <w:r w:rsidRPr="00344786">
        <w:rPr>
          <w:rFonts w:asciiTheme="minorHAnsi" w:hAnsiTheme="minorHAnsi"/>
          <w:sz w:val="22"/>
          <w:szCs w:val="22"/>
          <w:vertAlign w:val="superscript"/>
        </w:rPr>
        <w:t xml:space="preserve"> </w:t>
      </w:r>
      <w:r w:rsidRPr="00344786">
        <w:rPr>
          <w:rFonts w:asciiTheme="minorHAnsi" w:hAnsiTheme="minorHAnsi"/>
          <w:sz w:val="22"/>
          <w:szCs w:val="22"/>
        </w:rPr>
        <w:t>EOST &amp; GEIE EMC. (2018a). Information on the whole dataset is presented in Table S</w:t>
      </w:r>
      <w:r w:rsidR="00082E71">
        <w:rPr>
          <w:rFonts w:asciiTheme="minorHAnsi" w:hAnsiTheme="minorHAnsi"/>
          <w:sz w:val="22"/>
          <w:szCs w:val="22"/>
        </w:rPr>
        <w:t>1</w:t>
      </w:r>
      <w:r w:rsidRPr="00344786">
        <w:rPr>
          <w:rFonts w:asciiTheme="minorHAnsi" w:hAnsiTheme="minorHAnsi"/>
          <w:sz w:val="22"/>
          <w:szCs w:val="22"/>
        </w:rPr>
        <w:t>.</w:t>
      </w:r>
    </w:p>
    <w:p w14:paraId="3BCCEE10" w14:textId="77777777" w:rsidR="00607D90" w:rsidRPr="00344786" w:rsidRDefault="00607D90" w:rsidP="00E97234">
      <w:pPr>
        <w:pStyle w:val="SMText"/>
        <w:spacing w:line="360" w:lineRule="auto"/>
        <w:jc w:val="both"/>
        <w:rPr>
          <w:rFonts w:asciiTheme="minorHAnsi" w:hAnsiTheme="minorHAnsi"/>
          <w:sz w:val="22"/>
          <w:szCs w:val="22"/>
        </w:rPr>
      </w:pPr>
    </w:p>
    <w:p w14:paraId="3FD5ACCF"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0353689B" w14:textId="783779E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During the first stage of pre–stimulation injection seismicity occurs at very low rates between September 08 and September 12 producing a total of 90 earthquakes. This period is excluded from further investigation due to low amount of data. The stimulation phase starts on September 13 and is immediately followed by high earthquake activity (Fig. S</w:t>
      </w:r>
      <w:r w:rsidR="00082E71">
        <w:rPr>
          <w:rFonts w:asciiTheme="minorHAnsi" w:hAnsiTheme="minorHAnsi"/>
          <w:sz w:val="22"/>
          <w:szCs w:val="22"/>
        </w:rPr>
        <w:t>1</w:t>
      </w:r>
      <w:r w:rsidRPr="00344786">
        <w:rPr>
          <w:rFonts w:asciiTheme="minorHAnsi" w:hAnsiTheme="minorHAnsi"/>
          <w:sz w:val="22"/>
          <w:szCs w:val="22"/>
        </w:rPr>
        <w:t xml:space="preserve">) which continues to produce 5715 earthquakes until about September 20. </w:t>
      </w:r>
      <w:r w:rsidR="00A00C3D">
        <w:rPr>
          <w:rFonts w:asciiTheme="minorHAnsi" w:hAnsiTheme="minorHAnsi"/>
          <w:sz w:val="22"/>
          <w:szCs w:val="22"/>
        </w:rPr>
        <w:t>S</w:t>
      </w:r>
      <w:r w:rsidRPr="00344786">
        <w:rPr>
          <w:rFonts w:asciiTheme="minorHAnsi" w:hAnsiTheme="minorHAnsi"/>
          <w:sz w:val="22"/>
          <w:szCs w:val="22"/>
        </w:rPr>
        <w:t>eismic activity appears to occur in a single fault zone</w:t>
      </w:r>
      <w:r w:rsidRPr="00344786">
        <w:rPr>
          <w:rFonts w:asciiTheme="minorHAnsi" w:hAnsiTheme="minorHAnsi"/>
          <w:sz w:val="22"/>
          <w:szCs w:val="22"/>
          <w:vertAlign w:val="superscript"/>
        </w:rPr>
        <w:t xml:space="preserve"> </w:t>
      </w:r>
      <w:r w:rsidRPr="00344786">
        <w:rPr>
          <w:rFonts w:asciiTheme="minorHAnsi" w:hAnsiTheme="minorHAnsi"/>
          <w:sz w:val="22"/>
          <w:szCs w:val="22"/>
        </w:rPr>
        <w:t>(Dorbath et al., 2009), therefore, we decided to consider a single seismicity cluster</w:t>
      </w:r>
      <w:r w:rsidR="00A00C3D">
        <w:rPr>
          <w:rFonts w:asciiTheme="minorHAnsi" w:hAnsiTheme="minorHAnsi"/>
          <w:sz w:val="22"/>
          <w:szCs w:val="22"/>
        </w:rPr>
        <w:t xml:space="preserve"> </w:t>
      </w:r>
      <w:r w:rsidR="00A00C3D" w:rsidRPr="00344786">
        <w:rPr>
          <w:rFonts w:asciiTheme="minorHAnsi" w:hAnsiTheme="minorHAnsi"/>
          <w:sz w:val="22"/>
          <w:szCs w:val="22"/>
        </w:rPr>
        <w:t>(Fig. S</w:t>
      </w:r>
      <w:r w:rsidR="00A00C3D">
        <w:rPr>
          <w:rFonts w:asciiTheme="minorHAnsi" w:hAnsiTheme="minorHAnsi"/>
          <w:sz w:val="22"/>
          <w:szCs w:val="22"/>
        </w:rPr>
        <w:t>2</w:t>
      </w:r>
      <w:r w:rsidR="00A00C3D" w:rsidRPr="00344786">
        <w:rPr>
          <w:rFonts w:asciiTheme="minorHAnsi" w:hAnsiTheme="minorHAnsi"/>
          <w:sz w:val="22"/>
          <w:szCs w:val="22"/>
        </w:rPr>
        <w:t>)</w:t>
      </w:r>
      <w:r w:rsidRPr="00344786">
        <w:rPr>
          <w:rFonts w:asciiTheme="minorHAnsi" w:hAnsiTheme="minorHAnsi"/>
          <w:sz w:val="22"/>
          <w:szCs w:val="22"/>
        </w:rPr>
        <w:t>.</w:t>
      </w:r>
    </w:p>
    <w:p w14:paraId="31E0A8E6" w14:textId="4E0747B6"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curvature of the frequency magnitude distribution is rather shallow (Fig. S</w:t>
      </w:r>
      <w:r w:rsidR="00082E71">
        <w:rPr>
          <w:rFonts w:asciiTheme="minorHAnsi" w:hAnsiTheme="minorHAnsi"/>
          <w:sz w:val="22"/>
          <w:szCs w:val="22"/>
        </w:rPr>
        <w:t>3</w:t>
      </w:r>
      <w:r w:rsidRPr="00344786">
        <w:rPr>
          <w:rFonts w:asciiTheme="minorHAnsi" w:hAnsiTheme="minorHAnsi"/>
          <w:sz w:val="22"/>
          <w:szCs w:val="22"/>
        </w:rPr>
        <w:t>) which causes more conservative completeness calculated with the mGFT method (M</w:t>
      </w:r>
      <w:r w:rsidRPr="00344786">
        <w:rPr>
          <w:rFonts w:asciiTheme="minorHAnsi" w:hAnsiTheme="minorHAnsi"/>
          <w:sz w:val="22"/>
          <w:szCs w:val="22"/>
          <w:vertAlign w:val="subscript"/>
        </w:rPr>
        <w:t>C</w:t>
      </w:r>
      <w:r w:rsidRPr="00344786">
        <w:rPr>
          <w:rFonts w:asciiTheme="minorHAnsi" w:hAnsiTheme="minorHAnsi"/>
          <w:sz w:val="22"/>
          <w:szCs w:val="22"/>
        </w:rPr>
        <w:t xml:space="preserve"> = 0.3)</w:t>
      </w:r>
      <w:r w:rsidR="00C2722A">
        <w:rPr>
          <w:rFonts w:asciiTheme="minorHAnsi" w:hAnsiTheme="minorHAnsi"/>
          <w:sz w:val="22"/>
          <w:szCs w:val="22"/>
        </w:rPr>
        <w:t xml:space="preserve"> which leaves </w:t>
      </w:r>
      <w:r w:rsidR="00981406">
        <w:rPr>
          <w:rFonts w:asciiTheme="minorHAnsi" w:hAnsiTheme="minorHAnsi"/>
          <w:sz w:val="22"/>
          <w:szCs w:val="22"/>
        </w:rPr>
        <w:t xml:space="preserve">694 earthquakes with </w:t>
      </w:r>
      <w:r w:rsidR="00981406" w:rsidRPr="00344786">
        <w:rPr>
          <w:rFonts w:asciiTheme="minorHAnsi" w:hAnsiTheme="minorHAnsi"/>
          <w:sz w:val="22"/>
          <w:szCs w:val="22"/>
        </w:rPr>
        <w:t>M</w:t>
      </w:r>
      <w:r w:rsidR="00981406" w:rsidRPr="00344786">
        <w:rPr>
          <w:rFonts w:asciiTheme="minorHAnsi" w:hAnsiTheme="minorHAnsi" w:cstheme="minorHAnsi"/>
          <w:sz w:val="22"/>
          <w:szCs w:val="22"/>
        </w:rPr>
        <w:t>≥</w:t>
      </w:r>
      <w:r w:rsidR="00981406" w:rsidRPr="00344786">
        <w:rPr>
          <w:rFonts w:asciiTheme="minorHAnsi" w:hAnsiTheme="minorHAnsi"/>
          <w:sz w:val="22"/>
          <w:szCs w:val="22"/>
        </w:rPr>
        <w:t>M</w:t>
      </w:r>
      <w:r w:rsidR="00981406" w:rsidRPr="00344786">
        <w:rPr>
          <w:rFonts w:asciiTheme="minorHAnsi" w:hAnsiTheme="minorHAnsi"/>
          <w:sz w:val="22"/>
          <w:szCs w:val="22"/>
          <w:vertAlign w:val="subscript"/>
        </w:rPr>
        <w:t>C</w:t>
      </w:r>
      <w:r w:rsidR="00981406">
        <w:rPr>
          <w:rFonts w:asciiTheme="minorHAnsi" w:hAnsiTheme="minorHAnsi"/>
          <w:sz w:val="22"/>
          <w:szCs w:val="22"/>
        </w:rPr>
        <w:t>.</w:t>
      </w:r>
      <w:r w:rsidR="00845FC0">
        <w:rPr>
          <w:rFonts w:asciiTheme="minorHAnsi" w:hAnsiTheme="minorHAnsi"/>
          <w:sz w:val="22"/>
          <w:szCs w:val="22"/>
        </w:rPr>
        <w:t xml:space="preserve"> </w:t>
      </w:r>
      <w:r w:rsidR="00637694" w:rsidRPr="00637694">
        <w:rPr>
          <w:rFonts w:asciiTheme="minorHAnsi" w:hAnsiTheme="minorHAnsi"/>
          <w:sz w:val="22"/>
          <w:szCs w:val="22"/>
        </w:rPr>
        <w:t xml:space="preserve">We calculated the Mc values using an 8 × 8 grid over the study area, confirming that the chosen value of 0.3 is higher than the Mc calculated for any individual grid point (Fig. S4). </w:t>
      </w:r>
      <w:r w:rsidR="00637694">
        <w:rPr>
          <w:rFonts w:asciiTheme="minorHAnsi" w:hAnsiTheme="minorHAnsi"/>
          <w:sz w:val="22"/>
          <w:szCs w:val="22"/>
        </w:rPr>
        <w:t xml:space="preserve">The </w:t>
      </w:r>
      <w:r w:rsidRPr="00344786">
        <w:rPr>
          <w:rFonts w:asciiTheme="minorHAnsi" w:hAnsiTheme="minorHAnsi"/>
          <w:sz w:val="22"/>
          <w:szCs w:val="22"/>
        </w:rPr>
        <w:t>cumulative distribution of earthquakes with M</w:t>
      </w:r>
      <w:r w:rsidRPr="00344786">
        <w:rPr>
          <w:rFonts w:asciiTheme="minorHAnsi" w:hAnsiTheme="minorHAnsi" w:cstheme="minorHAnsi"/>
          <w:sz w:val="22"/>
          <w:szCs w:val="22"/>
        </w:rPr>
        <w:t>≥</w:t>
      </w:r>
      <w:r w:rsidRPr="00344786">
        <w:rPr>
          <w:rFonts w:asciiTheme="minorHAnsi" w:hAnsiTheme="minorHAnsi"/>
          <w:sz w:val="22"/>
          <w:szCs w:val="22"/>
        </w:rPr>
        <w:t>M</w:t>
      </w:r>
      <w:r w:rsidRPr="00344786">
        <w:rPr>
          <w:rFonts w:asciiTheme="minorHAnsi" w:hAnsiTheme="minorHAnsi"/>
          <w:sz w:val="22"/>
          <w:szCs w:val="22"/>
          <w:vertAlign w:val="subscript"/>
        </w:rPr>
        <w:t>C</w:t>
      </w:r>
      <w:r w:rsidRPr="00344786">
        <w:rPr>
          <w:rFonts w:asciiTheme="minorHAnsi" w:hAnsiTheme="minorHAnsi"/>
          <w:sz w:val="22"/>
          <w:szCs w:val="22"/>
        </w:rPr>
        <w:t xml:space="preserve"> supports the establishment of one period of stationary earthquake rate between September 13 and September 16 with </w:t>
      </w:r>
      <w:r w:rsidR="00B32C03">
        <w:rPr>
          <w:rFonts w:asciiTheme="minorHAnsi" w:hAnsiTheme="minorHAnsi"/>
          <w:sz w:val="22"/>
          <w:szCs w:val="22"/>
        </w:rPr>
        <w:t>532</w:t>
      </w:r>
      <w:r w:rsidRPr="00344786">
        <w:rPr>
          <w:rFonts w:asciiTheme="minorHAnsi" w:hAnsiTheme="minorHAnsi"/>
          <w:sz w:val="22"/>
          <w:szCs w:val="22"/>
        </w:rPr>
        <w:t xml:space="preserve"> earthquakes (Fig. S</w:t>
      </w:r>
      <w:r w:rsidR="00637694">
        <w:rPr>
          <w:rFonts w:asciiTheme="minorHAnsi" w:hAnsiTheme="minorHAnsi"/>
          <w:sz w:val="22"/>
          <w:szCs w:val="22"/>
        </w:rPr>
        <w:t>5</w:t>
      </w:r>
      <w:r w:rsidRPr="00344786">
        <w:rPr>
          <w:rFonts w:asciiTheme="minorHAnsi" w:hAnsiTheme="minorHAnsi"/>
          <w:sz w:val="22"/>
          <w:szCs w:val="22"/>
        </w:rPr>
        <w:t xml:space="preserve"> – P1C11) which occur along the entire area of seismic activity (Fig. S</w:t>
      </w:r>
      <w:r w:rsidR="00082E71">
        <w:rPr>
          <w:rFonts w:asciiTheme="minorHAnsi" w:hAnsiTheme="minorHAnsi"/>
          <w:sz w:val="22"/>
          <w:szCs w:val="22"/>
        </w:rPr>
        <w:t>2</w:t>
      </w:r>
      <w:r w:rsidRPr="00344786">
        <w:rPr>
          <w:rFonts w:asciiTheme="minorHAnsi" w:hAnsiTheme="minorHAnsi"/>
          <w:sz w:val="22"/>
          <w:szCs w:val="22"/>
        </w:rPr>
        <w:t xml:space="preserve"> – P1C11).</w:t>
      </w:r>
    </w:p>
    <w:p w14:paraId="12BC47F1"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lastRenderedPageBreak/>
        <w:t>The Anderson–Darling test for the P1C11 subcatalog suggests that exponential distribution can be rejected (H</w:t>
      </w:r>
      <w:r w:rsidRPr="00344786">
        <w:rPr>
          <w:rFonts w:asciiTheme="minorHAnsi" w:hAnsiTheme="minorHAnsi"/>
          <w:sz w:val="22"/>
          <w:szCs w:val="22"/>
          <w:vertAlign w:val="subscript"/>
        </w:rPr>
        <w:t>0</w:t>
      </w:r>
      <w:r w:rsidRPr="00344786">
        <w:rPr>
          <w:rFonts w:asciiTheme="minorHAnsi" w:hAnsiTheme="minorHAnsi"/>
          <w:sz w:val="22"/>
          <w:szCs w:val="22"/>
          <w:vertAlign w:val="superscript"/>
        </w:rPr>
        <w:t>1</w:t>
      </w:r>
      <w:r w:rsidRPr="00344786">
        <w:rPr>
          <w:rFonts w:asciiTheme="minorHAnsi" w:hAnsiTheme="minorHAnsi"/>
          <w:sz w:val="22"/>
          <w:szCs w:val="22"/>
        </w:rPr>
        <w:t>), and the complexity of the PDF cannot be rejected based on the Multimodality (H</w:t>
      </w:r>
      <w:r w:rsidRPr="00344786">
        <w:rPr>
          <w:rFonts w:asciiTheme="minorHAnsi" w:hAnsiTheme="minorHAnsi"/>
          <w:sz w:val="22"/>
          <w:szCs w:val="22"/>
          <w:vertAlign w:val="subscript"/>
        </w:rPr>
        <w:t>0</w:t>
      </w:r>
      <w:r w:rsidRPr="00344786">
        <w:rPr>
          <w:rFonts w:asciiTheme="minorHAnsi" w:hAnsiTheme="minorHAnsi"/>
          <w:sz w:val="22"/>
          <w:szCs w:val="22"/>
          <w:vertAlign w:val="superscript"/>
        </w:rPr>
        <w:t>2</w:t>
      </w:r>
      <w:r w:rsidRPr="00344786">
        <w:rPr>
          <w:rFonts w:asciiTheme="minorHAnsi" w:hAnsiTheme="minorHAnsi"/>
          <w:sz w:val="22"/>
          <w:szCs w:val="22"/>
        </w:rPr>
        <w:t>) and Multibump (H</w:t>
      </w:r>
      <w:r w:rsidRPr="00344786">
        <w:rPr>
          <w:rFonts w:asciiTheme="minorHAnsi" w:hAnsiTheme="minorHAnsi"/>
          <w:sz w:val="22"/>
          <w:szCs w:val="22"/>
          <w:vertAlign w:val="subscript"/>
        </w:rPr>
        <w:t>0</w:t>
      </w:r>
      <w:r w:rsidRPr="00344786">
        <w:rPr>
          <w:rFonts w:asciiTheme="minorHAnsi" w:hAnsiTheme="minorHAnsi"/>
          <w:sz w:val="22"/>
          <w:szCs w:val="22"/>
          <w:vertAlign w:val="superscript"/>
        </w:rPr>
        <w:t>3</w:t>
      </w:r>
      <w:r w:rsidRPr="00344786">
        <w:rPr>
          <w:rFonts w:asciiTheme="minorHAnsi" w:hAnsiTheme="minorHAnsi"/>
          <w:sz w:val="22"/>
          <w:szCs w:val="22"/>
        </w:rPr>
        <w:t>) tests (Table 1 – Soultz-Sous-Forêts 2004).</w:t>
      </w:r>
    </w:p>
    <w:p w14:paraId="5C209E7F" w14:textId="77777777" w:rsidR="00607D90" w:rsidRPr="00344786" w:rsidRDefault="00607D90" w:rsidP="00E97234">
      <w:pPr>
        <w:spacing w:line="360" w:lineRule="auto"/>
        <w:jc w:val="both"/>
        <w:rPr>
          <w:rFonts w:asciiTheme="minorHAnsi" w:hAnsiTheme="minorHAnsi"/>
          <w:sz w:val="22"/>
          <w:szCs w:val="22"/>
        </w:rPr>
      </w:pPr>
    </w:p>
    <w:p w14:paraId="6A6D65F2"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3" w:name="_Toc162435994"/>
      <w:r w:rsidRPr="00344786">
        <w:rPr>
          <w:rFonts w:asciiTheme="minorHAnsi" w:hAnsiTheme="minorHAnsi"/>
          <w:sz w:val="22"/>
          <w:szCs w:val="22"/>
        </w:rPr>
        <w:t>Soultz-Sous-Forêts 2005</w:t>
      </w:r>
      <w:bookmarkEnd w:id="3"/>
    </w:p>
    <w:p w14:paraId="01ECDFC4" w14:textId="77777777" w:rsidR="00607D90" w:rsidRPr="00344786" w:rsidRDefault="00607D90" w:rsidP="00E97234">
      <w:pPr>
        <w:pStyle w:val="SMSubheading"/>
        <w:spacing w:line="360" w:lineRule="auto"/>
        <w:jc w:val="both"/>
        <w:rPr>
          <w:rFonts w:asciiTheme="minorHAnsi" w:hAnsiTheme="minorHAnsi"/>
          <w:sz w:val="22"/>
          <w:szCs w:val="22"/>
        </w:rPr>
      </w:pPr>
    </w:p>
    <w:p w14:paraId="7751166D"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7CD64497" w14:textId="04264B29"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Soultz-sous-Forêts 2005 episode involves earthquakes associated with the second stimulation of the GPK4 well which occurred during February – March 2005 (</w:t>
      </w:r>
      <w:r w:rsidRPr="00344786">
        <w:rPr>
          <w:rFonts w:asciiTheme="minorHAnsi" w:hAnsiTheme="minorHAnsi"/>
          <w:iCs/>
          <w:sz w:val="22"/>
          <w:szCs w:val="22"/>
          <w:lang w:val="en"/>
        </w:rPr>
        <w:t>EOST, &amp; GEIE EMC., 2018c)</w:t>
      </w:r>
      <w:r w:rsidRPr="00344786">
        <w:rPr>
          <w:rFonts w:asciiTheme="minorHAnsi" w:hAnsiTheme="minorHAnsi"/>
          <w:sz w:val="22"/>
          <w:szCs w:val="22"/>
        </w:rPr>
        <w:t>. Information on the dataset obtained from the EPISODES platform is presented in Table S</w:t>
      </w:r>
      <w:r w:rsidR="00203A94">
        <w:rPr>
          <w:rFonts w:asciiTheme="minorHAnsi" w:hAnsiTheme="minorHAnsi"/>
          <w:sz w:val="22"/>
          <w:szCs w:val="22"/>
        </w:rPr>
        <w:t>2</w:t>
      </w:r>
      <w:r w:rsidRPr="00344786">
        <w:rPr>
          <w:rFonts w:asciiTheme="minorHAnsi" w:hAnsiTheme="minorHAnsi"/>
          <w:sz w:val="22"/>
          <w:szCs w:val="22"/>
        </w:rPr>
        <w:t>.</w:t>
      </w:r>
    </w:p>
    <w:p w14:paraId="4312427A" w14:textId="77777777" w:rsidR="00607D90" w:rsidRPr="00344786" w:rsidRDefault="00607D90" w:rsidP="00E97234">
      <w:pPr>
        <w:pStyle w:val="SMText"/>
        <w:spacing w:line="360" w:lineRule="auto"/>
        <w:jc w:val="both"/>
        <w:rPr>
          <w:rFonts w:asciiTheme="minorHAnsi" w:hAnsiTheme="minorHAnsi"/>
          <w:sz w:val="22"/>
          <w:szCs w:val="22"/>
        </w:rPr>
      </w:pPr>
    </w:p>
    <w:p w14:paraId="2E8D1245"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7502B3A2" w14:textId="6BA77A05"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catalog contains 3709 earthquakes that occur after four injection incidents (Fig. S</w:t>
      </w:r>
      <w:r w:rsidR="00133CD8">
        <w:rPr>
          <w:rFonts w:asciiTheme="minorHAnsi" w:hAnsiTheme="minorHAnsi"/>
          <w:sz w:val="22"/>
          <w:szCs w:val="22"/>
        </w:rPr>
        <w:t>5</w:t>
      </w:r>
      <w:r w:rsidRPr="00344786">
        <w:rPr>
          <w:rFonts w:asciiTheme="minorHAnsi" w:hAnsiTheme="minorHAnsi"/>
          <w:sz w:val="22"/>
          <w:szCs w:val="22"/>
        </w:rPr>
        <w:t>) with a delay of at least a day between injection onset and increase of seismic activity. The epicentral distribution of all earthquakes (Fig. S</w:t>
      </w:r>
      <w:r w:rsidR="00133CD8">
        <w:rPr>
          <w:rFonts w:asciiTheme="minorHAnsi" w:hAnsiTheme="minorHAnsi"/>
          <w:sz w:val="22"/>
          <w:szCs w:val="22"/>
        </w:rPr>
        <w:t>6</w:t>
      </w:r>
      <w:r w:rsidRPr="00344786">
        <w:rPr>
          <w:rFonts w:asciiTheme="minorHAnsi" w:hAnsiTheme="minorHAnsi"/>
          <w:sz w:val="22"/>
          <w:szCs w:val="22"/>
        </w:rPr>
        <w:t>) shows seismicity tightly clustered in N–S extending area, similar to the 2004 injection in the Soultz-sous-Forêts field. We do not consider any further clustering and proceed to further processing considering a single spatial cluster. We investigate the complexity of the FMD only for earthquakes related to the first injection which is the most data rich with 2967 earthquakes (Fig. S</w:t>
      </w:r>
      <w:r w:rsidR="00B367F0">
        <w:rPr>
          <w:rFonts w:asciiTheme="minorHAnsi" w:hAnsiTheme="minorHAnsi"/>
          <w:sz w:val="22"/>
          <w:szCs w:val="22"/>
        </w:rPr>
        <w:t>6</w:t>
      </w:r>
      <w:r w:rsidRPr="00344786">
        <w:rPr>
          <w:rFonts w:asciiTheme="minorHAnsi" w:hAnsiTheme="minorHAnsi"/>
          <w:sz w:val="22"/>
          <w:szCs w:val="22"/>
        </w:rPr>
        <w:t>).</w:t>
      </w:r>
    </w:p>
    <w:p w14:paraId="03B25480" w14:textId="093A1521"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Similar to the 2004 stimulation, the FMD is rather shallow (Fig. S</w:t>
      </w:r>
      <w:r w:rsidR="00B367F0">
        <w:rPr>
          <w:rFonts w:asciiTheme="minorHAnsi" w:hAnsiTheme="minorHAnsi"/>
          <w:sz w:val="22"/>
          <w:szCs w:val="22"/>
        </w:rPr>
        <w:t>8</w:t>
      </w:r>
      <w:r w:rsidRPr="00344786">
        <w:rPr>
          <w:rFonts w:asciiTheme="minorHAnsi" w:hAnsiTheme="minorHAnsi"/>
          <w:sz w:val="22"/>
          <w:szCs w:val="22"/>
        </w:rPr>
        <w:t xml:space="preserve">), </w:t>
      </w:r>
      <w:r w:rsidR="00284510">
        <w:rPr>
          <w:rFonts w:asciiTheme="minorHAnsi" w:hAnsiTheme="minorHAnsi"/>
          <w:sz w:val="22"/>
          <w:szCs w:val="22"/>
        </w:rPr>
        <w:t xml:space="preserve">and the </w:t>
      </w:r>
      <w:r w:rsidRPr="00344786">
        <w:rPr>
          <w:rFonts w:asciiTheme="minorHAnsi" w:hAnsiTheme="minorHAnsi"/>
          <w:sz w:val="22"/>
          <w:szCs w:val="22"/>
        </w:rPr>
        <w:t>M</w:t>
      </w:r>
      <w:r w:rsidRPr="00344786">
        <w:rPr>
          <w:rFonts w:asciiTheme="minorHAnsi" w:hAnsiTheme="minorHAnsi"/>
          <w:sz w:val="22"/>
          <w:szCs w:val="22"/>
          <w:vertAlign w:val="subscript"/>
        </w:rPr>
        <w:t>C</w:t>
      </w:r>
      <w:r w:rsidR="00284510">
        <w:rPr>
          <w:rFonts w:asciiTheme="minorHAnsi" w:hAnsiTheme="minorHAnsi"/>
          <w:sz w:val="22"/>
          <w:szCs w:val="22"/>
        </w:rPr>
        <w:t xml:space="preserve"> as calculated by the mGFT method is </w:t>
      </w:r>
      <w:r w:rsidRPr="00344786">
        <w:rPr>
          <w:rFonts w:asciiTheme="minorHAnsi" w:hAnsiTheme="minorHAnsi"/>
          <w:sz w:val="22"/>
          <w:szCs w:val="22"/>
        </w:rPr>
        <w:t xml:space="preserve">-0.4, leaving 1303 earthquakes for further examination. </w:t>
      </w:r>
      <w:r w:rsidR="00FB3C48">
        <w:rPr>
          <w:rFonts w:asciiTheme="minorHAnsi" w:hAnsiTheme="minorHAnsi"/>
          <w:sz w:val="22"/>
          <w:szCs w:val="22"/>
        </w:rPr>
        <w:t>The</w:t>
      </w:r>
      <w:r w:rsidR="00027656" w:rsidRPr="00027656">
        <w:rPr>
          <w:rFonts w:asciiTheme="minorHAnsi" w:hAnsiTheme="minorHAnsi"/>
          <w:sz w:val="22"/>
          <w:szCs w:val="22"/>
        </w:rPr>
        <w:t xml:space="preserve"> Mc values </w:t>
      </w:r>
      <w:r w:rsidR="00FB3C48">
        <w:rPr>
          <w:rFonts w:asciiTheme="minorHAnsi" w:hAnsiTheme="minorHAnsi"/>
          <w:sz w:val="22"/>
          <w:szCs w:val="22"/>
        </w:rPr>
        <w:t>calculated over a</w:t>
      </w:r>
      <w:r w:rsidR="00027656" w:rsidRPr="00027656">
        <w:rPr>
          <w:rFonts w:asciiTheme="minorHAnsi" w:hAnsiTheme="minorHAnsi"/>
          <w:sz w:val="22"/>
          <w:szCs w:val="22"/>
        </w:rPr>
        <w:t xml:space="preserve"> </w:t>
      </w:r>
      <w:r w:rsidR="00934B08">
        <w:rPr>
          <w:rFonts w:asciiTheme="minorHAnsi" w:hAnsiTheme="minorHAnsi"/>
          <w:sz w:val="22"/>
          <w:szCs w:val="22"/>
        </w:rPr>
        <w:t>7</w:t>
      </w:r>
      <w:r w:rsidR="00027656" w:rsidRPr="00027656">
        <w:rPr>
          <w:rFonts w:asciiTheme="minorHAnsi" w:hAnsiTheme="minorHAnsi"/>
          <w:sz w:val="22"/>
          <w:szCs w:val="22"/>
        </w:rPr>
        <w:t>×</w:t>
      </w:r>
      <w:r w:rsidR="00934B08">
        <w:rPr>
          <w:rFonts w:asciiTheme="minorHAnsi" w:hAnsiTheme="minorHAnsi"/>
          <w:sz w:val="22"/>
          <w:szCs w:val="22"/>
        </w:rPr>
        <w:t>7</w:t>
      </w:r>
      <w:r w:rsidR="00027656" w:rsidRPr="00027656">
        <w:rPr>
          <w:rFonts w:asciiTheme="minorHAnsi" w:hAnsiTheme="minorHAnsi"/>
          <w:sz w:val="22"/>
          <w:szCs w:val="22"/>
        </w:rPr>
        <w:t xml:space="preserve"> grid over the study area, confirm that the chosen value of </w:t>
      </w:r>
      <w:r w:rsidR="00FB3C48">
        <w:rPr>
          <w:rFonts w:asciiTheme="minorHAnsi" w:hAnsiTheme="minorHAnsi"/>
          <w:sz w:val="22"/>
          <w:szCs w:val="22"/>
        </w:rPr>
        <w:t>-</w:t>
      </w:r>
      <w:r w:rsidR="00027656" w:rsidRPr="00027656">
        <w:rPr>
          <w:rFonts w:asciiTheme="minorHAnsi" w:hAnsiTheme="minorHAnsi"/>
          <w:sz w:val="22"/>
          <w:szCs w:val="22"/>
        </w:rPr>
        <w:t>0.</w:t>
      </w:r>
      <w:r w:rsidR="00FB3C48">
        <w:rPr>
          <w:rFonts w:asciiTheme="minorHAnsi" w:hAnsiTheme="minorHAnsi"/>
          <w:sz w:val="22"/>
          <w:szCs w:val="22"/>
        </w:rPr>
        <w:t>4</w:t>
      </w:r>
      <w:r w:rsidR="00027656" w:rsidRPr="00027656">
        <w:rPr>
          <w:rFonts w:asciiTheme="minorHAnsi" w:hAnsiTheme="minorHAnsi"/>
          <w:sz w:val="22"/>
          <w:szCs w:val="22"/>
        </w:rPr>
        <w:t xml:space="preserve"> is </w:t>
      </w:r>
      <w:r w:rsidR="0004287F">
        <w:rPr>
          <w:rFonts w:asciiTheme="minorHAnsi" w:hAnsiTheme="minorHAnsi"/>
          <w:sz w:val="22"/>
          <w:szCs w:val="22"/>
        </w:rPr>
        <w:t xml:space="preserve">equal or </w:t>
      </w:r>
      <w:r w:rsidR="00027656" w:rsidRPr="00027656">
        <w:rPr>
          <w:rFonts w:asciiTheme="minorHAnsi" w:hAnsiTheme="minorHAnsi"/>
          <w:sz w:val="22"/>
          <w:szCs w:val="22"/>
        </w:rPr>
        <w:t xml:space="preserve">higher than the Mc calculated </w:t>
      </w:r>
      <w:r w:rsidR="00CD0A5D">
        <w:rPr>
          <w:rFonts w:asciiTheme="minorHAnsi" w:hAnsiTheme="minorHAnsi"/>
          <w:sz w:val="22"/>
          <w:szCs w:val="22"/>
        </w:rPr>
        <w:t>for all grid point</w:t>
      </w:r>
      <w:r w:rsidR="0004287F">
        <w:rPr>
          <w:rFonts w:asciiTheme="minorHAnsi" w:hAnsiTheme="minorHAnsi"/>
          <w:sz w:val="22"/>
          <w:szCs w:val="22"/>
        </w:rPr>
        <w:t>s</w:t>
      </w:r>
      <w:r w:rsidR="00CD0A5D">
        <w:rPr>
          <w:rFonts w:asciiTheme="minorHAnsi" w:hAnsiTheme="minorHAnsi"/>
          <w:sz w:val="22"/>
          <w:szCs w:val="22"/>
        </w:rPr>
        <w:t xml:space="preserve"> </w:t>
      </w:r>
      <w:r w:rsidR="00027656" w:rsidRPr="00027656">
        <w:rPr>
          <w:rFonts w:asciiTheme="minorHAnsi" w:hAnsiTheme="minorHAnsi"/>
          <w:sz w:val="22"/>
          <w:szCs w:val="22"/>
        </w:rPr>
        <w:t>(Fig. S</w:t>
      </w:r>
      <w:r w:rsidR="00CD0A5D">
        <w:rPr>
          <w:rFonts w:asciiTheme="minorHAnsi" w:hAnsiTheme="minorHAnsi"/>
          <w:sz w:val="22"/>
          <w:szCs w:val="22"/>
        </w:rPr>
        <w:t>9</w:t>
      </w:r>
      <w:r w:rsidR="00027656" w:rsidRPr="00027656">
        <w:rPr>
          <w:rFonts w:asciiTheme="minorHAnsi" w:hAnsiTheme="minorHAnsi"/>
          <w:sz w:val="22"/>
          <w:szCs w:val="22"/>
        </w:rPr>
        <w:t xml:space="preserve">). </w:t>
      </w:r>
      <w:r w:rsidRPr="00344786">
        <w:rPr>
          <w:rFonts w:asciiTheme="minorHAnsi" w:hAnsiTheme="minorHAnsi"/>
          <w:sz w:val="22"/>
          <w:szCs w:val="22"/>
        </w:rPr>
        <w:t xml:space="preserve">The cumulative earthquake distribution reveals that earthquake occurrence rate can be considered stationary </w:t>
      </w:r>
      <w:r w:rsidR="003B2957">
        <w:rPr>
          <w:rFonts w:asciiTheme="minorHAnsi" w:hAnsiTheme="minorHAnsi"/>
          <w:sz w:val="22"/>
          <w:szCs w:val="22"/>
        </w:rPr>
        <w:t xml:space="preserve">starting a few hours after seismicity onset and </w:t>
      </w:r>
      <w:r w:rsidR="00A16C21">
        <w:rPr>
          <w:rFonts w:asciiTheme="minorHAnsi" w:hAnsiTheme="minorHAnsi"/>
          <w:sz w:val="22"/>
          <w:szCs w:val="22"/>
        </w:rPr>
        <w:t>for</w:t>
      </w:r>
      <w:r w:rsidRPr="00344786">
        <w:rPr>
          <w:rFonts w:asciiTheme="minorHAnsi" w:hAnsiTheme="minorHAnsi"/>
          <w:sz w:val="22"/>
          <w:szCs w:val="22"/>
        </w:rPr>
        <w:t xml:space="preserve"> about </w:t>
      </w:r>
      <w:r w:rsidR="00192193">
        <w:rPr>
          <w:rFonts w:asciiTheme="minorHAnsi" w:hAnsiTheme="minorHAnsi"/>
          <w:sz w:val="22"/>
          <w:szCs w:val="22"/>
        </w:rPr>
        <w:t>36-37</w:t>
      </w:r>
      <w:r w:rsidRPr="00344786">
        <w:rPr>
          <w:rFonts w:asciiTheme="minorHAnsi" w:hAnsiTheme="minorHAnsi"/>
          <w:sz w:val="22"/>
          <w:szCs w:val="22"/>
        </w:rPr>
        <w:t xml:space="preserve"> hours after earthquake occurrence onset (Fig. S</w:t>
      </w:r>
      <w:r w:rsidR="00934B08">
        <w:rPr>
          <w:rFonts w:asciiTheme="minorHAnsi" w:hAnsiTheme="minorHAnsi"/>
          <w:sz w:val="22"/>
          <w:szCs w:val="22"/>
        </w:rPr>
        <w:t>10</w:t>
      </w:r>
      <w:r w:rsidRPr="00344786">
        <w:rPr>
          <w:rFonts w:asciiTheme="minorHAnsi" w:hAnsiTheme="minorHAnsi"/>
          <w:sz w:val="22"/>
          <w:szCs w:val="22"/>
        </w:rPr>
        <w:t>)</w:t>
      </w:r>
      <w:r w:rsidR="00A16C21">
        <w:rPr>
          <w:rFonts w:asciiTheme="minorHAnsi" w:hAnsiTheme="minorHAnsi"/>
          <w:sz w:val="22"/>
          <w:szCs w:val="22"/>
        </w:rPr>
        <w:t xml:space="preserve">. The selected stationary period </w:t>
      </w:r>
      <w:r w:rsidRPr="00344786">
        <w:rPr>
          <w:rFonts w:asciiTheme="minorHAnsi" w:hAnsiTheme="minorHAnsi"/>
          <w:sz w:val="22"/>
          <w:szCs w:val="22"/>
        </w:rPr>
        <w:t xml:space="preserve">contains </w:t>
      </w:r>
      <w:r w:rsidR="00A16C21">
        <w:rPr>
          <w:rFonts w:asciiTheme="minorHAnsi" w:hAnsiTheme="minorHAnsi"/>
          <w:sz w:val="22"/>
          <w:szCs w:val="22"/>
        </w:rPr>
        <w:t>721</w:t>
      </w:r>
      <w:r w:rsidRPr="00344786">
        <w:rPr>
          <w:rFonts w:asciiTheme="minorHAnsi" w:hAnsiTheme="minorHAnsi"/>
          <w:sz w:val="22"/>
          <w:szCs w:val="22"/>
        </w:rPr>
        <w:t xml:space="preserve"> earthquakes. We name the subcatalog containing those events, P1C1.</w:t>
      </w:r>
    </w:p>
    <w:p w14:paraId="6B6075B5"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Anderson – Darling test for subcatalog P1C1 (Table 1 – Soultz-Sous-Forêts 2005) suggests that exponential distribution of the PDF can be rejected (H</w:t>
      </w:r>
      <w:r w:rsidRPr="00344786">
        <w:rPr>
          <w:rFonts w:asciiTheme="minorHAnsi" w:hAnsiTheme="minorHAnsi"/>
          <w:sz w:val="22"/>
          <w:szCs w:val="22"/>
          <w:vertAlign w:val="subscript"/>
        </w:rPr>
        <w:t>0</w:t>
      </w:r>
      <w:r w:rsidRPr="00344786">
        <w:rPr>
          <w:rFonts w:asciiTheme="minorHAnsi" w:hAnsiTheme="minorHAnsi"/>
          <w:sz w:val="22"/>
          <w:szCs w:val="22"/>
          <w:vertAlign w:val="superscript"/>
        </w:rPr>
        <w:t>1</w:t>
      </w:r>
      <w:r w:rsidRPr="00344786">
        <w:rPr>
          <w:rFonts w:asciiTheme="minorHAnsi" w:hAnsiTheme="minorHAnsi"/>
          <w:sz w:val="22"/>
          <w:szCs w:val="22"/>
        </w:rPr>
        <w:t xml:space="preserve"> &lt; 0.05). The multimodality and multibump test suggest the null hypothesis of only one mode and bump of the PDF of P1C1 </w:t>
      </w:r>
      <w:r w:rsidRPr="00344786">
        <w:rPr>
          <w:rFonts w:asciiTheme="minorHAnsi" w:hAnsiTheme="minorHAnsi"/>
          <w:sz w:val="22"/>
          <w:szCs w:val="22"/>
        </w:rPr>
        <w:lastRenderedPageBreak/>
        <w:t>cannot be rejected, therefore failing to claim PDF complexity with statistical significance (H</w:t>
      </w:r>
      <w:r w:rsidRPr="00344786">
        <w:rPr>
          <w:rFonts w:asciiTheme="minorHAnsi" w:hAnsiTheme="minorHAnsi"/>
          <w:sz w:val="22"/>
          <w:szCs w:val="22"/>
          <w:vertAlign w:val="subscript"/>
        </w:rPr>
        <w:t>0</w:t>
      </w:r>
      <w:r w:rsidRPr="00344786">
        <w:rPr>
          <w:rFonts w:asciiTheme="minorHAnsi" w:hAnsiTheme="minorHAnsi"/>
          <w:sz w:val="22"/>
          <w:szCs w:val="22"/>
          <w:vertAlign w:val="superscript"/>
        </w:rPr>
        <w:t>2</w:t>
      </w:r>
      <w:r w:rsidRPr="00344786">
        <w:rPr>
          <w:rFonts w:asciiTheme="minorHAnsi" w:hAnsiTheme="minorHAnsi"/>
          <w:sz w:val="22"/>
          <w:szCs w:val="22"/>
        </w:rPr>
        <w:t>, H</w:t>
      </w:r>
      <w:r w:rsidRPr="00344786">
        <w:rPr>
          <w:rFonts w:asciiTheme="minorHAnsi" w:hAnsiTheme="minorHAnsi"/>
          <w:sz w:val="22"/>
          <w:szCs w:val="22"/>
          <w:vertAlign w:val="subscript"/>
        </w:rPr>
        <w:t>0</w:t>
      </w:r>
      <w:r w:rsidRPr="00344786">
        <w:rPr>
          <w:rFonts w:asciiTheme="minorHAnsi" w:hAnsiTheme="minorHAnsi"/>
          <w:sz w:val="22"/>
          <w:szCs w:val="22"/>
          <w:vertAlign w:val="superscript"/>
        </w:rPr>
        <w:t>3</w:t>
      </w:r>
      <w:r w:rsidRPr="00344786">
        <w:rPr>
          <w:rFonts w:asciiTheme="minorHAnsi" w:hAnsiTheme="minorHAnsi"/>
          <w:sz w:val="22"/>
          <w:szCs w:val="22"/>
        </w:rPr>
        <w:t xml:space="preserve"> &gt; 0.1).</w:t>
      </w:r>
    </w:p>
    <w:p w14:paraId="6E909E55" w14:textId="77777777" w:rsidR="00607D90" w:rsidRPr="00344786" w:rsidRDefault="00607D90" w:rsidP="00E97234">
      <w:pPr>
        <w:spacing w:line="360" w:lineRule="auto"/>
        <w:jc w:val="both"/>
        <w:rPr>
          <w:rFonts w:asciiTheme="minorHAnsi" w:hAnsiTheme="minorHAnsi"/>
          <w:sz w:val="22"/>
          <w:szCs w:val="22"/>
        </w:rPr>
      </w:pPr>
    </w:p>
    <w:p w14:paraId="3D170D34"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4" w:name="_Toc162435995"/>
      <w:r w:rsidRPr="00344786">
        <w:rPr>
          <w:rFonts w:asciiTheme="minorHAnsi" w:hAnsiTheme="minorHAnsi"/>
          <w:sz w:val="22"/>
          <w:szCs w:val="22"/>
        </w:rPr>
        <w:t>Cooper Basin 2005</w:t>
      </w:r>
      <w:bookmarkEnd w:id="4"/>
    </w:p>
    <w:p w14:paraId="38625424" w14:textId="77777777" w:rsidR="00607D90" w:rsidRPr="00344786" w:rsidRDefault="00607D90" w:rsidP="00E97234">
      <w:pPr>
        <w:pStyle w:val="SMSubheading"/>
        <w:spacing w:line="360" w:lineRule="auto"/>
        <w:jc w:val="both"/>
        <w:rPr>
          <w:rFonts w:asciiTheme="minorHAnsi" w:hAnsiTheme="minorHAnsi"/>
          <w:sz w:val="22"/>
          <w:szCs w:val="22"/>
        </w:rPr>
      </w:pPr>
    </w:p>
    <w:p w14:paraId="2F42B129"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2C9341B2" w14:textId="58E9C735"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The Cooper Basin geothermal field contains 3 catalogs, the one from 2003 </w:t>
      </w:r>
      <w:r w:rsidR="00872B48">
        <w:rPr>
          <w:rFonts w:asciiTheme="minorHAnsi" w:hAnsiTheme="minorHAnsi"/>
          <w:sz w:val="22"/>
          <w:szCs w:val="22"/>
        </w:rPr>
        <w:t xml:space="preserve">is not examined in this study due </w:t>
      </w:r>
      <w:r w:rsidR="00FC6EE6">
        <w:rPr>
          <w:rFonts w:asciiTheme="minorHAnsi" w:hAnsiTheme="minorHAnsi"/>
          <w:sz w:val="22"/>
          <w:szCs w:val="22"/>
        </w:rPr>
        <w:t>to inhomogeneities at higher magnitudes</w:t>
      </w:r>
      <w:r w:rsidRPr="00344786">
        <w:rPr>
          <w:rFonts w:asciiTheme="minorHAnsi" w:hAnsiTheme="minorHAnsi"/>
          <w:sz w:val="22"/>
          <w:szCs w:val="22"/>
        </w:rPr>
        <w:t xml:space="preserve"> and the 2005 and 2012 catalogs presented in the Supplementary notes.</w:t>
      </w:r>
      <w:r w:rsidRPr="00344786">
        <w:rPr>
          <w:rFonts w:asciiTheme="minorHAnsi" w:hAnsiTheme="minorHAnsi"/>
          <w:sz w:val="22"/>
          <w:szCs w:val="22"/>
          <w:vertAlign w:val="superscript"/>
        </w:rPr>
        <w:t xml:space="preserve"> </w:t>
      </w:r>
      <w:r w:rsidRPr="00344786">
        <w:rPr>
          <w:rFonts w:asciiTheme="minorHAnsi" w:hAnsiTheme="minorHAnsi"/>
          <w:sz w:val="22"/>
          <w:szCs w:val="22"/>
        </w:rPr>
        <w:t>The 2005 episode refers to the September 2005 Habanero #1 well stimulation for 13 days.</w:t>
      </w:r>
    </w:p>
    <w:p w14:paraId="284C0E4D" w14:textId="77777777" w:rsidR="00607D90" w:rsidRPr="00344786" w:rsidRDefault="00607D90" w:rsidP="00E97234">
      <w:pPr>
        <w:pStyle w:val="SMText"/>
        <w:spacing w:line="360" w:lineRule="auto"/>
        <w:jc w:val="both"/>
        <w:rPr>
          <w:rFonts w:asciiTheme="minorHAnsi" w:hAnsiTheme="minorHAnsi"/>
          <w:sz w:val="22"/>
          <w:szCs w:val="22"/>
        </w:rPr>
      </w:pPr>
    </w:p>
    <w:p w14:paraId="08CD6223"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4A3A9B1A" w14:textId="5B8864BC"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2005 catalog contains 8283 earthquakes (Table S</w:t>
      </w:r>
      <w:r w:rsidR="00203A94">
        <w:rPr>
          <w:rFonts w:asciiTheme="minorHAnsi" w:hAnsiTheme="minorHAnsi"/>
          <w:sz w:val="22"/>
          <w:szCs w:val="22"/>
        </w:rPr>
        <w:t>3</w:t>
      </w:r>
      <w:r w:rsidRPr="00344786">
        <w:rPr>
          <w:rFonts w:asciiTheme="minorHAnsi" w:hAnsiTheme="minorHAnsi"/>
          <w:sz w:val="22"/>
          <w:szCs w:val="22"/>
        </w:rPr>
        <w:t>) which occurred over a period of 19 days. Seismic activity onset is delayed by about 24 hours after injection onset and drops significantly almost immediately after the stopping of injection (Fig. S</w:t>
      </w:r>
      <w:r w:rsidR="00C72376">
        <w:rPr>
          <w:rFonts w:asciiTheme="minorHAnsi" w:hAnsiTheme="minorHAnsi"/>
          <w:sz w:val="22"/>
          <w:szCs w:val="22"/>
        </w:rPr>
        <w:t>11</w:t>
      </w:r>
      <w:r w:rsidRPr="00344786">
        <w:rPr>
          <w:rFonts w:asciiTheme="minorHAnsi" w:hAnsiTheme="minorHAnsi"/>
          <w:sz w:val="22"/>
          <w:szCs w:val="22"/>
        </w:rPr>
        <w:t>). Seismicity is manifested in two clusters, a smaller one to the south which contains about 1800 of the 8283 earthquakes and a larger cluster to the north of the injection point (Fig. S</w:t>
      </w:r>
      <w:r w:rsidR="00C72376">
        <w:rPr>
          <w:rFonts w:asciiTheme="minorHAnsi" w:hAnsiTheme="minorHAnsi"/>
          <w:sz w:val="22"/>
          <w:szCs w:val="22"/>
        </w:rPr>
        <w:t>12</w:t>
      </w:r>
      <w:r w:rsidRPr="00344786">
        <w:rPr>
          <w:rFonts w:asciiTheme="minorHAnsi" w:hAnsiTheme="minorHAnsi"/>
          <w:sz w:val="22"/>
          <w:szCs w:val="22"/>
        </w:rPr>
        <w:t xml:space="preserve">). </w:t>
      </w:r>
      <w:r w:rsidR="00BD3A8B">
        <w:rPr>
          <w:rFonts w:asciiTheme="minorHAnsi" w:hAnsiTheme="minorHAnsi"/>
          <w:sz w:val="22"/>
          <w:szCs w:val="22"/>
        </w:rPr>
        <w:t xml:space="preserve">The disperse seismicity around the injection well are considered part of the </w:t>
      </w:r>
      <w:r w:rsidR="00BE0EAB">
        <w:rPr>
          <w:rFonts w:asciiTheme="minorHAnsi" w:hAnsiTheme="minorHAnsi"/>
          <w:sz w:val="22"/>
          <w:szCs w:val="22"/>
        </w:rPr>
        <w:t>southern cluster.</w:t>
      </w:r>
      <w:r w:rsidR="00BD3A8B">
        <w:rPr>
          <w:rFonts w:asciiTheme="minorHAnsi" w:hAnsiTheme="minorHAnsi"/>
          <w:sz w:val="22"/>
          <w:szCs w:val="22"/>
        </w:rPr>
        <w:t xml:space="preserve"> </w:t>
      </w:r>
      <w:r w:rsidRPr="00344786">
        <w:rPr>
          <w:rFonts w:asciiTheme="minorHAnsi" w:hAnsiTheme="minorHAnsi"/>
          <w:sz w:val="22"/>
          <w:szCs w:val="22"/>
        </w:rPr>
        <w:t xml:space="preserve">P-wave polarity analysis </w:t>
      </w:r>
      <w:r w:rsidR="007329F4" w:rsidRPr="007329F4">
        <w:rPr>
          <w:rFonts w:asciiTheme="minorHAnsi" w:hAnsiTheme="minorHAnsi"/>
          <w:sz w:val="22"/>
          <w:szCs w:val="22"/>
        </w:rPr>
        <w:t>revealed largely similar fault mechanisms among the events, with only a few exhibiting different orientations</w:t>
      </w:r>
      <w:r w:rsidR="00104038">
        <w:rPr>
          <w:rFonts w:asciiTheme="minorHAnsi" w:hAnsiTheme="minorHAnsi"/>
          <w:sz w:val="22"/>
          <w:szCs w:val="22"/>
        </w:rPr>
        <w:t xml:space="preserve"> (Baisch et al., 2009)</w:t>
      </w:r>
      <w:r w:rsidR="007329F4" w:rsidRPr="007329F4">
        <w:rPr>
          <w:rFonts w:asciiTheme="minorHAnsi" w:hAnsiTheme="minorHAnsi"/>
          <w:sz w:val="22"/>
          <w:szCs w:val="22"/>
        </w:rPr>
        <w:t>.</w:t>
      </w:r>
    </w:p>
    <w:p w14:paraId="455D0BBD" w14:textId="0766BFFA"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We calculated </w:t>
      </w:r>
      <w:r w:rsidR="00BE0EAB">
        <w:rPr>
          <w:rFonts w:asciiTheme="minorHAnsi" w:hAnsiTheme="minorHAnsi"/>
          <w:sz w:val="22"/>
          <w:szCs w:val="22"/>
        </w:rPr>
        <w:t>different magnitudes of completeness for the two clusters</w:t>
      </w:r>
      <w:r w:rsidRPr="00344786">
        <w:rPr>
          <w:rFonts w:asciiTheme="minorHAnsi" w:hAnsiTheme="minorHAnsi"/>
          <w:sz w:val="22"/>
          <w:szCs w:val="22"/>
        </w:rPr>
        <w:t xml:space="preserve">. The completeness magnitude </w:t>
      </w:r>
      <w:r w:rsidR="003942CC">
        <w:rPr>
          <w:rFonts w:asciiTheme="minorHAnsi" w:hAnsiTheme="minorHAnsi"/>
          <w:sz w:val="22"/>
          <w:szCs w:val="22"/>
        </w:rPr>
        <w:t>is</w:t>
      </w:r>
      <w:r w:rsidRPr="00344786">
        <w:rPr>
          <w:rFonts w:asciiTheme="minorHAnsi" w:hAnsiTheme="minorHAnsi"/>
          <w:sz w:val="22"/>
          <w:szCs w:val="22"/>
        </w:rPr>
        <w:t xml:space="preserve"> -0.</w:t>
      </w:r>
      <w:r w:rsidR="003942CC">
        <w:rPr>
          <w:rFonts w:asciiTheme="minorHAnsi" w:hAnsiTheme="minorHAnsi"/>
          <w:sz w:val="22"/>
          <w:szCs w:val="22"/>
        </w:rPr>
        <w:t>2</w:t>
      </w:r>
      <w:r w:rsidRPr="00344786">
        <w:rPr>
          <w:rFonts w:asciiTheme="minorHAnsi" w:hAnsiTheme="minorHAnsi"/>
          <w:sz w:val="22"/>
          <w:szCs w:val="22"/>
        </w:rPr>
        <w:t xml:space="preserve"> </w:t>
      </w:r>
      <w:r w:rsidR="003942CC">
        <w:rPr>
          <w:rFonts w:asciiTheme="minorHAnsi" w:hAnsiTheme="minorHAnsi"/>
          <w:sz w:val="22"/>
          <w:szCs w:val="22"/>
        </w:rPr>
        <w:t xml:space="preserve">for the </w:t>
      </w:r>
      <w:r w:rsidR="00C14694">
        <w:rPr>
          <w:rFonts w:asciiTheme="minorHAnsi" w:hAnsiTheme="minorHAnsi"/>
          <w:sz w:val="22"/>
          <w:szCs w:val="22"/>
        </w:rPr>
        <w:t xml:space="preserve">bigger north cluster and -0.3 for the south cluster </w:t>
      </w:r>
      <w:r w:rsidRPr="00344786">
        <w:rPr>
          <w:rFonts w:asciiTheme="minorHAnsi" w:hAnsiTheme="minorHAnsi"/>
          <w:sz w:val="22"/>
          <w:szCs w:val="22"/>
        </w:rPr>
        <w:t>(Fig. S1</w:t>
      </w:r>
      <w:r w:rsidR="009C2CAC">
        <w:rPr>
          <w:rFonts w:asciiTheme="minorHAnsi" w:hAnsiTheme="minorHAnsi"/>
          <w:sz w:val="22"/>
          <w:szCs w:val="22"/>
        </w:rPr>
        <w:t>3</w:t>
      </w:r>
      <w:r w:rsidRPr="00344786">
        <w:rPr>
          <w:rFonts w:asciiTheme="minorHAnsi" w:hAnsiTheme="minorHAnsi"/>
          <w:sz w:val="22"/>
          <w:szCs w:val="22"/>
        </w:rPr>
        <w:t>).</w:t>
      </w:r>
      <w:r w:rsidR="009C2CAC">
        <w:rPr>
          <w:rFonts w:asciiTheme="minorHAnsi" w:hAnsiTheme="minorHAnsi"/>
          <w:sz w:val="22"/>
          <w:szCs w:val="22"/>
        </w:rPr>
        <w:t xml:space="preserve"> The spatial distribution of Mc values over a 10x10 grid for the north cluster and a 5x5 grid for the south clu</w:t>
      </w:r>
      <w:r w:rsidR="00303D0F">
        <w:rPr>
          <w:rFonts w:asciiTheme="minorHAnsi" w:hAnsiTheme="minorHAnsi"/>
          <w:sz w:val="22"/>
          <w:szCs w:val="22"/>
        </w:rPr>
        <w:t>ster confirm that the chosen Mc equal or higher than the Mc value in any of the grid</w:t>
      </w:r>
      <w:r w:rsidR="00F10188">
        <w:rPr>
          <w:rFonts w:asciiTheme="minorHAnsi" w:hAnsiTheme="minorHAnsi"/>
          <w:sz w:val="22"/>
          <w:szCs w:val="22"/>
        </w:rPr>
        <w:t>ded areas (Fig. S14).</w:t>
      </w:r>
      <w:r w:rsidRPr="00344786">
        <w:rPr>
          <w:rFonts w:asciiTheme="minorHAnsi" w:hAnsiTheme="minorHAnsi"/>
          <w:sz w:val="22"/>
          <w:szCs w:val="22"/>
        </w:rPr>
        <w:t xml:space="preserve"> The cumulative activity was explored separately for the north and south clusters (Fig. S</w:t>
      </w:r>
      <w:r w:rsidR="00C14694">
        <w:rPr>
          <w:rFonts w:asciiTheme="minorHAnsi" w:hAnsiTheme="minorHAnsi"/>
          <w:sz w:val="22"/>
          <w:szCs w:val="22"/>
        </w:rPr>
        <w:t>1</w:t>
      </w:r>
      <w:r w:rsidR="00F10188">
        <w:rPr>
          <w:rFonts w:asciiTheme="minorHAnsi" w:hAnsiTheme="minorHAnsi"/>
          <w:sz w:val="22"/>
          <w:szCs w:val="22"/>
        </w:rPr>
        <w:t>5</w:t>
      </w:r>
      <w:r w:rsidRPr="00344786">
        <w:rPr>
          <w:rFonts w:asciiTheme="minorHAnsi" w:hAnsiTheme="minorHAnsi"/>
          <w:sz w:val="22"/>
          <w:szCs w:val="22"/>
        </w:rPr>
        <w:t xml:space="preserve">). The seismicity of the north cluster is continuous with slowly changing rate which allowed us to identify three consecutive stationary periods marked by red (P1C1), green(P2C1) and blue </w:t>
      </w:r>
      <w:r w:rsidR="00C14694">
        <w:rPr>
          <w:rFonts w:asciiTheme="minorHAnsi" w:hAnsiTheme="minorHAnsi"/>
          <w:sz w:val="22"/>
          <w:szCs w:val="22"/>
        </w:rPr>
        <w:t xml:space="preserve">(P3C1) </w:t>
      </w:r>
      <w:r w:rsidRPr="00344786">
        <w:rPr>
          <w:rFonts w:asciiTheme="minorHAnsi" w:hAnsiTheme="minorHAnsi"/>
          <w:sz w:val="22"/>
          <w:szCs w:val="22"/>
        </w:rPr>
        <w:t>areas in the plot (Fig. S</w:t>
      </w:r>
      <w:r w:rsidR="00C14694">
        <w:rPr>
          <w:rFonts w:asciiTheme="minorHAnsi" w:hAnsiTheme="minorHAnsi"/>
          <w:sz w:val="22"/>
          <w:szCs w:val="22"/>
        </w:rPr>
        <w:t>1</w:t>
      </w:r>
      <w:r w:rsidR="00A32236">
        <w:rPr>
          <w:rFonts w:asciiTheme="minorHAnsi" w:hAnsiTheme="minorHAnsi"/>
          <w:sz w:val="22"/>
          <w:szCs w:val="22"/>
        </w:rPr>
        <w:t>5</w:t>
      </w:r>
      <w:r w:rsidRPr="00344786">
        <w:rPr>
          <w:rFonts w:asciiTheme="minorHAnsi" w:hAnsiTheme="minorHAnsi"/>
          <w:sz w:val="22"/>
          <w:szCs w:val="22"/>
        </w:rPr>
        <w:t xml:space="preserve">–Top). For the south cluster </w:t>
      </w:r>
      <w:r w:rsidR="00FA556F">
        <w:rPr>
          <w:rFonts w:asciiTheme="minorHAnsi" w:hAnsiTheme="minorHAnsi"/>
          <w:sz w:val="22"/>
          <w:szCs w:val="22"/>
        </w:rPr>
        <w:t>we identify two stationary periods</w:t>
      </w:r>
      <w:r w:rsidRPr="00344786">
        <w:rPr>
          <w:rFonts w:asciiTheme="minorHAnsi" w:hAnsiTheme="minorHAnsi"/>
          <w:sz w:val="22"/>
          <w:szCs w:val="22"/>
        </w:rPr>
        <w:t xml:space="preserve">, marked by </w:t>
      </w:r>
      <w:r w:rsidR="00FA556F">
        <w:rPr>
          <w:rFonts w:asciiTheme="minorHAnsi" w:hAnsiTheme="minorHAnsi"/>
          <w:sz w:val="22"/>
          <w:szCs w:val="22"/>
        </w:rPr>
        <w:t xml:space="preserve">yellow (P4C2) and </w:t>
      </w:r>
      <w:r w:rsidRPr="00344786">
        <w:rPr>
          <w:rFonts w:asciiTheme="minorHAnsi" w:hAnsiTheme="minorHAnsi"/>
          <w:sz w:val="22"/>
          <w:szCs w:val="22"/>
        </w:rPr>
        <w:t>magenta (P</w:t>
      </w:r>
      <w:r w:rsidR="00C14694">
        <w:rPr>
          <w:rFonts w:asciiTheme="minorHAnsi" w:hAnsiTheme="minorHAnsi"/>
          <w:sz w:val="22"/>
          <w:szCs w:val="22"/>
        </w:rPr>
        <w:t>4</w:t>
      </w:r>
      <w:r w:rsidRPr="00344786">
        <w:rPr>
          <w:rFonts w:asciiTheme="minorHAnsi" w:hAnsiTheme="minorHAnsi"/>
          <w:sz w:val="22"/>
          <w:szCs w:val="22"/>
        </w:rPr>
        <w:t xml:space="preserve">C2) </w:t>
      </w:r>
      <w:r w:rsidR="00FA556F">
        <w:rPr>
          <w:rFonts w:asciiTheme="minorHAnsi" w:hAnsiTheme="minorHAnsi"/>
          <w:sz w:val="22"/>
          <w:szCs w:val="22"/>
        </w:rPr>
        <w:t xml:space="preserve">colors (Fig. </w:t>
      </w:r>
      <w:r w:rsidR="00A32236">
        <w:rPr>
          <w:rFonts w:asciiTheme="minorHAnsi" w:hAnsiTheme="minorHAnsi"/>
          <w:sz w:val="22"/>
          <w:szCs w:val="22"/>
        </w:rPr>
        <w:t>S</w:t>
      </w:r>
      <w:r w:rsidR="00FA556F">
        <w:rPr>
          <w:rFonts w:asciiTheme="minorHAnsi" w:hAnsiTheme="minorHAnsi"/>
          <w:sz w:val="22"/>
          <w:szCs w:val="22"/>
        </w:rPr>
        <w:t>1</w:t>
      </w:r>
      <w:r w:rsidR="00A32236">
        <w:rPr>
          <w:rFonts w:asciiTheme="minorHAnsi" w:hAnsiTheme="minorHAnsi"/>
          <w:sz w:val="22"/>
          <w:szCs w:val="22"/>
        </w:rPr>
        <w:t>5</w:t>
      </w:r>
      <w:r w:rsidR="00FA556F">
        <w:rPr>
          <w:rFonts w:asciiTheme="minorHAnsi" w:hAnsiTheme="minorHAnsi"/>
          <w:sz w:val="22"/>
          <w:szCs w:val="22"/>
        </w:rPr>
        <w:t>–bottom)</w:t>
      </w:r>
      <w:r w:rsidR="00786615">
        <w:rPr>
          <w:rFonts w:asciiTheme="minorHAnsi" w:hAnsiTheme="minorHAnsi"/>
          <w:sz w:val="22"/>
          <w:szCs w:val="22"/>
        </w:rPr>
        <w:t>.</w:t>
      </w:r>
    </w:p>
    <w:p w14:paraId="1D981C97" w14:textId="776C0932"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The Anderson–Darling test for the </w:t>
      </w:r>
      <w:r w:rsidR="00786615">
        <w:rPr>
          <w:rFonts w:asciiTheme="minorHAnsi" w:hAnsiTheme="minorHAnsi"/>
          <w:sz w:val="22"/>
          <w:szCs w:val="22"/>
        </w:rPr>
        <w:t>five</w:t>
      </w:r>
      <w:r w:rsidRPr="00344786">
        <w:rPr>
          <w:rFonts w:asciiTheme="minorHAnsi" w:hAnsiTheme="minorHAnsi"/>
          <w:sz w:val="22"/>
          <w:szCs w:val="22"/>
        </w:rPr>
        <w:t xml:space="preserve"> selected clusters supports rejection of exponential PDF for</w:t>
      </w:r>
      <w:r w:rsidR="00786615">
        <w:rPr>
          <w:rFonts w:asciiTheme="minorHAnsi" w:hAnsiTheme="minorHAnsi"/>
          <w:sz w:val="22"/>
          <w:szCs w:val="22"/>
        </w:rPr>
        <w:t xml:space="preserve"> the three subclusters of the northern cluster</w:t>
      </w:r>
      <w:r w:rsidRPr="00344786">
        <w:rPr>
          <w:rFonts w:asciiTheme="minorHAnsi" w:hAnsiTheme="minorHAnsi"/>
          <w:sz w:val="22"/>
          <w:szCs w:val="22"/>
        </w:rPr>
        <w:t>, P1C1 (red), P2C</w:t>
      </w:r>
      <w:r w:rsidR="00786615">
        <w:rPr>
          <w:rFonts w:asciiTheme="minorHAnsi" w:hAnsiTheme="minorHAnsi"/>
          <w:sz w:val="22"/>
          <w:szCs w:val="22"/>
        </w:rPr>
        <w:t>1</w:t>
      </w:r>
      <w:r w:rsidRPr="00344786">
        <w:rPr>
          <w:rFonts w:asciiTheme="minorHAnsi" w:hAnsiTheme="minorHAnsi"/>
          <w:sz w:val="22"/>
          <w:szCs w:val="22"/>
        </w:rPr>
        <w:t xml:space="preserve"> (green), P3C</w:t>
      </w:r>
      <w:r w:rsidR="00786615">
        <w:rPr>
          <w:rFonts w:asciiTheme="minorHAnsi" w:hAnsiTheme="minorHAnsi"/>
          <w:sz w:val="22"/>
          <w:szCs w:val="22"/>
        </w:rPr>
        <w:t>1</w:t>
      </w:r>
      <w:r w:rsidRPr="00344786">
        <w:rPr>
          <w:rFonts w:asciiTheme="minorHAnsi" w:hAnsiTheme="minorHAnsi"/>
          <w:sz w:val="22"/>
          <w:szCs w:val="22"/>
        </w:rPr>
        <w:t xml:space="preserve"> (blue) and (Table 1 – Cooper Basin 2005). Out of those </w:t>
      </w:r>
      <w:r w:rsidR="00786615">
        <w:rPr>
          <w:rFonts w:asciiTheme="minorHAnsi" w:hAnsiTheme="minorHAnsi"/>
          <w:sz w:val="22"/>
          <w:szCs w:val="22"/>
        </w:rPr>
        <w:t>three</w:t>
      </w:r>
      <w:r w:rsidRPr="00344786">
        <w:rPr>
          <w:rFonts w:asciiTheme="minorHAnsi" w:hAnsiTheme="minorHAnsi"/>
          <w:sz w:val="22"/>
          <w:szCs w:val="22"/>
        </w:rPr>
        <w:t xml:space="preserve"> cluster</w:t>
      </w:r>
      <w:r w:rsidR="00786615">
        <w:rPr>
          <w:rFonts w:asciiTheme="minorHAnsi" w:hAnsiTheme="minorHAnsi"/>
          <w:sz w:val="22"/>
          <w:szCs w:val="22"/>
        </w:rPr>
        <w:t>s</w:t>
      </w:r>
      <w:r w:rsidRPr="00344786">
        <w:rPr>
          <w:rFonts w:asciiTheme="minorHAnsi" w:hAnsiTheme="minorHAnsi"/>
          <w:sz w:val="22"/>
          <w:szCs w:val="22"/>
        </w:rPr>
        <w:t xml:space="preserve"> only for one of them, P1C1, can be </w:t>
      </w:r>
      <w:r w:rsidRPr="00344786">
        <w:rPr>
          <w:rFonts w:asciiTheme="minorHAnsi" w:hAnsiTheme="minorHAnsi"/>
          <w:sz w:val="22"/>
          <w:szCs w:val="22"/>
        </w:rPr>
        <w:lastRenderedPageBreak/>
        <w:t>considered to have a complex PDF by the rejected null hypothesis both of the Multibump test</w:t>
      </w:r>
      <w:r w:rsidR="00786615">
        <w:rPr>
          <w:rFonts w:asciiTheme="minorHAnsi" w:hAnsiTheme="minorHAnsi"/>
          <w:sz w:val="22"/>
          <w:szCs w:val="22"/>
        </w:rPr>
        <w:t xml:space="preserve"> (Table 1)</w:t>
      </w:r>
      <w:r w:rsidRPr="00344786">
        <w:rPr>
          <w:rFonts w:asciiTheme="minorHAnsi" w:hAnsiTheme="minorHAnsi"/>
          <w:sz w:val="22"/>
          <w:szCs w:val="22"/>
        </w:rPr>
        <w:t>.</w:t>
      </w:r>
    </w:p>
    <w:p w14:paraId="6F8D98E8" w14:textId="77777777" w:rsidR="00607D90" w:rsidRPr="00344786" w:rsidRDefault="00607D90" w:rsidP="00E97234">
      <w:pPr>
        <w:spacing w:line="360" w:lineRule="auto"/>
        <w:jc w:val="both"/>
        <w:rPr>
          <w:rFonts w:asciiTheme="minorHAnsi" w:hAnsiTheme="minorHAnsi"/>
          <w:sz w:val="22"/>
          <w:szCs w:val="22"/>
        </w:rPr>
      </w:pPr>
    </w:p>
    <w:p w14:paraId="242327A7"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5" w:name="_Toc162435997"/>
      <w:r w:rsidRPr="00344786">
        <w:rPr>
          <w:rFonts w:asciiTheme="minorHAnsi" w:hAnsiTheme="minorHAnsi"/>
          <w:sz w:val="22"/>
          <w:szCs w:val="22"/>
        </w:rPr>
        <w:t>The Geyshers Prati 9 and Prati 29 cluster</w:t>
      </w:r>
      <w:bookmarkEnd w:id="5"/>
    </w:p>
    <w:p w14:paraId="73B4FB2B" w14:textId="77777777" w:rsidR="00607D90" w:rsidRPr="00344786" w:rsidRDefault="00607D90" w:rsidP="00E97234">
      <w:pPr>
        <w:spacing w:line="360" w:lineRule="auto"/>
        <w:jc w:val="both"/>
        <w:rPr>
          <w:rFonts w:asciiTheme="minorHAnsi" w:hAnsiTheme="minorHAnsi"/>
          <w:b/>
          <w:bCs/>
          <w:sz w:val="22"/>
          <w:szCs w:val="22"/>
        </w:rPr>
      </w:pPr>
    </w:p>
    <w:p w14:paraId="0114A818"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108163C8" w14:textId="11D91D8F"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w:t>
      </w:r>
      <w:r w:rsidR="00877E34">
        <w:rPr>
          <w:rFonts w:asciiTheme="minorHAnsi" w:hAnsiTheme="minorHAnsi"/>
          <w:sz w:val="22"/>
          <w:szCs w:val="22"/>
        </w:rPr>
        <w:t xml:space="preserve">is </w:t>
      </w:r>
      <w:r w:rsidRPr="00344786">
        <w:rPr>
          <w:rFonts w:asciiTheme="minorHAnsi" w:hAnsiTheme="minorHAnsi"/>
          <w:sz w:val="22"/>
          <w:szCs w:val="22"/>
        </w:rPr>
        <w:t xml:space="preserve">catalog </w:t>
      </w:r>
      <w:r w:rsidR="00877E34">
        <w:rPr>
          <w:rFonts w:asciiTheme="minorHAnsi" w:hAnsiTheme="minorHAnsi"/>
          <w:sz w:val="22"/>
          <w:szCs w:val="22"/>
        </w:rPr>
        <w:t>documents</w:t>
      </w:r>
      <w:r w:rsidRPr="00344786">
        <w:rPr>
          <w:rFonts w:asciiTheme="minorHAnsi" w:hAnsiTheme="minorHAnsi"/>
          <w:sz w:val="22"/>
          <w:szCs w:val="22"/>
        </w:rPr>
        <w:t xml:space="preserve"> seismicity </w:t>
      </w:r>
      <w:r w:rsidR="00877E34">
        <w:rPr>
          <w:rFonts w:asciiTheme="minorHAnsi" w:hAnsiTheme="minorHAnsi"/>
          <w:sz w:val="22"/>
          <w:szCs w:val="22"/>
        </w:rPr>
        <w:t>induced</w:t>
      </w:r>
      <w:r w:rsidRPr="00344786">
        <w:rPr>
          <w:rFonts w:asciiTheme="minorHAnsi" w:hAnsiTheme="minorHAnsi"/>
          <w:sz w:val="22"/>
          <w:szCs w:val="22"/>
        </w:rPr>
        <w:t xml:space="preserve"> by fluid injection in the Prati 9 and Prati 29 wells</w:t>
      </w:r>
      <w:r w:rsidR="00877E34">
        <w:rPr>
          <w:rFonts w:asciiTheme="minorHAnsi" w:hAnsiTheme="minorHAnsi"/>
          <w:sz w:val="22"/>
          <w:szCs w:val="22"/>
        </w:rPr>
        <w:t>,</w:t>
      </w:r>
      <w:r w:rsidRPr="00344786">
        <w:rPr>
          <w:rFonts w:asciiTheme="minorHAnsi" w:hAnsiTheme="minorHAnsi"/>
          <w:sz w:val="22"/>
          <w:szCs w:val="22"/>
        </w:rPr>
        <w:t xml:space="preserve"> located in northwestern part of the Geyshers geothermal field in California (IS EPOS 2017a). Seismicity was recorded by a network of 31 short-period surface geophones operated by Lawrence–Berkeley National Laboratory (Kwiatek et al., 2015).</w:t>
      </w:r>
    </w:p>
    <w:p w14:paraId="4EDDB8F0" w14:textId="77777777" w:rsidR="00607D90" w:rsidRPr="00344786" w:rsidRDefault="00607D90" w:rsidP="00E97234">
      <w:pPr>
        <w:pStyle w:val="SMText"/>
        <w:spacing w:line="360" w:lineRule="auto"/>
        <w:jc w:val="both"/>
        <w:rPr>
          <w:rFonts w:asciiTheme="minorHAnsi" w:hAnsiTheme="minorHAnsi"/>
          <w:sz w:val="22"/>
          <w:szCs w:val="22"/>
        </w:rPr>
      </w:pPr>
    </w:p>
    <w:p w14:paraId="2B0CA6E5"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1F6B56F1" w14:textId="499108DB"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catalog contains 1252 earthquakes over a seven-year period, between December 2007 and August 2014 (Table S</w:t>
      </w:r>
      <w:r w:rsidR="00F911D8">
        <w:rPr>
          <w:rFonts w:asciiTheme="minorHAnsi" w:hAnsiTheme="minorHAnsi"/>
          <w:sz w:val="22"/>
          <w:szCs w:val="22"/>
        </w:rPr>
        <w:t>4</w:t>
      </w:r>
      <w:r w:rsidRPr="00344786">
        <w:rPr>
          <w:rFonts w:asciiTheme="minorHAnsi" w:hAnsiTheme="minorHAnsi"/>
          <w:sz w:val="22"/>
          <w:szCs w:val="22"/>
        </w:rPr>
        <w:t>), with increased activity corresponding to periods of increased injection rate (Fig. S</w:t>
      </w:r>
      <w:r w:rsidR="00280B49">
        <w:rPr>
          <w:rFonts w:asciiTheme="minorHAnsi" w:hAnsiTheme="minorHAnsi"/>
          <w:sz w:val="22"/>
          <w:szCs w:val="22"/>
        </w:rPr>
        <w:t>1</w:t>
      </w:r>
      <w:r w:rsidR="00F10188">
        <w:rPr>
          <w:rFonts w:asciiTheme="minorHAnsi" w:hAnsiTheme="minorHAnsi"/>
          <w:sz w:val="22"/>
          <w:szCs w:val="22"/>
        </w:rPr>
        <w:t>6</w:t>
      </w:r>
      <w:r w:rsidRPr="00344786">
        <w:rPr>
          <w:rFonts w:asciiTheme="minorHAnsi" w:hAnsiTheme="minorHAnsi"/>
          <w:sz w:val="22"/>
          <w:szCs w:val="22"/>
        </w:rPr>
        <w:t>). The earthquakes occurred mostly in a single cluster (Fig. S</w:t>
      </w:r>
      <w:r w:rsidR="00280B49">
        <w:rPr>
          <w:rFonts w:asciiTheme="minorHAnsi" w:hAnsiTheme="minorHAnsi"/>
          <w:sz w:val="22"/>
          <w:szCs w:val="22"/>
        </w:rPr>
        <w:t>1</w:t>
      </w:r>
      <w:r w:rsidR="00F10188">
        <w:rPr>
          <w:rFonts w:asciiTheme="minorHAnsi" w:hAnsiTheme="minorHAnsi"/>
          <w:sz w:val="22"/>
          <w:szCs w:val="22"/>
        </w:rPr>
        <w:t>7</w:t>
      </w:r>
      <w:r w:rsidRPr="00344786">
        <w:rPr>
          <w:rFonts w:asciiTheme="minorHAnsi" w:hAnsiTheme="minorHAnsi"/>
          <w:sz w:val="22"/>
          <w:szCs w:val="22"/>
        </w:rPr>
        <w:t xml:space="preserve">), with depths between 2 and 3 km, with a few earthquakes in the northernmost and southernmost part of the cluster in depths between 1.5 and 2 km. We did not exclude those events from processing, but they were left unused as they did not belong to a stationary period anyway. </w:t>
      </w:r>
    </w:p>
    <w:p w14:paraId="73F3146B" w14:textId="6F865774"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catalog in the Episodes platform is provided for magnitudes above the magnitude of completeness M</w:t>
      </w:r>
      <w:r w:rsidRPr="00344786">
        <w:rPr>
          <w:rFonts w:asciiTheme="minorHAnsi" w:hAnsiTheme="minorHAnsi"/>
          <w:sz w:val="22"/>
          <w:szCs w:val="22"/>
          <w:vertAlign w:val="subscript"/>
        </w:rPr>
        <w:t>C</w:t>
      </w:r>
      <w:r w:rsidRPr="00344786">
        <w:rPr>
          <w:rFonts w:asciiTheme="minorHAnsi" w:hAnsiTheme="minorHAnsi"/>
          <w:sz w:val="22"/>
          <w:szCs w:val="22"/>
        </w:rPr>
        <w:t xml:space="preserve"> = 1.4 (Kwiatek et al., 2015). </w:t>
      </w:r>
      <w:r w:rsidR="001C101A">
        <w:rPr>
          <w:rFonts w:asciiTheme="minorHAnsi" w:hAnsiTheme="minorHAnsi"/>
          <w:sz w:val="22"/>
          <w:szCs w:val="22"/>
        </w:rPr>
        <w:t>The mGFT method suggests an M</w:t>
      </w:r>
      <w:r w:rsidR="00725AEE">
        <w:rPr>
          <w:rFonts w:asciiTheme="minorHAnsi" w:hAnsiTheme="minorHAnsi"/>
          <w:sz w:val="22"/>
          <w:szCs w:val="22"/>
          <w:vertAlign w:val="subscript"/>
        </w:rPr>
        <w:t>C</w:t>
      </w:r>
      <w:r w:rsidR="00725AEE">
        <w:rPr>
          <w:rFonts w:asciiTheme="minorHAnsi" w:hAnsiTheme="minorHAnsi"/>
          <w:sz w:val="22"/>
          <w:szCs w:val="22"/>
        </w:rPr>
        <w:t xml:space="preserve"> equal to 2.0 and therefore we adopt that value</w:t>
      </w:r>
      <w:r w:rsidR="00F30D00">
        <w:rPr>
          <w:rFonts w:asciiTheme="minorHAnsi" w:hAnsiTheme="minorHAnsi"/>
          <w:sz w:val="22"/>
          <w:szCs w:val="22"/>
        </w:rPr>
        <w:t xml:space="preserve"> (Fig. S1</w:t>
      </w:r>
      <w:r w:rsidR="008775A4">
        <w:rPr>
          <w:rFonts w:asciiTheme="minorHAnsi" w:hAnsiTheme="minorHAnsi"/>
          <w:sz w:val="22"/>
          <w:szCs w:val="22"/>
        </w:rPr>
        <w:t>8</w:t>
      </w:r>
      <w:r w:rsidR="00F30D00">
        <w:rPr>
          <w:rFonts w:asciiTheme="minorHAnsi" w:hAnsiTheme="minorHAnsi"/>
          <w:sz w:val="22"/>
          <w:szCs w:val="22"/>
        </w:rPr>
        <w:t>)</w:t>
      </w:r>
      <w:r w:rsidR="00725AEE">
        <w:rPr>
          <w:rFonts w:asciiTheme="minorHAnsi" w:hAnsiTheme="minorHAnsi"/>
          <w:sz w:val="22"/>
          <w:szCs w:val="22"/>
        </w:rPr>
        <w:t xml:space="preserve">. </w:t>
      </w:r>
      <w:r w:rsidR="008775A4">
        <w:rPr>
          <w:rFonts w:asciiTheme="minorHAnsi" w:hAnsiTheme="minorHAnsi"/>
          <w:sz w:val="22"/>
          <w:szCs w:val="22"/>
        </w:rPr>
        <w:t xml:space="preserve">The spatial distribution of Mc </w:t>
      </w:r>
      <w:r w:rsidR="00780580">
        <w:rPr>
          <w:rFonts w:asciiTheme="minorHAnsi" w:hAnsiTheme="minorHAnsi"/>
          <w:sz w:val="22"/>
          <w:szCs w:val="22"/>
        </w:rPr>
        <w:t>over a 5x5 grid of the study area</w:t>
      </w:r>
      <w:r w:rsidR="00015946" w:rsidRPr="00015946">
        <w:rPr>
          <w:rFonts w:asciiTheme="minorHAnsi" w:hAnsiTheme="minorHAnsi"/>
          <w:sz w:val="22"/>
          <w:szCs w:val="22"/>
        </w:rPr>
        <w:t xml:space="preserve"> </w:t>
      </w:r>
      <w:r w:rsidR="00DD633F">
        <w:rPr>
          <w:rFonts w:asciiTheme="minorHAnsi" w:hAnsiTheme="minorHAnsi"/>
          <w:sz w:val="22"/>
          <w:szCs w:val="22"/>
        </w:rPr>
        <w:t xml:space="preserve">is always lower than the calculated value of 2.0 for the whole area (Fig. S19). </w:t>
      </w:r>
      <w:r w:rsidRPr="00344786">
        <w:rPr>
          <w:rFonts w:asciiTheme="minorHAnsi" w:hAnsiTheme="minorHAnsi"/>
          <w:sz w:val="22"/>
          <w:szCs w:val="22"/>
        </w:rPr>
        <w:t>The cumulative earthquake distribution versus time (Fig. S</w:t>
      </w:r>
      <w:r w:rsidR="00DD633F">
        <w:rPr>
          <w:rFonts w:asciiTheme="minorHAnsi" w:hAnsiTheme="minorHAnsi"/>
          <w:sz w:val="22"/>
          <w:szCs w:val="22"/>
        </w:rPr>
        <w:t>20</w:t>
      </w:r>
      <w:r w:rsidRPr="00344786">
        <w:rPr>
          <w:rFonts w:asciiTheme="minorHAnsi" w:hAnsiTheme="minorHAnsi"/>
          <w:sz w:val="22"/>
          <w:szCs w:val="22"/>
        </w:rPr>
        <w:t xml:space="preserve">) allowed </w:t>
      </w:r>
      <w:r w:rsidR="00F30D00">
        <w:rPr>
          <w:rFonts w:asciiTheme="minorHAnsi" w:hAnsiTheme="minorHAnsi"/>
          <w:sz w:val="22"/>
          <w:szCs w:val="22"/>
        </w:rPr>
        <w:t>the</w:t>
      </w:r>
      <w:r w:rsidRPr="00344786">
        <w:rPr>
          <w:rFonts w:asciiTheme="minorHAnsi" w:hAnsiTheme="minorHAnsi"/>
          <w:sz w:val="22"/>
          <w:szCs w:val="22"/>
        </w:rPr>
        <w:t xml:space="preserve"> </w:t>
      </w:r>
      <w:r w:rsidR="00F30D00">
        <w:rPr>
          <w:rFonts w:asciiTheme="minorHAnsi" w:hAnsiTheme="minorHAnsi"/>
          <w:sz w:val="22"/>
          <w:szCs w:val="22"/>
        </w:rPr>
        <w:t>identification of only one period</w:t>
      </w:r>
      <w:r w:rsidRPr="00344786">
        <w:rPr>
          <w:rFonts w:asciiTheme="minorHAnsi" w:hAnsiTheme="minorHAnsi"/>
          <w:sz w:val="22"/>
          <w:szCs w:val="22"/>
        </w:rPr>
        <w:t xml:space="preserve"> periods of stationary activity rate</w:t>
      </w:r>
      <w:r w:rsidR="00E54167">
        <w:rPr>
          <w:rFonts w:asciiTheme="minorHAnsi" w:hAnsiTheme="minorHAnsi"/>
          <w:sz w:val="22"/>
          <w:szCs w:val="22"/>
        </w:rPr>
        <w:t>, P1C1</w:t>
      </w:r>
      <w:r w:rsidRPr="00344786">
        <w:rPr>
          <w:rFonts w:asciiTheme="minorHAnsi" w:hAnsiTheme="minorHAnsi"/>
          <w:sz w:val="22"/>
          <w:szCs w:val="22"/>
        </w:rPr>
        <w:t xml:space="preserve">. </w:t>
      </w:r>
      <w:r w:rsidR="00176ACD">
        <w:rPr>
          <w:rFonts w:asciiTheme="minorHAnsi" w:hAnsiTheme="minorHAnsi"/>
          <w:sz w:val="22"/>
          <w:szCs w:val="22"/>
        </w:rPr>
        <w:t xml:space="preserve">Smaller stationary periods can also be </w:t>
      </w:r>
      <w:r w:rsidR="00DD633F">
        <w:rPr>
          <w:rFonts w:asciiTheme="minorHAnsi" w:hAnsiTheme="minorHAnsi"/>
          <w:sz w:val="22"/>
          <w:szCs w:val="22"/>
        </w:rPr>
        <w:t>identified</w:t>
      </w:r>
      <w:r w:rsidR="00176ACD">
        <w:rPr>
          <w:rFonts w:asciiTheme="minorHAnsi" w:hAnsiTheme="minorHAnsi"/>
          <w:sz w:val="22"/>
          <w:szCs w:val="22"/>
        </w:rPr>
        <w:t xml:space="preserve"> but none contains more than 60 earthquakes.</w:t>
      </w:r>
    </w:p>
    <w:p w14:paraId="4F6347E7" w14:textId="31E717A2"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Anderson–Darling test for the four selected subcatalog</w:t>
      </w:r>
      <w:r w:rsidR="00147960">
        <w:rPr>
          <w:rFonts w:asciiTheme="minorHAnsi" w:hAnsiTheme="minorHAnsi"/>
          <w:sz w:val="22"/>
          <w:szCs w:val="22"/>
        </w:rPr>
        <w:t xml:space="preserve"> does not</w:t>
      </w:r>
      <w:r w:rsidRPr="00344786">
        <w:rPr>
          <w:rFonts w:asciiTheme="minorHAnsi" w:hAnsiTheme="minorHAnsi"/>
          <w:sz w:val="22"/>
          <w:szCs w:val="22"/>
        </w:rPr>
        <w:t xml:space="preserve"> suggest the rejection of exponential PDF (Table 1 – The Geyshers)</w:t>
      </w:r>
      <w:r w:rsidR="00147960">
        <w:rPr>
          <w:rFonts w:asciiTheme="minorHAnsi" w:hAnsiTheme="minorHAnsi"/>
          <w:sz w:val="22"/>
          <w:szCs w:val="22"/>
        </w:rPr>
        <w:t xml:space="preserve"> and therefore the </w:t>
      </w:r>
      <w:r w:rsidR="00D0408C">
        <w:rPr>
          <w:rFonts w:asciiTheme="minorHAnsi" w:hAnsiTheme="minorHAnsi"/>
          <w:sz w:val="22"/>
          <w:szCs w:val="22"/>
        </w:rPr>
        <w:t>Multimodality and Multibump tests were not applied.</w:t>
      </w:r>
    </w:p>
    <w:p w14:paraId="2ECA4CA6" w14:textId="77777777" w:rsidR="00607D90" w:rsidRPr="00344786" w:rsidRDefault="00607D90" w:rsidP="00E97234">
      <w:pPr>
        <w:spacing w:line="360" w:lineRule="auto"/>
        <w:jc w:val="both"/>
        <w:rPr>
          <w:rFonts w:asciiTheme="minorHAnsi" w:hAnsiTheme="minorHAnsi"/>
          <w:sz w:val="22"/>
          <w:szCs w:val="22"/>
        </w:rPr>
      </w:pPr>
    </w:p>
    <w:p w14:paraId="21EB4D14"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6" w:name="_Toc162435998"/>
      <w:r w:rsidRPr="00344786">
        <w:rPr>
          <w:rFonts w:asciiTheme="minorHAnsi" w:hAnsiTheme="minorHAnsi"/>
          <w:sz w:val="22"/>
          <w:szCs w:val="22"/>
        </w:rPr>
        <w:t>St. Gallen</w:t>
      </w:r>
      <w:bookmarkEnd w:id="6"/>
    </w:p>
    <w:p w14:paraId="5AF8CAC3" w14:textId="77777777" w:rsidR="00607D90" w:rsidRPr="00344786" w:rsidRDefault="00607D90" w:rsidP="00E97234">
      <w:pPr>
        <w:spacing w:line="360" w:lineRule="auto"/>
        <w:jc w:val="both"/>
        <w:rPr>
          <w:rFonts w:asciiTheme="minorHAnsi" w:hAnsiTheme="minorHAnsi"/>
          <w:b/>
          <w:bCs/>
          <w:sz w:val="22"/>
          <w:szCs w:val="22"/>
        </w:rPr>
      </w:pPr>
    </w:p>
    <w:p w14:paraId="15877428"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087FE9CB"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lastRenderedPageBreak/>
        <w:t>The St. Gallen episode catalog includes microseismicity of the Molasse Basin, in northeast Switzerland (IS EPOS, 2018a). A sequence that led to a M3.5 earthquake took place in July 2013 due to stimulation of a borehole well in a fault zone that previously had only one recorded earthquake of M</w:t>
      </w:r>
      <w:r w:rsidRPr="00344786">
        <w:rPr>
          <w:rFonts w:asciiTheme="minorHAnsi" w:hAnsiTheme="minorHAnsi" w:cstheme="minorHAnsi"/>
          <w:sz w:val="22"/>
          <w:szCs w:val="22"/>
        </w:rPr>
        <w:t>≥</w:t>
      </w:r>
      <w:r w:rsidRPr="00344786">
        <w:rPr>
          <w:rFonts w:asciiTheme="minorHAnsi" w:hAnsiTheme="minorHAnsi"/>
          <w:sz w:val="22"/>
          <w:szCs w:val="22"/>
        </w:rPr>
        <w:t>3.0 (Diehl et al., 2017).</w:t>
      </w:r>
    </w:p>
    <w:p w14:paraId="2E38BA42" w14:textId="77777777" w:rsidR="00607D90" w:rsidRPr="00344786" w:rsidRDefault="00607D90" w:rsidP="00E97234">
      <w:pPr>
        <w:pStyle w:val="SMText"/>
        <w:spacing w:line="360" w:lineRule="auto"/>
        <w:jc w:val="both"/>
        <w:rPr>
          <w:rFonts w:asciiTheme="minorHAnsi" w:hAnsiTheme="minorHAnsi"/>
          <w:sz w:val="22"/>
          <w:szCs w:val="22"/>
        </w:rPr>
      </w:pPr>
    </w:p>
    <w:p w14:paraId="514E4194"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4236AF2B" w14:textId="355C47E8"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catalog contains 347 earthquakes that occurred in a period of little less than two years (Table S</w:t>
      </w:r>
      <w:r w:rsidR="00543C9A">
        <w:rPr>
          <w:rFonts w:asciiTheme="minorHAnsi" w:hAnsiTheme="minorHAnsi"/>
          <w:sz w:val="22"/>
          <w:szCs w:val="22"/>
        </w:rPr>
        <w:t>5</w:t>
      </w:r>
      <w:r w:rsidRPr="00344786">
        <w:rPr>
          <w:rFonts w:asciiTheme="minorHAnsi" w:hAnsiTheme="minorHAnsi"/>
          <w:sz w:val="22"/>
          <w:szCs w:val="22"/>
        </w:rPr>
        <w:t>). The majority of earthquakes were recorded during the 2013 crisis which is also a period of stable network configuration, allowing us to continue with a single magnitude of completeness calculation. The majority of earthquake activity can likely be attributed to the activation of one fault (Fig. S</w:t>
      </w:r>
      <w:r w:rsidR="00323FC9">
        <w:rPr>
          <w:rFonts w:asciiTheme="minorHAnsi" w:hAnsiTheme="minorHAnsi"/>
          <w:sz w:val="22"/>
          <w:szCs w:val="22"/>
        </w:rPr>
        <w:t>21</w:t>
      </w:r>
      <w:r w:rsidRPr="00344786">
        <w:rPr>
          <w:rFonts w:asciiTheme="minorHAnsi" w:hAnsiTheme="minorHAnsi"/>
          <w:sz w:val="22"/>
          <w:szCs w:val="22"/>
        </w:rPr>
        <w:t>) with only a few earthquakes occurring at distances of about 500m to the northeast. We selected 316 earthquakes only in the main cluster of seismicity for further analysis.</w:t>
      </w:r>
    </w:p>
    <w:p w14:paraId="46EAEDBF" w14:textId="51DD5650"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magnitude of completeness for the selected cluster of seismicity is M</w:t>
      </w:r>
      <w:r w:rsidRPr="00344786">
        <w:rPr>
          <w:rFonts w:asciiTheme="minorHAnsi" w:hAnsiTheme="minorHAnsi"/>
          <w:sz w:val="22"/>
          <w:szCs w:val="22"/>
          <w:vertAlign w:val="subscript"/>
        </w:rPr>
        <w:t>C</w:t>
      </w:r>
      <w:r w:rsidRPr="00344786">
        <w:rPr>
          <w:rFonts w:asciiTheme="minorHAnsi" w:hAnsiTheme="minorHAnsi"/>
          <w:sz w:val="22"/>
          <w:szCs w:val="22"/>
        </w:rPr>
        <w:t>=-0.6 (Fig. S</w:t>
      </w:r>
      <w:r w:rsidR="00323FC9">
        <w:rPr>
          <w:rFonts w:asciiTheme="minorHAnsi" w:hAnsiTheme="minorHAnsi"/>
          <w:sz w:val="22"/>
          <w:szCs w:val="22"/>
        </w:rPr>
        <w:t>22</w:t>
      </w:r>
      <w:r w:rsidRPr="00344786">
        <w:rPr>
          <w:rFonts w:asciiTheme="minorHAnsi" w:hAnsiTheme="minorHAnsi"/>
          <w:sz w:val="22"/>
          <w:szCs w:val="22"/>
        </w:rPr>
        <w:t xml:space="preserve">), and leaves 273 earthquakes for further processing. </w:t>
      </w:r>
      <w:r w:rsidR="00323FC9">
        <w:rPr>
          <w:rFonts w:asciiTheme="minorHAnsi" w:hAnsiTheme="minorHAnsi"/>
          <w:sz w:val="22"/>
          <w:szCs w:val="22"/>
        </w:rPr>
        <w:t xml:space="preserve">The calculated Mc values over a </w:t>
      </w:r>
      <w:r w:rsidR="00A57B43">
        <w:rPr>
          <w:rFonts w:asciiTheme="minorHAnsi" w:hAnsiTheme="minorHAnsi"/>
          <w:sz w:val="22"/>
          <w:szCs w:val="22"/>
        </w:rPr>
        <w:t xml:space="preserve">5x5 grid of the whole area are lower of equal than the calculated value of -0.6 for the whole area (Fig. S23). </w:t>
      </w:r>
      <w:r w:rsidRPr="00344786">
        <w:rPr>
          <w:rFonts w:asciiTheme="minorHAnsi" w:hAnsiTheme="minorHAnsi"/>
          <w:sz w:val="22"/>
          <w:szCs w:val="22"/>
        </w:rPr>
        <w:t>The cumulative earthquake distribution of earthquakes with M≥M</w:t>
      </w:r>
      <w:r w:rsidRPr="00344786">
        <w:rPr>
          <w:rFonts w:asciiTheme="minorHAnsi" w:hAnsiTheme="minorHAnsi"/>
          <w:sz w:val="22"/>
          <w:szCs w:val="22"/>
          <w:vertAlign w:val="subscript"/>
        </w:rPr>
        <w:t>C</w:t>
      </w:r>
      <w:r w:rsidRPr="00344786">
        <w:rPr>
          <w:rFonts w:asciiTheme="minorHAnsi" w:hAnsiTheme="minorHAnsi"/>
          <w:sz w:val="22"/>
          <w:szCs w:val="22"/>
        </w:rPr>
        <w:t xml:space="preserve"> shows only one stationary period (Fig. S</w:t>
      </w:r>
      <w:r w:rsidR="00A57B43">
        <w:rPr>
          <w:rFonts w:asciiTheme="minorHAnsi" w:hAnsiTheme="minorHAnsi"/>
          <w:sz w:val="22"/>
          <w:szCs w:val="22"/>
        </w:rPr>
        <w:t>24</w:t>
      </w:r>
      <w:r w:rsidRPr="00344786">
        <w:rPr>
          <w:rFonts w:asciiTheme="minorHAnsi" w:hAnsiTheme="minorHAnsi"/>
          <w:sz w:val="22"/>
          <w:szCs w:val="22"/>
        </w:rPr>
        <w:t xml:space="preserve"> – P1C1) with 174 earthquakes, which corresponds to the period of the M3.5 earthquake crisis. We selected this period for further testing.</w:t>
      </w:r>
    </w:p>
    <w:p w14:paraId="3DAF8C28"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Anderson–Darling test did not provide enough statistical evidence to reject the exponentiality null hypothesis for the PDF of the P1C1 subcatalog and therefore we did not proceed to the Multimodality and Multibump tests (Table 1 – Sankt Gallen).</w:t>
      </w:r>
    </w:p>
    <w:p w14:paraId="12A0B738" w14:textId="77777777" w:rsidR="00607D90" w:rsidRPr="00344786" w:rsidRDefault="00607D90" w:rsidP="00E97234">
      <w:pPr>
        <w:spacing w:line="360" w:lineRule="auto"/>
        <w:jc w:val="both"/>
        <w:rPr>
          <w:rFonts w:asciiTheme="minorHAnsi" w:hAnsiTheme="minorHAnsi"/>
          <w:sz w:val="22"/>
          <w:szCs w:val="22"/>
        </w:rPr>
      </w:pPr>
    </w:p>
    <w:p w14:paraId="3AA1AD45"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7" w:name="_Toc162435999"/>
      <w:r w:rsidRPr="00344786">
        <w:rPr>
          <w:rFonts w:asciiTheme="minorHAnsi" w:hAnsiTheme="minorHAnsi"/>
          <w:sz w:val="22"/>
          <w:szCs w:val="22"/>
        </w:rPr>
        <w:t>Carbfix</w:t>
      </w:r>
      <w:bookmarkEnd w:id="7"/>
    </w:p>
    <w:p w14:paraId="6781064F" w14:textId="77777777" w:rsidR="00607D90" w:rsidRPr="00344786" w:rsidRDefault="00607D90" w:rsidP="00E97234">
      <w:pPr>
        <w:spacing w:line="360" w:lineRule="auto"/>
        <w:jc w:val="both"/>
        <w:rPr>
          <w:rFonts w:asciiTheme="minorHAnsi" w:hAnsiTheme="minorHAnsi"/>
          <w:b/>
          <w:bCs/>
          <w:sz w:val="22"/>
          <w:szCs w:val="22"/>
        </w:rPr>
      </w:pPr>
    </w:p>
    <w:p w14:paraId="5BDBE129"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1D59C148" w14:textId="2421A2D3"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Carbfix episode refers to the CO2 sequestration in the Hengill Area in southwestern Iceland (IS EPOS, 2018b). The seismicity included in the EPISODES platform is related to the Hellisheidi production field which contains numerous wells for direct measurements of temperature and pressure (Gunnarsson et al., 2011) although in the Episodes platform information is somewhat fragmented, i.e., there is information about well positions but rock temperature and well path is provided only about one well and groundwater measurements for another two wells (Table S</w:t>
      </w:r>
      <w:r w:rsidR="0034689D">
        <w:rPr>
          <w:rFonts w:asciiTheme="minorHAnsi" w:hAnsiTheme="minorHAnsi"/>
          <w:sz w:val="22"/>
          <w:szCs w:val="22"/>
        </w:rPr>
        <w:t>6</w:t>
      </w:r>
      <w:r w:rsidRPr="00344786">
        <w:rPr>
          <w:rFonts w:asciiTheme="minorHAnsi" w:hAnsiTheme="minorHAnsi"/>
          <w:sz w:val="22"/>
          <w:szCs w:val="22"/>
        </w:rPr>
        <w:t xml:space="preserve">). </w:t>
      </w:r>
    </w:p>
    <w:p w14:paraId="1758A367" w14:textId="77777777" w:rsidR="00607D90" w:rsidRPr="00344786" w:rsidRDefault="00607D90" w:rsidP="00E97234">
      <w:pPr>
        <w:pStyle w:val="SMText"/>
        <w:spacing w:line="360" w:lineRule="auto"/>
        <w:jc w:val="both"/>
        <w:rPr>
          <w:rFonts w:asciiTheme="minorHAnsi" w:hAnsiTheme="minorHAnsi"/>
          <w:sz w:val="22"/>
          <w:szCs w:val="22"/>
        </w:rPr>
      </w:pPr>
    </w:p>
    <w:p w14:paraId="3E815B65"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039BF548" w14:textId="6240B263"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1081 earthquakes included in the catalog form a small number of clusters. (Fig. S</w:t>
      </w:r>
      <w:r w:rsidR="00AD5A1A" w:rsidRPr="00344786">
        <w:rPr>
          <w:rFonts w:asciiTheme="minorHAnsi" w:hAnsiTheme="minorHAnsi"/>
          <w:sz w:val="22"/>
          <w:szCs w:val="22"/>
        </w:rPr>
        <w:t>2</w:t>
      </w:r>
      <w:r w:rsidR="00651920">
        <w:rPr>
          <w:rFonts w:asciiTheme="minorHAnsi" w:hAnsiTheme="minorHAnsi"/>
          <w:sz w:val="22"/>
          <w:szCs w:val="22"/>
        </w:rPr>
        <w:t>5</w:t>
      </w:r>
      <w:r w:rsidRPr="00344786">
        <w:rPr>
          <w:rFonts w:asciiTheme="minorHAnsi" w:hAnsiTheme="minorHAnsi"/>
          <w:sz w:val="22"/>
          <w:szCs w:val="22"/>
        </w:rPr>
        <w:t>). Since the information of technological activities is not known for every well but also because seismicity is sparse, we examined only the spatial distribution of the catalog. We identified three areas which we call the north, east and center area and two spatial clusters within each area which are noted by separate colors, yellow and cyan for the north area, red and green at the east, magenta and blue for the central ones (Fig. S</w:t>
      </w:r>
      <w:r w:rsidR="00AD5A1A" w:rsidRPr="00344786">
        <w:rPr>
          <w:rFonts w:asciiTheme="minorHAnsi" w:hAnsiTheme="minorHAnsi"/>
          <w:sz w:val="22"/>
          <w:szCs w:val="22"/>
        </w:rPr>
        <w:t>2</w:t>
      </w:r>
      <w:r w:rsidR="00651920">
        <w:rPr>
          <w:rFonts w:asciiTheme="minorHAnsi" w:hAnsiTheme="minorHAnsi"/>
          <w:sz w:val="22"/>
          <w:szCs w:val="22"/>
        </w:rPr>
        <w:t>5</w:t>
      </w:r>
      <w:r w:rsidRPr="00344786">
        <w:rPr>
          <w:rFonts w:asciiTheme="minorHAnsi" w:hAnsiTheme="minorHAnsi"/>
          <w:sz w:val="22"/>
          <w:szCs w:val="22"/>
        </w:rPr>
        <w:t xml:space="preserve"> – left). In the case of the central area the blue and magenta clusters are recognized by the epicentral distribution but for the north and east areas depth has to be taken into account (Fig. S</w:t>
      </w:r>
      <w:r w:rsidR="00AD5A1A" w:rsidRPr="00344786">
        <w:rPr>
          <w:rFonts w:asciiTheme="minorHAnsi" w:hAnsiTheme="minorHAnsi"/>
          <w:sz w:val="22"/>
          <w:szCs w:val="22"/>
        </w:rPr>
        <w:t>2</w:t>
      </w:r>
      <w:r w:rsidR="00651920">
        <w:rPr>
          <w:rFonts w:asciiTheme="minorHAnsi" w:hAnsiTheme="minorHAnsi"/>
          <w:sz w:val="22"/>
          <w:szCs w:val="22"/>
        </w:rPr>
        <w:t>6</w:t>
      </w:r>
      <w:r w:rsidRPr="00344786">
        <w:rPr>
          <w:rFonts w:asciiTheme="minorHAnsi" w:hAnsiTheme="minorHAnsi"/>
          <w:sz w:val="22"/>
          <w:szCs w:val="22"/>
        </w:rPr>
        <w:t>).</w:t>
      </w:r>
    </w:p>
    <w:p w14:paraId="111D787E" w14:textId="4A33D4E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magnitudes of completeness for the two north clusters are M</w:t>
      </w:r>
      <w:r w:rsidRPr="00344786">
        <w:rPr>
          <w:rFonts w:asciiTheme="minorHAnsi" w:hAnsiTheme="minorHAnsi"/>
          <w:sz w:val="22"/>
          <w:szCs w:val="22"/>
          <w:vertAlign w:val="subscript"/>
        </w:rPr>
        <w:t>C</w:t>
      </w:r>
      <w:r w:rsidRPr="00344786">
        <w:rPr>
          <w:rFonts w:asciiTheme="minorHAnsi" w:hAnsiTheme="minorHAnsi"/>
          <w:sz w:val="22"/>
          <w:szCs w:val="22"/>
        </w:rPr>
        <w:t>=1.</w:t>
      </w:r>
      <w:r w:rsidR="00443CFC">
        <w:rPr>
          <w:rFonts w:asciiTheme="minorHAnsi" w:hAnsiTheme="minorHAnsi"/>
          <w:sz w:val="22"/>
          <w:szCs w:val="22"/>
        </w:rPr>
        <w:t>0</w:t>
      </w:r>
      <w:r w:rsidRPr="00344786">
        <w:rPr>
          <w:rFonts w:asciiTheme="minorHAnsi" w:hAnsiTheme="minorHAnsi"/>
          <w:sz w:val="22"/>
          <w:szCs w:val="22"/>
        </w:rPr>
        <w:t xml:space="preserve"> (Fig. S</w:t>
      </w:r>
      <w:r w:rsidR="00EF1A59" w:rsidRPr="00344786">
        <w:rPr>
          <w:rFonts w:asciiTheme="minorHAnsi" w:hAnsiTheme="minorHAnsi"/>
          <w:sz w:val="22"/>
          <w:szCs w:val="22"/>
        </w:rPr>
        <w:t>2</w:t>
      </w:r>
      <w:r w:rsidR="00651920">
        <w:rPr>
          <w:rFonts w:asciiTheme="minorHAnsi" w:hAnsiTheme="minorHAnsi"/>
          <w:sz w:val="22"/>
          <w:szCs w:val="22"/>
        </w:rPr>
        <w:t>7</w:t>
      </w:r>
      <w:r w:rsidRPr="00344786">
        <w:rPr>
          <w:rFonts w:asciiTheme="minorHAnsi" w:hAnsiTheme="minorHAnsi"/>
          <w:sz w:val="22"/>
          <w:szCs w:val="22"/>
        </w:rPr>
        <w:t>a</w:t>
      </w:r>
      <w:r w:rsidR="00B31792">
        <w:rPr>
          <w:rFonts w:asciiTheme="minorHAnsi" w:hAnsiTheme="minorHAnsi"/>
          <w:sz w:val="22"/>
          <w:szCs w:val="22"/>
        </w:rPr>
        <w:t>,d</w:t>
      </w:r>
      <w:r w:rsidRPr="00344786">
        <w:rPr>
          <w:rFonts w:asciiTheme="minorHAnsi" w:hAnsiTheme="minorHAnsi"/>
          <w:sz w:val="22"/>
          <w:szCs w:val="22"/>
        </w:rPr>
        <w:t>)</w:t>
      </w:r>
      <w:r w:rsidR="00C21901">
        <w:rPr>
          <w:rFonts w:asciiTheme="minorHAnsi" w:hAnsiTheme="minorHAnsi"/>
          <w:sz w:val="22"/>
          <w:szCs w:val="22"/>
        </w:rPr>
        <w:t xml:space="preserve"> leaving too few events to form any stationary subcatalogs</w:t>
      </w:r>
      <w:r w:rsidR="00675354" w:rsidRPr="00675354">
        <w:rPr>
          <w:rFonts w:asciiTheme="minorHAnsi" w:hAnsiTheme="minorHAnsi"/>
          <w:sz w:val="22"/>
          <w:szCs w:val="22"/>
        </w:rPr>
        <w:t xml:space="preserve"> </w:t>
      </w:r>
      <w:r w:rsidR="00675354" w:rsidRPr="00287E2A">
        <w:rPr>
          <w:rFonts w:asciiTheme="minorHAnsi" w:hAnsiTheme="minorHAnsi"/>
          <w:sz w:val="22"/>
          <w:szCs w:val="22"/>
        </w:rPr>
        <w:t>(</w:t>
      </w:r>
      <w:r w:rsidR="00287E2A" w:rsidRPr="00287E2A">
        <w:rPr>
          <w:rFonts w:asciiTheme="minorHAnsi" w:hAnsiTheme="minorHAnsi"/>
          <w:sz w:val="22"/>
          <w:szCs w:val="22"/>
        </w:rPr>
        <w:t xml:space="preserve">55 </w:t>
      </w:r>
      <w:r w:rsidR="00287E2A">
        <w:rPr>
          <w:rFonts w:asciiTheme="minorHAnsi" w:hAnsiTheme="minorHAnsi"/>
          <w:sz w:val="22"/>
          <w:szCs w:val="22"/>
        </w:rPr>
        <w:t>events for the yellow colored and 49 events for the cyan colored cluster)</w:t>
      </w:r>
      <w:r w:rsidR="00C21901">
        <w:rPr>
          <w:rFonts w:asciiTheme="minorHAnsi" w:hAnsiTheme="minorHAnsi"/>
          <w:sz w:val="22"/>
          <w:szCs w:val="22"/>
        </w:rPr>
        <w:t>.</w:t>
      </w:r>
      <w:r w:rsidRPr="00344786">
        <w:rPr>
          <w:rFonts w:asciiTheme="minorHAnsi" w:hAnsiTheme="minorHAnsi"/>
          <w:sz w:val="22"/>
          <w:szCs w:val="22"/>
        </w:rPr>
        <w:t xml:space="preserve"> For the two clusters in the eastern part of the area of study the completeness is M</w:t>
      </w:r>
      <w:r w:rsidRPr="00344786">
        <w:rPr>
          <w:rFonts w:asciiTheme="minorHAnsi" w:hAnsiTheme="minorHAnsi"/>
          <w:sz w:val="22"/>
          <w:szCs w:val="22"/>
          <w:vertAlign w:val="subscript"/>
        </w:rPr>
        <w:t>C</w:t>
      </w:r>
      <w:r w:rsidRPr="00344786">
        <w:rPr>
          <w:rFonts w:asciiTheme="minorHAnsi" w:hAnsiTheme="minorHAnsi"/>
          <w:sz w:val="22"/>
          <w:szCs w:val="22"/>
        </w:rPr>
        <w:t>=1.0 (Fig. S</w:t>
      </w:r>
      <w:r w:rsidR="00EF1A59" w:rsidRPr="00344786">
        <w:rPr>
          <w:rFonts w:asciiTheme="minorHAnsi" w:hAnsiTheme="minorHAnsi"/>
          <w:sz w:val="22"/>
          <w:szCs w:val="22"/>
        </w:rPr>
        <w:t>2</w:t>
      </w:r>
      <w:r w:rsidR="00493386">
        <w:rPr>
          <w:rFonts w:asciiTheme="minorHAnsi" w:hAnsiTheme="minorHAnsi"/>
          <w:sz w:val="22"/>
          <w:szCs w:val="22"/>
        </w:rPr>
        <w:t>7</w:t>
      </w:r>
      <w:r w:rsidRPr="00344786">
        <w:rPr>
          <w:rFonts w:asciiTheme="minorHAnsi" w:hAnsiTheme="minorHAnsi"/>
          <w:sz w:val="22"/>
          <w:szCs w:val="22"/>
        </w:rPr>
        <w:t>b) for the green colored and M</w:t>
      </w:r>
      <w:r w:rsidRPr="00344786">
        <w:rPr>
          <w:rFonts w:asciiTheme="minorHAnsi" w:hAnsiTheme="minorHAnsi"/>
          <w:sz w:val="22"/>
          <w:szCs w:val="22"/>
          <w:vertAlign w:val="subscript"/>
        </w:rPr>
        <w:t>C</w:t>
      </w:r>
      <w:r w:rsidRPr="00344786">
        <w:rPr>
          <w:rFonts w:asciiTheme="minorHAnsi" w:hAnsiTheme="minorHAnsi"/>
          <w:sz w:val="22"/>
          <w:szCs w:val="22"/>
        </w:rPr>
        <w:t>=0.9 (Fig. S</w:t>
      </w:r>
      <w:r w:rsidR="00EF1A59" w:rsidRPr="00344786">
        <w:rPr>
          <w:rFonts w:asciiTheme="minorHAnsi" w:hAnsiTheme="minorHAnsi"/>
          <w:sz w:val="22"/>
          <w:szCs w:val="22"/>
        </w:rPr>
        <w:t>2</w:t>
      </w:r>
      <w:r w:rsidR="00493386">
        <w:rPr>
          <w:rFonts w:asciiTheme="minorHAnsi" w:hAnsiTheme="minorHAnsi"/>
          <w:sz w:val="22"/>
          <w:szCs w:val="22"/>
        </w:rPr>
        <w:t>7</w:t>
      </w:r>
      <w:r w:rsidRPr="00344786">
        <w:rPr>
          <w:rFonts w:asciiTheme="minorHAnsi" w:hAnsiTheme="minorHAnsi"/>
          <w:sz w:val="22"/>
          <w:szCs w:val="22"/>
        </w:rPr>
        <w:t>e) for the red colored cluster. Finally, for the two clusters of the central area the completeness level is M</w:t>
      </w:r>
      <w:r w:rsidRPr="00344786">
        <w:rPr>
          <w:rFonts w:asciiTheme="minorHAnsi" w:hAnsiTheme="minorHAnsi"/>
          <w:sz w:val="22"/>
          <w:szCs w:val="22"/>
          <w:vertAlign w:val="subscript"/>
        </w:rPr>
        <w:t>C</w:t>
      </w:r>
      <w:r w:rsidRPr="00344786">
        <w:rPr>
          <w:rFonts w:asciiTheme="minorHAnsi" w:hAnsiTheme="minorHAnsi"/>
          <w:sz w:val="22"/>
          <w:szCs w:val="22"/>
        </w:rPr>
        <w:t>=0.9 for both clusters</w:t>
      </w:r>
      <w:r w:rsidR="003F11A8">
        <w:rPr>
          <w:rFonts w:asciiTheme="minorHAnsi" w:hAnsiTheme="minorHAnsi"/>
          <w:sz w:val="22"/>
          <w:szCs w:val="22"/>
        </w:rPr>
        <w:t>.</w:t>
      </w:r>
      <w:r w:rsidR="00493386">
        <w:rPr>
          <w:rFonts w:asciiTheme="minorHAnsi" w:hAnsiTheme="minorHAnsi"/>
          <w:sz w:val="22"/>
          <w:szCs w:val="22"/>
        </w:rPr>
        <w:t xml:space="preserve"> </w:t>
      </w:r>
      <w:r w:rsidR="00D47C7C">
        <w:rPr>
          <w:rFonts w:asciiTheme="minorHAnsi" w:hAnsiTheme="minorHAnsi"/>
          <w:sz w:val="22"/>
          <w:szCs w:val="22"/>
        </w:rPr>
        <w:t>For the two eastern clusters and the two central clusters the magnitude of completeness over a 2x2 grid was calculated to access the spatial variability of Mc</w:t>
      </w:r>
      <w:r w:rsidR="00212773">
        <w:rPr>
          <w:rFonts w:asciiTheme="minorHAnsi" w:hAnsiTheme="minorHAnsi"/>
          <w:sz w:val="22"/>
          <w:szCs w:val="22"/>
        </w:rPr>
        <w:t xml:space="preserve"> (Fig. S28)</w:t>
      </w:r>
      <w:r w:rsidR="00D47C7C">
        <w:rPr>
          <w:rFonts w:asciiTheme="minorHAnsi" w:hAnsiTheme="minorHAnsi"/>
          <w:sz w:val="22"/>
          <w:szCs w:val="22"/>
        </w:rPr>
        <w:t xml:space="preserve">. The values </w:t>
      </w:r>
      <w:r w:rsidR="00212773">
        <w:rPr>
          <w:rFonts w:asciiTheme="minorHAnsi" w:hAnsiTheme="minorHAnsi"/>
          <w:sz w:val="22"/>
          <w:szCs w:val="22"/>
        </w:rPr>
        <w:t xml:space="preserve">estimated the gridded areas are were found to be lower or equal over the calculated values of Fig. S27. </w:t>
      </w:r>
      <w:r w:rsidRPr="00344786">
        <w:rPr>
          <w:rFonts w:asciiTheme="minorHAnsi" w:hAnsiTheme="minorHAnsi"/>
          <w:sz w:val="22"/>
          <w:szCs w:val="22"/>
        </w:rPr>
        <w:t>The cumulative distribution of earthquakes with M≥M</w:t>
      </w:r>
      <w:r w:rsidRPr="00344786">
        <w:rPr>
          <w:rFonts w:asciiTheme="minorHAnsi" w:hAnsiTheme="minorHAnsi"/>
          <w:sz w:val="22"/>
          <w:szCs w:val="22"/>
          <w:vertAlign w:val="subscript"/>
        </w:rPr>
        <w:t>C</w:t>
      </w:r>
      <w:r w:rsidRPr="00344786">
        <w:rPr>
          <w:rFonts w:asciiTheme="minorHAnsi" w:hAnsiTheme="minorHAnsi"/>
          <w:sz w:val="22"/>
          <w:szCs w:val="22"/>
        </w:rPr>
        <w:t xml:space="preserve"> versus time reveals that stationary rate periods with more than 60 earthquakes can be established only for the magenta colored central subcluster (Fig. S</w:t>
      </w:r>
      <w:r w:rsidR="00FF0E44">
        <w:rPr>
          <w:rFonts w:asciiTheme="minorHAnsi" w:hAnsiTheme="minorHAnsi"/>
          <w:sz w:val="22"/>
          <w:szCs w:val="22"/>
        </w:rPr>
        <w:t>2</w:t>
      </w:r>
      <w:r w:rsidR="00CE5E12">
        <w:rPr>
          <w:rFonts w:asciiTheme="minorHAnsi" w:hAnsiTheme="minorHAnsi"/>
          <w:sz w:val="22"/>
          <w:szCs w:val="22"/>
        </w:rPr>
        <w:t>9</w:t>
      </w:r>
      <w:r w:rsidRPr="00344786">
        <w:rPr>
          <w:rFonts w:asciiTheme="minorHAnsi" w:hAnsiTheme="minorHAnsi"/>
          <w:sz w:val="22"/>
          <w:szCs w:val="22"/>
        </w:rPr>
        <w:t>b) and the red colored eastern subcluster (Fig. S</w:t>
      </w:r>
      <w:r w:rsidR="00FF0E44">
        <w:rPr>
          <w:rFonts w:asciiTheme="minorHAnsi" w:hAnsiTheme="minorHAnsi"/>
          <w:sz w:val="22"/>
          <w:szCs w:val="22"/>
        </w:rPr>
        <w:t>2</w:t>
      </w:r>
      <w:r w:rsidR="00CE5E12">
        <w:rPr>
          <w:rFonts w:asciiTheme="minorHAnsi" w:hAnsiTheme="minorHAnsi"/>
          <w:sz w:val="22"/>
          <w:szCs w:val="22"/>
        </w:rPr>
        <w:t>9</w:t>
      </w:r>
      <w:r w:rsidRPr="00344786">
        <w:rPr>
          <w:rFonts w:asciiTheme="minorHAnsi" w:hAnsiTheme="minorHAnsi"/>
          <w:sz w:val="22"/>
          <w:szCs w:val="22"/>
        </w:rPr>
        <w:t>c).</w:t>
      </w:r>
    </w:p>
    <w:p w14:paraId="32A42921"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Finally, the Anderson – Darling test for the two subcatalogs of stationary event rate does not lead to rejection of the exponentiality hypothesis (Table 1 – Carbfix). The Multimodality and Multibump tests were not performed in this case.</w:t>
      </w:r>
    </w:p>
    <w:p w14:paraId="5ECAA909" w14:textId="77777777" w:rsidR="00607D90" w:rsidRPr="00344786" w:rsidRDefault="00607D90" w:rsidP="00E97234">
      <w:pPr>
        <w:spacing w:line="360" w:lineRule="auto"/>
        <w:jc w:val="both"/>
        <w:rPr>
          <w:rFonts w:asciiTheme="minorHAnsi" w:hAnsiTheme="minorHAnsi"/>
          <w:sz w:val="22"/>
          <w:szCs w:val="22"/>
        </w:rPr>
      </w:pPr>
    </w:p>
    <w:p w14:paraId="1FC39424" w14:textId="77777777" w:rsidR="00607D90" w:rsidRPr="00344786" w:rsidRDefault="00607D90" w:rsidP="00E97234">
      <w:pPr>
        <w:pStyle w:val="Heading2"/>
        <w:keepLines/>
        <w:numPr>
          <w:ilvl w:val="1"/>
          <w:numId w:val="18"/>
        </w:numPr>
        <w:spacing w:before="40" w:after="240" w:line="360" w:lineRule="auto"/>
        <w:jc w:val="both"/>
        <w:rPr>
          <w:rFonts w:asciiTheme="minorHAnsi" w:hAnsiTheme="minorHAnsi"/>
          <w:sz w:val="22"/>
          <w:szCs w:val="22"/>
        </w:rPr>
      </w:pPr>
      <w:bookmarkStart w:id="8" w:name="_Toc162436000"/>
      <w:r w:rsidRPr="00344786">
        <w:rPr>
          <w:rFonts w:asciiTheme="minorHAnsi" w:hAnsiTheme="minorHAnsi"/>
          <w:sz w:val="22"/>
          <w:szCs w:val="22"/>
        </w:rPr>
        <w:t>Conventional, unconventional hydrocarbon extraction and underground gas storage</w:t>
      </w:r>
      <w:bookmarkEnd w:id="8"/>
    </w:p>
    <w:p w14:paraId="2D16E2B3"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9" w:name="_Toc162436001"/>
      <w:r w:rsidRPr="00344786">
        <w:rPr>
          <w:rFonts w:asciiTheme="minorHAnsi" w:hAnsiTheme="minorHAnsi"/>
          <w:sz w:val="22"/>
          <w:szCs w:val="22"/>
        </w:rPr>
        <w:t>Cotton Valley</w:t>
      </w:r>
      <w:bookmarkEnd w:id="9"/>
    </w:p>
    <w:p w14:paraId="6203BAA7" w14:textId="77777777" w:rsidR="00607D90" w:rsidRPr="00344786" w:rsidRDefault="00607D90" w:rsidP="00E97234">
      <w:pPr>
        <w:spacing w:line="360" w:lineRule="auto"/>
        <w:jc w:val="both"/>
        <w:rPr>
          <w:rFonts w:asciiTheme="minorHAnsi" w:hAnsiTheme="minorHAnsi"/>
          <w:b/>
          <w:bCs/>
          <w:sz w:val="22"/>
          <w:szCs w:val="22"/>
        </w:rPr>
      </w:pPr>
    </w:p>
    <w:p w14:paraId="441C7967"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136A2B01"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The Cotton Valley episode includes induced earthquakes caused by hydraulic fracturing. It is a study designed by an industry consortium to monitor two wells for the optimization of hydraulic </w:t>
      </w:r>
      <w:r w:rsidRPr="00344786">
        <w:rPr>
          <w:rFonts w:asciiTheme="minorHAnsi" w:hAnsiTheme="minorHAnsi"/>
          <w:sz w:val="22"/>
          <w:szCs w:val="22"/>
        </w:rPr>
        <w:lastRenderedPageBreak/>
        <w:t>fracture designs and accurately map fracture geometry (IS EPOS, 2019). The episode contains data of one day of injection at the GCU 21–10 well during Stage 2 of the 1</w:t>
      </w:r>
      <w:r w:rsidRPr="00344786">
        <w:rPr>
          <w:rFonts w:asciiTheme="minorHAnsi" w:hAnsiTheme="minorHAnsi"/>
          <w:sz w:val="22"/>
          <w:szCs w:val="22"/>
          <w:vertAlign w:val="superscript"/>
        </w:rPr>
        <w:t>st</w:t>
      </w:r>
      <w:r w:rsidRPr="00344786">
        <w:rPr>
          <w:rFonts w:asciiTheme="minorHAnsi" w:hAnsiTheme="minorHAnsi"/>
          <w:sz w:val="22"/>
          <w:szCs w:val="22"/>
        </w:rPr>
        <w:t xml:space="preserve"> Phase of the experiment (Rutledge et al., 2004).</w:t>
      </w:r>
    </w:p>
    <w:p w14:paraId="6B007CE2" w14:textId="77777777" w:rsidR="00607D90" w:rsidRPr="00344786" w:rsidRDefault="00607D90" w:rsidP="00E97234">
      <w:pPr>
        <w:pStyle w:val="SMText"/>
        <w:spacing w:line="360" w:lineRule="auto"/>
        <w:jc w:val="both"/>
        <w:rPr>
          <w:rFonts w:asciiTheme="minorHAnsi" w:hAnsiTheme="minorHAnsi"/>
          <w:sz w:val="22"/>
          <w:szCs w:val="22"/>
        </w:rPr>
      </w:pPr>
    </w:p>
    <w:p w14:paraId="0CC3DACC"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50AD7EC7" w14:textId="432FF665"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episode catalog contains 888 earthquakes that occurred in a single day (Table S</w:t>
      </w:r>
      <w:r w:rsidR="00F76E93">
        <w:rPr>
          <w:rFonts w:asciiTheme="minorHAnsi" w:hAnsiTheme="minorHAnsi"/>
          <w:sz w:val="22"/>
          <w:szCs w:val="22"/>
        </w:rPr>
        <w:t>7</w:t>
      </w:r>
      <w:r w:rsidRPr="00344786">
        <w:rPr>
          <w:rFonts w:asciiTheme="minorHAnsi" w:hAnsiTheme="minorHAnsi"/>
          <w:sz w:val="22"/>
          <w:szCs w:val="22"/>
        </w:rPr>
        <w:t>). Seismic activity is related two four injection periods, two of which lasted only a few minutes and did not produce enough earthquakes to test. The third injection lasted little less than an hour and produced an adequate number of events to consider for testing and the final injection period lasted about two and a half hours, producing the bulk of seismicity for this catalog (Fig. S</w:t>
      </w:r>
      <w:r w:rsidR="00CE5E12">
        <w:rPr>
          <w:rFonts w:asciiTheme="minorHAnsi" w:hAnsiTheme="minorHAnsi"/>
          <w:sz w:val="22"/>
          <w:szCs w:val="22"/>
        </w:rPr>
        <w:t>30</w:t>
      </w:r>
      <w:r w:rsidRPr="00344786">
        <w:rPr>
          <w:rFonts w:asciiTheme="minorHAnsi" w:hAnsiTheme="minorHAnsi"/>
          <w:sz w:val="22"/>
          <w:szCs w:val="22"/>
        </w:rPr>
        <w:t>). Earthquakes occurred in a narrow zone of about 500m length spreading outwards from the injection well (Fig. S</w:t>
      </w:r>
      <w:r w:rsidR="00CE5E12">
        <w:rPr>
          <w:rFonts w:asciiTheme="minorHAnsi" w:hAnsiTheme="minorHAnsi"/>
          <w:sz w:val="22"/>
          <w:szCs w:val="22"/>
        </w:rPr>
        <w:t>31</w:t>
      </w:r>
      <w:r w:rsidRPr="00344786">
        <w:rPr>
          <w:rFonts w:asciiTheme="minorHAnsi" w:hAnsiTheme="minorHAnsi"/>
          <w:sz w:val="22"/>
          <w:szCs w:val="22"/>
        </w:rPr>
        <w:t>). Even though a small cluster exists at the western edge of seismicity we decided to consider seismicity as a single cluster due to the small distances between this cluster and the main cluster of seismicity.</w:t>
      </w:r>
    </w:p>
    <w:p w14:paraId="2AE57AC0" w14:textId="514FB1FE"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We estimated a completeness magnitude of M</w:t>
      </w:r>
      <w:r w:rsidRPr="00344786">
        <w:rPr>
          <w:rFonts w:asciiTheme="minorHAnsi" w:hAnsiTheme="minorHAnsi"/>
          <w:sz w:val="22"/>
          <w:szCs w:val="22"/>
          <w:vertAlign w:val="subscript"/>
        </w:rPr>
        <w:t>C</w:t>
      </w:r>
      <w:r w:rsidRPr="00344786">
        <w:rPr>
          <w:rFonts w:asciiTheme="minorHAnsi" w:hAnsiTheme="minorHAnsi"/>
          <w:sz w:val="22"/>
          <w:szCs w:val="22"/>
        </w:rPr>
        <w:t>=-2.0 by the mGFT method</w:t>
      </w:r>
      <w:r w:rsidR="00CE5E12">
        <w:rPr>
          <w:rFonts w:asciiTheme="minorHAnsi" w:hAnsiTheme="minorHAnsi"/>
          <w:sz w:val="22"/>
          <w:szCs w:val="22"/>
        </w:rPr>
        <w:t xml:space="preserve"> </w:t>
      </w:r>
      <w:r w:rsidRPr="00344786">
        <w:rPr>
          <w:rFonts w:asciiTheme="minorHAnsi" w:hAnsiTheme="minorHAnsi"/>
          <w:sz w:val="22"/>
          <w:szCs w:val="22"/>
        </w:rPr>
        <w:t>(Fig. S</w:t>
      </w:r>
      <w:r w:rsidR="00CE5E12">
        <w:rPr>
          <w:rFonts w:asciiTheme="minorHAnsi" w:hAnsiTheme="minorHAnsi"/>
          <w:sz w:val="22"/>
          <w:szCs w:val="22"/>
        </w:rPr>
        <w:t>32</w:t>
      </w:r>
      <w:r w:rsidRPr="00344786">
        <w:rPr>
          <w:rFonts w:asciiTheme="minorHAnsi" w:hAnsiTheme="minorHAnsi"/>
          <w:sz w:val="22"/>
          <w:szCs w:val="22"/>
        </w:rPr>
        <w:t xml:space="preserve">). </w:t>
      </w:r>
      <w:r w:rsidR="00CE5E12">
        <w:rPr>
          <w:rFonts w:asciiTheme="minorHAnsi" w:hAnsiTheme="minorHAnsi"/>
          <w:sz w:val="22"/>
          <w:szCs w:val="22"/>
        </w:rPr>
        <w:t xml:space="preserve">We calculated the Mc over a 3x3 grid of the area and we observe than in </w:t>
      </w:r>
      <w:r w:rsidR="0022510E">
        <w:rPr>
          <w:rFonts w:asciiTheme="minorHAnsi" w:hAnsiTheme="minorHAnsi"/>
          <w:sz w:val="22"/>
          <w:szCs w:val="22"/>
        </w:rPr>
        <w:t xml:space="preserve">one grid point the value is -1.9, </w:t>
      </w:r>
      <w:r w:rsidR="00104038">
        <w:rPr>
          <w:rFonts w:asciiTheme="minorHAnsi" w:hAnsiTheme="minorHAnsi"/>
          <w:sz w:val="22"/>
          <w:szCs w:val="22"/>
        </w:rPr>
        <w:t xml:space="preserve">higher </w:t>
      </w:r>
      <w:r w:rsidR="0022510E">
        <w:rPr>
          <w:rFonts w:asciiTheme="minorHAnsi" w:hAnsiTheme="minorHAnsi"/>
          <w:sz w:val="22"/>
          <w:szCs w:val="22"/>
        </w:rPr>
        <w:t xml:space="preserve">than the selected value of -2.0. (Fig. S33). </w:t>
      </w:r>
      <w:r w:rsidR="00AF2CAD" w:rsidRPr="00DD6BFE">
        <w:rPr>
          <w:rFonts w:asciiTheme="minorHAnsi" w:hAnsiTheme="minorHAnsi"/>
          <w:sz w:val="22"/>
          <w:szCs w:val="22"/>
        </w:rPr>
        <w:t>W</w:t>
      </w:r>
      <w:r w:rsidR="00743152" w:rsidRPr="00DD6BFE">
        <w:rPr>
          <w:rFonts w:asciiTheme="minorHAnsi" w:hAnsiTheme="minorHAnsi"/>
          <w:sz w:val="22"/>
          <w:szCs w:val="22"/>
        </w:rPr>
        <w:t>e decided no</w:t>
      </w:r>
      <w:r w:rsidR="00AF2CAD" w:rsidRPr="00DD6BFE">
        <w:rPr>
          <w:rFonts w:asciiTheme="minorHAnsi" w:hAnsiTheme="minorHAnsi"/>
          <w:sz w:val="22"/>
          <w:szCs w:val="22"/>
        </w:rPr>
        <w:t>t to change the Mc</w:t>
      </w:r>
      <w:r w:rsidR="00E078E1" w:rsidRPr="00DD6BFE">
        <w:rPr>
          <w:rFonts w:asciiTheme="minorHAnsi" w:hAnsiTheme="minorHAnsi"/>
          <w:sz w:val="22"/>
          <w:szCs w:val="22"/>
        </w:rPr>
        <w:t xml:space="preserve"> because</w:t>
      </w:r>
      <w:r w:rsidR="009E6B44" w:rsidRPr="00DD6BFE">
        <w:rPr>
          <w:rFonts w:asciiTheme="minorHAnsi" w:hAnsiTheme="minorHAnsi"/>
          <w:sz w:val="22"/>
          <w:szCs w:val="22"/>
        </w:rPr>
        <w:t xml:space="preserve"> the earthquakes in the </w:t>
      </w:r>
      <w:r w:rsidR="007E39B9" w:rsidRPr="00DD6BFE">
        <w:rPr>
          <w:rFonts w:asciiTheme="minorHAnsi" w:hAnsiTheme="minorHAnsi"/>
          <w:sz w:val="22"/>
          <w:szCs w:val="22"/>
        </w:rPr>
        <w:t xml:space="preserve">gridded </w:t>
      </w:r>
      <w:r w:rsidR="009E6B44" w:rsidRPr="00DD6BFE">
        <w:rPr>
          <w:rFonts w:asciiTheme="minorHAnsi" w:hAnsiTheme="minorHAnsi"/>
          <w:sz w:val="22"/>
          <w:szCs w:val="22"/>
        </w:rPr>
        <w:t>area where Mc</w:t>
      </w:r>
      <w:r w:rsidR="007E39B9" w:rsidRPr="00DD6BFE">
        <w:rPr>
          <w:rFonts w:asciiTheme="minorHAnsi" w:hAnsiTheme="minorHAnsi"/>
          <w:sz w:val="22"/>
          <w:szCs w:val="22"/>
        </w:rPr>
        <w:t xml:space="preserve"> is calculated to be </w:t>
      </w:r>
      <w:r w:rsidR="009E6B44" w:rsidRPr="00DD6BFE">
        <w:rPr>
          <w:rFonts w:asciiTheme="minorHAnsi" w:hAnsiTheme="minorHAnsi"/>
          <w:sz w:val="22"/>
          <w:szCs w:val="22"/>
        </w:rPr>
        <w:t xml:space="preserve">1.9 </w:t>
      </w:r>
      <w:r w:rsidR="009E38D4" w:rsidRPr="00DD6BFE">
        <w:rPr>
          <w:rFonts w:asciiTheme="minorHAnsi" w:hAnsiTheme="minorHAnsi"/>
          <w:sz w:val="22"/>
          <w:szCs w:val="22"/>
        </w:rPr>
        <w:t xml:space="preserve">occurred during the final period and </w:t>
      </w:r>
      <w:r w:rsidR="00DD6BFE" w:rsidRPr="00DD6BFE">
        <w:rPr>
          <w:rFonts w:asciiTheme="minorHAnsi" w:hAnsiTheme="minorHAnsi"/>
          <w:sz w:val="22"/>
          <w:szCs w:val="22"/>
        </w:rPr>
        <w:t>increasing</w:t>
      </w:r>
      <w:r w:rsidR="009E38D4" w:rsidRPr="00DD6BFE">
        <w:rPr>
          <w:rFonts w:asciiTheme="minorHAnsi" w:hAnsiTheme="minorHAnsi"/>
          <w:sz w:val="22"/>
          <w:szCs w:val="22"/>
        </w:rPr>
        <w:t xml:space="preserve"> the Mc would cause the final period to contain</w:t>
      </w:r>
      <w:r w:rsidR="00377E87" w:rsidRPr="00DD6BFE">
        <w:rPr>
          <w:rFonts w:asciiTheme="minorHAnsi" w:hAnsiTheme="minorHAnsi"/>
          <w:sz w:val="22"/>
          <w:szCs w:val="22"/>
        </w:rPr>
        <w:t xml:space="preserve"> 55 events,</w:t>
      </w:r>
      <w:r w:rsidR="009E38D4" w:rsidRPr="00DD6BFE">
        <w:rPr>
          <w:rFonts w:asciiTheme="minorHAnsi" w:hAnsiTheme="minorHAnsi"/>
          <w:sz w:val="22"/>
          <w:szCs w:val="22"/>
        </w:rPr>
        <w:t xml:space="preserve"> fewer than </w:t>
      </w:r>
      <w:r w:rsidR="00377E87" w:rsidRPr="00DD6BFE">
        <w:rPr>
          <w:rFonts w:asciiTheme="minorHAnsi" w:hAnsiTheme="minorHAnsi"/>
          <w:sz w:val="22"/>
          <w:szCs w:val="22"/>
        </w:rPr>
        <w:t xml:space="preserve">the 60 event threshold. </w:t>
      </w:r>
      <w:r w:rsidR="00DD6BFE" w:rsidRPr="00DD6BFE">
        <w:rPr>
          <w:rFonts w:asciiTheme="minorHAnsi" w:hAnsiTheme="minorHAnsi"/>
          <w:sz w:val="22"/>
          <w:szCs w:val="22"/>
        </w:rPr>
        <w:t>But e</w:t>
      </w:r>
      <w:r w:rsidR="00377E87" w:rsidRPr="00DD6BFE">
        <w:rPr>
          <w:rFonts w:asciiTheme="minorHAnsi" w:hAnsiTheme="minorHAnsi"/>
          <w:sz w:val="22"/>
          <w:szCs w:val="22"/>
        </w:rPr>
        <w:t xml:space="preserve">ven </w:t>
      </w:r>
      <w:r w:rsidR="00DD6BFE" w:rsidRPr="00DD6BFE">
        <w:rPr>
          <w:rFonts w:asciiTheme="minorHAnsi" w:hAnsiTheme="minorHAnsi"/>
          <w:sz w:val="22"/>
          <w:szCs w:val="22"/>
        </w:rPr>
        <w:t>if we selected</w:t>
      </w:r>
      <w:r w:rsidR="00377E87" w:rsidRPr="00DD6BFE">
        <w:rPr>
          <w:rFonts w:asciiTheme="minorHAnsi" w:hAnsiTheme="minorHAnsi"/>
          <w:sz w:val="22"/>
          <w:szCs w:val="22"/>
        </w:rPr>
        <w:t xml:space="preserve"> Mc=1.9 for th</w:t>
      </w:r>
      <w:r w:rsidR="000A0867">
        <w:rPr>
          <w:rFonts w:asciiTheme="minorHAnsi" w:hAnsiTheme="minorHAnsi"/>
          <w:sz w:val="22"/>
          <w:szCs w:val="22"/>
        </w:rPr>
        <w:t>at area</w:t>
      </w:r>
      <w:r w:rsidR="00377E87" w:rsidRPr="00DD6BFE">
        <w:rPr>
          <w:rFonts w:asciiTheme="minorHAnsi" w:hAnsiTheme="minorHAnsi"/>
          <w:sz w:val="22"/>
          <w:szCs w:val="22"/>
        </w:rPr>
        <w:t xml:space="preserve"> the results of the AD and multimodality tests are the same</w:t>
      </w:r>
      <w:r w:rsidR="007E39B9" w:rsidRPr="00DD6BFE">
        <w:rPr>
          <w:rFonts w:asciiTheme="minorHAnsi" w:hAnsiTheme="minorHAnsi"/>
          <w:sz w:val="22"/>
          <w:szCs w:val="22"/>
        </w:rPr>
        <w:t xml:space="preserve"> as with the selected Mc=2.0.</w:t>
      </w:r>
      <w:r w:rsidR="00AF60A4" w:rsidRPr="00DD6BFE">
        <w:rPr>
          <w:rFonts w:asciiTheme="minorHAnsi" w:hAnsiTheme="minorHAnsi"/>
          <w:sz w:val="22"/>
          <w:szCs w:val="22"/>
        </w:rPr>
        <w:t xml:space="preserve"> </w:t>
      </w:r>
      <w:r w:rsidRPr="00344786">
        <w:rPr>
          <w:rFonts w:asciiTheme="minorHAnsi" w:hAnsiTheme="minorHAnsi"/>
          <w:sz w:val="22"/>
          <w:szCs w:val="22"/>
        </w:rPr>
        <w:t>We identified three stationary rate periods (Fig. S</w:t>
      </w:r>
      <w:r w:rsidR="00CE5E12">
        <w:rPr>
          <w:rFonts w:asciiTheme="minorHAnsi" w:hAnsiTheme="minorHAnsi"/>
          <w:sz w:val="22"/>
          <w:szCs w:val="22"/>
        </w:rPr>
        <w:t>34</w:t>
      </w:r>
      <w:r w:rsidRPr="00344786">
        <w:rPr>
          <w:rFonts w:asciiTheme="minorHAnsi" w:hAnsiTheme="minorHAnsi"/>
          <w:sz w:val="22"/>
          <w:szCs w:val="22"/>
        </w:rPr>
        <w:t>), one during the third injection period (P1C1), one during the fourth injection period (P2C1) and one covering seismic activity after the injection stopped (P3C1).</w:t>
      </w:r>
    </w:p>
    <w:p w14:paraId="40A2E527"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Anderson–Darling test (H</w:t>
      </w:r>
      <w:r w:rsidRPr="00344786">
        <w:rPr>
          <w:rFonts w:asciiTheme="minorHAnsi" w:hAnsiTheme="minorHAnsi"/>
          <w:sz w:val="22"/>
          <w:szCs w:val="22"/>
          <w:vertAlign w:val="subscript"/>
        </w:rPr>
        <w:t>0</w:t>
      </w:r>
      <w:r w:rsidRPr="00344786">
        <w:rPr>
          <w:rFonts w:asciiTheme="minorHAnsi" w:hAnsiTheme="minorHAnsi"/>
          <w:sz w:val="22"/>
          <w:szCs w:val="22"/>
          <w:vertAlign w:val="superscript"/>
        </w:rPr>
        <w:t>1</w:t>
      </w:r>
      <w:r w:rsidRPr="00344786">
        <w:rPr>
          <w:rFonts w:asciiTheme="minorHAnsi" w:hAnsiTheme="minorHAnsi"/>
          <w:sz w:val="22"/>
          <w:szCs w:val="22"/>
        </w:rPr>
        <w:t>) rejects the null hypothesis of exponentiality of the PDF for two of the three examined catalogs, the second one, P2C1, which is related to the last injection period and the last one, P3C1, which is related to post injection seismicity. The Multimodality (H</w:t>
      </w:r>
      <w:r w:rsidRPr="00344786">
        <w:rPr>
          <w:rFonts w:asciiTheme="minorHAnsi" w:hAnsiTheme="minorHAnsi"/>
          <w:sz w:val="22"/>
          <w:szCs w:val="22"/>
          <w:vertAlign w:val="subscript"/>
        </w:rPr>
        <w:t>0</w:t>
      </w:r>
      <w:r w:rsidRPr="00344786">
        <w:rPr>
          <w:rFonts w:asciiTheme="minorHAnsi" w:hAnsiTheme="minorHAnsi"/>
          <w:sz w:val="22"/>
          <w:szCs w:val="22"/>
          <w:vertAlign w:val="superscript"/>
        </w:rPr>
        <w:t>2</w:t>
      </w:r>
      <w:r w:rsidRPr="00344786">
        <w:rPr>
          <w:rFonts w:asciiTheme="minorHAnsi" w:hAnsiTheme="minorHAnsi"/>
          <w:sz w:val="22"/>
          <w:szCs w:val="22"/>
        </w:rPr>
        <w:t>) and Multibump (H</w:t>
      </w:r>
      <w:r w:rsidRPr="00344786">
        <w:rPr>
          <w:rFonts w:asciiTheme="minorHAnsi" w:hAnsiTheme="minorHAnsi"/>
          <w:sz w:val="22"/>
          <w:szCs w:val="22"/>
          <w:vertAlign w:val="subscript"/>
        </w:rPr>
        <w:t>0</w:t>
      </w:r>
      <w:r w:rsidRPr="00344786">
        <w:rPr>
          <w:rFonts w:asciiTheme="minorHAnsi" w:hAnsiTheme="minorHAnsi"/>
          <w:sz w:val="22"/>
          <w:szCs w:val="22"/>
          <w:vertAlign w:val="superscript"/>
        </w:rPr>
        <w:t>3</w:t>
      </w:r>
      <w:r w:rsidRPr="00344786">
        <w:rPr>
          <w:rFonts w:asciiTheme="minorHAnsi" w:hAnsiTheme="minorHAnsi"/>
          <w:sz w:val="22"/>
          <w:szCs w:val="22"/>
        </w:rPr>
        <w:t>) tests for those two catalogs suggest that the PDFs of these two magnitude distributions are complex, after the rejection of both the uni-mode and uni-bump null hypotheses for each one (Table 3 – Cotton).</w:t>
      </w:r>
    </w:p>
    <w:p w14:paraId="13210D96" w14:textId="77777777" w:rsidR="00607D90" w:rsidRPr="00344786" w:rsidRDefault="00607D90" w:rsidP="00E97234">
      <w:pPr>
        <w:pStyle w:val="SMText"/>
        <w:spacing w:line="360" w:lineRule="auto"/>
        <w:jc w:val="both"/>
        <w:rPr>
          <w:rFonts w:asciiTheme="minorHAnsi" w:hAnsiTheme="minorHAnsi"/>
          <w:sz w:val="22"/>
          <w:szCs w:val="22"/>
        </w:rPr>
      </w:pPr>
    </w:p>
    <w:p w14:paraId="7612E9E3"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10" w:name="_Toc162436002"/>
      <w:r w:rsidRPr="00344786">
        <w:rPr>
          <w:rFonts w:asciiTheme="minorHAnsi" w:hAnsiTheme="minorHAnsi"/>
          <w:sz w:val="22"/>
          <w:szCs w:val="22"/>
        </w:rPr>
        <w:t>Groningen</w:t>
      </w:r>
      <w:bookmarkEnd w:id="10"/>
    </w:p>
    <w:p w14:paraId="4EA3A4B9" w14:textId="77777777" w:rsidR="00607D90" w:rsidRPr="00344786" w:rsidRDefault="00607D90" w:rsidP="00E97234">
      <w:pPr>
        <w:spacing w:line="360" w:lineRule="auto"/>
        <w:jc w:val="both"/>
        <w:rPr>
          <w:rFonts w:asciiTheme="minorHAnsi" w:hAnsiTheme="minorHAnsi"/>
          <w:b/>
          <w:bCs/>
          <w:sz w:val="22"/>
          <w:szCs w:val="22"/>
        </w:rPr>
      </w:pPr>
    </w:p>
    <w:p w14:paraId="76F31F66"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lastRenderedPageBreak/>
        <w:t xml:space="preserve">Introduction </w:t>
      </w:r>
    </w:p>
    <w:p w14:paraId="68089638"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Groningen field is a giant natural gas field in the northeastern part of the Netherlands and is the largest natural gas field in Europe (IS EPOS, 2017b). Induced seismicity from the gas production is happening since 1991 and increased rates have been observed since 2003 (Dost et al., 2017).</w:t>
      </w:r>
    </w:p>
    <w:p w14:paraId="2C77E073" w14:textId="77777777" w:rsidR="00607D90" w:rsidRPr="00344786" w:rsidRDefault="00607D90" w:rsidP="00E97234">
      <w:pPr>
        <w:pStyle w:val="SMText"/>
        <w:spacing w:line="360" w:lineRule="auto"/>
        <w:jc w:val="both"/>
        <w:rPr>
          <w:rFonts w:asciiTheme="minorHAnsi" w:hAnsiTheme="minorHAnsi"/>
          <w:sz w:val="22"/>
          <w:szCs w:val="22"/>
        </w:rPr>
      </w:pPr>
    </w:p>
    <w:p w14:paraId="0DEA6A28"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74F733DB" w14:textId="7308C8AC"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available catalog contains 1889 earthquakes and covers a period between 1986 and 2022 while the station data exist only after April of 2015 (Table S</w:t>
      </w:r>
      <w:r w:rsidR="00985678">
        <w:rPr>
          <w:rFonts w:asciiTheme="minorHAnsi" w:hAnsiTheme="minorHAnsi"/>
          <w:sz w:val="22"/>
          <w:szCs w:val="22"/>
        </w:rPr>
        <w:t>9</w:t>
      </w:r>
      <w:r w:rsidRPr="00344786">
        <w:rPr>
          <w:rFonts w:asciiTheme="minorHAnsi" w:hAnsiTheme="minorHAnsi"/>
          <w:sz w:val="22"/>
          <w:szCs w:val="22"/>
        </w:rPr>
        <w:t xml:space="preserve">). Earthquake activity </w:t>
      </w:r>
      <w:r w:rsidR="000B4CAE">
        <w:rPr>
          <w:rFonts w:asciiTheme="minorHAnsi" w:hAnsiTheme="minorHAnsi"/>
          <w:sz w:val="22"/>
          <w:szCs w:val="22"/>
        </w:rPr>
        <w:t xml:space="preserve">appears to be </w:t>
      </w:r>
      <w:r w:rsidRPr="00344786">
        <w:rPr>
          <w:rFonts w:asciiTheme="minorHAnsi" w:hAnsiTheme="minorHAnsi"/>
          <w:sz w:val="22"/>
          <w:szCs w:val="22"/>
        </w:rPr>
        <w:t xml:space="preserve">increased since 2011 (Fig. </w:t>
      </w:r>
      <w:bookmarkStart w:id="11" w:name="_Hlk160032226"/>
      <w:r w:rsidRPr="00344786">
        <w:rPr>
          <w:rFonts w:asciiTheme="minorHAnsi" w:hAnsiTheme="minorHAnsi"/>
          <w:sz w:val="22"/>
          <w:szCs w:val="22"/>
        </w:rPr>
        <w:t>S</w:t>
      </w:r>
      <w:bookmarkEnd w:id="11"/>
      <w:r w:rsidR="00156A3C">
        <w:rPr>
          <w:rFonts w:asciiTheme="minorHAnsi" w:hAnsiTheme="minorHAnsi"/>
          <w:sz w:val="22"/>
          <w:szCs w:val="22"/>
        </w:rPr>
        <w:t>35</w:t>
      </w:r>
      <w:r w:rsidRPr="00344786">
        <w:rPr>
          <w:rFonts w:asciiTheme="minorHAnsi" w:hAnsiTheme="minorHAnsi"/>
          <w:sz w:val="22"/>
          <w:szCs w:val="22"/>
        </w:rPr>
        <w:t>a) which led us to consider that possibl</w:t>
      </w:r>
      <w:r w:rsidR="00613900">
        <w:rPr>
          <w:rFonts w:asciiTheme="minorHAnsi" w:hAnsiTheme="minorHAnsi"/>
          <w:sz w:val="22"/>
          <w:szCs w:val="22"/>
        </w:rPr>
        <w:t>y</w:t>
      </w:r>
      <w:r w:rsidRPr="00344786">
        <w:rPr>
          <w:rFonts w:asciiTheme="minorHAnsi" w:hAnsiTheme="minorHAnsi"/>
          <w:sz w:val="22"/>
          <w:szCs w:val="22"/>
        </w:rPr>
        <w:t xml:space="preserve"> there were changes in the seismic network configuration. There is not adequate information of natural gas production to consider it as a factor in further analysis. In order to consider possible differences in network configurations or any other changes for which we do not have enough data in the platform, we mapped the changes of the completeness level of the data, using a </w:t>
      </w:r>
      <w:r w:rsidR="00613900">
        <w:rPr>
          <w:rFonts w:asciiTheme="minorHAnsi" w:hAnsiTheme="minorHAnsi"/>
          <w:sz w:val="22"/>
          <w:szCs w:val="22"/>
        </w:rPr>
        <w:t xml:space="preserve">non-overlapping </w:t>
      </w:r>
      <w:r w:rsidRPr="00344786">
        <w:rPr>
          <w:rFonts w:asciiTheme="minorHAnsi" w:hAnsiTheme="minorHAnsi"/>
          <w:sz w:val="22"/>
          <w:szCs w:val="22"/>
        </w:rPr>
        <w:t xml:space="preserve">moving window </w:t>
      </w:r>
      <w:r w:rsidR="00E74D2D">
        <w:rPr>
          <w:rFonts w:asciiTheme="minorHAnsi" w:hAnsiTheme="minorHAnsi"/>
          <w:sz w:val="22"/>
          <w:szCs w:val="22"/>
        </w:rPr>
        <w:t>of 60</w:t>
      </w:r>
      <w:r w:rsidRPr="00344786">
        <w:rPr>
          <w:rFonts w:asciiTheme="minorHAnsi" w:hAnsiTheme="minorHAnsi"/>
          <w:sz w:val="22"/>
          <w:szCs w:val="22"/>
        </w:rPr>
        <w:t>. The completeness level decreases in the end of 2010 (Fig. S</w:t>
      </w:r>
      <w:r w:rsidR="00156A3C">
        <w:rPr>
          <w:rFonts w:asciiTheme="minorHAnsi" w:hAnsiTheme="minorHAnsi"/>
          <w:sz w:val="22"/>
          <w:szCs w:val="22"/>
        </w:rPr>
        <w:t>35</w:t>
      </w:r>
      <w:r w:rsidRPr="00344786">
        <w:rPr>
          <w:rFonts w:asciiTheme="minorHAnsi" w:hAnsiTheme="minorHAnsi"/>
          <w:sz w:val="22"/>
          <w:szCs w:val="22"/>
        </w:rPr>
        <w:t xml:space="preserve">b) which lead us to </w:t>
      </w:r>
      <w:r w:rsidR="000C759C">
        <w:rPr>
          <w:rFonts w:asciiTheme="minorHAnsi" w:hAnsiTheme="minorHAnsi"/>
          <w:sz w:val="22"/>
          <w:szCs w:val="22"/>
        </w:rPr>
        <w:t>form three</w:t>
      </w:r>
      <w:r w:rsidRPr="00344786">
        <w:rPr>
          <w:rFonts w:asciiTheme="minorHAnsi" w:hAnsiTheme="minorHAnsi"/>
          <w:sz w:val="22"/>
          <w:szCs w:val="22"/>
        </w:rPr>
        <w:t xml:space="preserve"> periods with different completeness levels, one being from the beginning of the catalog until the end of January 2011 and the second from February 2011 until </w:t>
      </w:r>
      <w:r w:rsidR="000C759C">
        <w:rPr>
          <w:rFonts w:asciiTheme="minorHAnsi" w:hAnsiTheme="minorHAnsi"/>
          <w:sz w:val="22"/>
          <w:szCs w:val="22"/>
        </w:rPr>
        <w:t xml:space="preserve">mid-February 2015 and the third between mid-Frebruary 2015 and </w:t>
      </w:r>
      <w:r w:rsidRPr="00344786">
        <w:rPr>
          <w:rFonts w:asciiTheme="minorHAnsi" w:hAnsiTheme="minorHAnsi"/>
          <w:sz w:val="22"/>
          <w:szCs w:val="22"/>
        </w:rPr>
        <w:t>the end of the catalog. We considered earthquakes that belong to the northeastern edge of the recorded seismicity that form a distinct cluster of seismicity in an area that shows higher event density due to the distribution of reservoir compaction (Bourne et al., 2015)</w:t>
      </w:r>
      <w:r w:rsidRPr="00344786">
        <w:rPr>
          <w:rFonts w:asciiTheme="minorHAnsi" w:hAnsiTheme="minorHAnsi"/>
          <w:sz w:val="22"/>
          <w:szCs w:val="22"/>
          <w:vertAlign w:val="superscript"/>
        </w:rPr>
        <w:t xml:space="preserve"> </w:t>
      </w:r>
      <w:r w:rsidRPr="00344786">
        <w:rPr>
          <w:rFonts w:asciiTheme="minorHAnsi" w:hAnsiTheme="minorHAnsi"/>
          <w:sz w:val="22"/>
          <w:szCs w:val="22"/>
        </w:rPr>
        <w:t>(Fig. S</w:t>
      </w:r>
      <w:r w:rsidR="00156A3C">
        <w:rPr>
          <w:rFonts w:asciiTheme="minorHAnsi" w:hAnsiTheme="minorHAnsi"/>
          <w:sz w:val="22"/>
          <w:szCs w:val="22"/>
        </w:rPr>
        <w:t>36</w:t>
      </w:r>
      <w:r w:rsidRPr="00344786">
        <w:rPr>
          <w:rFonts w:asciiTheme="minorHAnsi" w:hAnsiTheme="minorHAnsi"/>
          <w:sz w:val="22"/>
          <w:szCs w:val="22"/>
        </w:rPr>
        <w:t>).</w:t>
      </w:r>
    </w:p>
    <w:p w14:paraId="4A8D42A8" w14:textId="183118FF"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completeness magnitude of the data for the period from the beginning of recordings until the end of January 2011 was calculated to be M</w:t>
      </w:r>
      <w:r w:rsidRPr="00344786">
        <w:rPr>
          <w:rFonts w:asciiTheme="minorHAnsi" w:hAnsiTheme="minorHAnsi"/>
          <w:sz w:val="22"/>
          <w:szCs w:val="22"/>
          <w:vertAlign w:val="subscript"/>
        </w:rPr>
        <w:t>C</w:t>
      </w:r>
      <w:r w:rsidRPr="00344786">
        <w:rPr>
          <w:rFonts w:asciiTheme="minorHAnsi" w:hAnsiTheme="minorHAnsi"/>
          <w:sz w:val="22"/>
          <w:szCs w:val="22"/>
        </w:rPr>
        <w:t>=1.2 (Fig. S</w:t>
      </w:r>
      <w:r w:rsidR="00F935D8" w:rsidRPr="00344786">
        <w:rPr>
          <w:rFonts w:asciiTheme="minorHAnsi" w:hAnsiTheme="minorHAnsi"/>
          <w:sz w:val="22"/>
          <w:szCs w:val="22"/>
        </w:rPr>
        <w:t>3</w:t>
      </w:r>
      <w:r w:rsidR="00555531">
        <w:rPr>
          <w:rFonts w:asciiTheme="minorHAnsi" w:hAnsiTheme="minorHAnsi"/>
          <w:sz w:val="22"/>
          <w:szCs w:val="22"/>
        </w:rPr>
        <w:t>7</w:t>
      </w:r>
      <w:r w:rsidRPr="00344786">
        <w:rPr>
          <w:rFonts w:asciiTheme="minorHAnsi" w:hAnsiTheme="minorHAnsi"/>
          <w:sz w:val="22"/>
          <w:szCs w:val="22"/>
        </w:rPr>
        <w:t xml:space="preserve">a), </w:t>
      </w:r>
      <w:r w:rsidR="00964729">
        <w:rPr>
          <w:rFonts w:asciiTheme="minorHAnsi" w:hAnsiTheme="minorHAnsi"/>
          <w:sz w:val="22"/>
          <w:szCs w:val="22"/>
        </w:rPr>
        <w:t xml:space="preserve">an </w:t>
      </w:r>
      <w:r w:rsidR="00964729" w:rsidRPr="00344786">
        <w:rPr>
          <w:rFonts w:asciiTheme="minorHAnsi" w:hAnsiTheme="minorHAnsi"/>
          <w:sz w:val="22"/>
          <w:szCs w:val="22"/>
        </w:rPr>
        <w:t>M</w:t>
      </w:r>
      <w:r w:rsidR="00964729" w:rsidRPr="00344786">
        <w:rPr>
          <w:rFonts w:asciiTheme="minorHAnsi" w:hAnsiTheme="minorHAnsi"/>
          <w:sz w:val="22"/>
          <w:szCs w:val="22"/>
          <w:vertAlign w:val="subscript"/>
        </w:rPr>
        <w:t>C</w:t>
      </w:r>
      <w:r w:rsidR="00964729" w:rsidRPr="00344786">
        <w:rPr>
          <w:rFonts w:asciiTheme="minorHAnsi" w:hAnsiTheme="minorHAnsi"/>
          <w:sz w:val="22"/>
          <w:szCs w:val="22"/>
        </w:rPr>
        <w:t>=</w:t>
      </w:r>
      <w:r w:rsidR="00964729">
        <w:rPr>
          <w:rFonts w:asciiTheme="minorHAnsi" w:hAnsiTheme="minorHAnsi"/>
          <w:sz w:val="22"/>
          <w:szCs w:val="22"/>
        </w:rPr>
        <w:t xml:space="preserve">0.9 for the second period </w:t>
      </w:r>
      <w:r w:rsidR="00EB708A">
        <w:rPr>
          <w:rFonts w:asciiTheme="minorHAnsi" w:hAnsiTheme="minorHAnsi"/>
          <w:sz w:val="22"/>
          <w:szCs w:val="22"/>
        </w:rPr>
        <w:t xml:space="preserve">until mid-February 2015 </w:t>
      </w:r>
      <w:r w:rsidR="00EB708A" w:rsidRPr="00344786">
        <w:rPr>
          <w:rFonts w:asciiTheme="minorHAnsi" w:hAnsiTheme="minorHAnsi"/>
          <w:sz w:val="22"/>
          <w:szCs w:val="22"/>
        </w:rPr>
        <w:t>(Fig. S3</w:t>
      </w:r>
      <w:r w:rsidR="00555531">
        <w:rPr>
          <w:rFonts w:asciiTheme="minorHAnsi" w:hAnsiTheme="minorHAnsi"/>
          <w:sz w:val="22"/>
          <w:szCs w:val="22"/>
        </w:rPr>
        <w:t>7</w:t>
      </w:r>
      <w:r w:rsidR="00EB708A">
        <w:rPr>
          <w:rFonts w:asciiTheme="minorHAnsi" w:hAnsiTheme="minorHAnsi"/>
          <w:sz w:val="22"/>
          <w:szCs w:val="22"/>
        </w:rPr>
        <w:t>b</w:t>
      </w:r>
      <w:r w:rsidR="00EB708A" w:rsidRPr="00344786">
        <w:rPr>
          <w:rFonts w:asciiTheme="minorHAnsi" w:hAnsiTheme="minorHAnsi"/>
          <w:sz w:val="22"/>
          <w:szCs w:val="22"/>
        </w:rPr>
        <w:t>)</w:t>
      </w:r>
      <w:r w:rsidR="00EB708A">
        <w:rPr>
          <w:rFonts w:asciiTheme="minorHAnsi" w:hAnsiTheme="minorHAnsi"/>
          <w:sz w:val="22"/>
          <w:szCs w:val="22"/>
        </w:rPr>
        <w:t xml:space="preserve"> and an </w:t>
      </w:r>
      <w:r w:rsidR="00EB708A" w:rsidRPr="00344786">
        <w:rPr>
          <w:rFonts w:asciiTheme="minorHAnsi" w:hAnsiTheme="minorHAnsi"/>
          <w:sz w:val="22"/>
          <w:szCs w:val="22"/>
        </w:rPr>
        <w:t>M</w:t>
      </w:r>
      <w:r w:rsidR="00EB708A" w:rsidRPr="00344786">
        <w:rPr>
          <w:rFonts w:asciiTheme="minorHAnsi" w:hAnsiTheme="minorHAnsi"/>
          <w:sz w:val="22"/>
          <w:szCs w:val="22"/>
          <w:vertAlign w:val="subscript"/>
        </w:rPr>
        <w:t>C</w:t>
      </w:r>
      <w:r w:rsidR="00EB708A" w:rsidRPr="00344786">
        <w:rPr>
          <w:rFonts w:asciiTheme="minorHAnsi" w:hAnsiTheme="minorHAnsi"/>
          <w:sz w:val="22"/>
          <w:szCs w:val="22"/>
        </w:rPr>
        <w:t>=</w:t>
      </w:r>
      <w:r w:rsidR="00EB708A">
        <w:rPr>
          <w:rFonts w:asciiTheme="minorHAnsi" w:hAnsiTheme="minorHAnsi"/>
          <w:sz w:val="22"/>
          <w:szCs w:val="22"/>
        </w:rPr>
        <w:t>0.6 for the third and final period</w:t>
      </w:r>
      <w:r w:rsidRPr="00344786">
        <w:rPr>
          <w:rFonts w:asciiTheme="minorHAnsi" w:hAnsiTheme="minorHAnsi"/>
          <w:sz w:val="22"/>
          <w:szCs w:val="22"/>
        </w:rPr>
        <w:t xml:space="preserve">. </w:t>
      </w:r>
      <w:r w:rsidR="00555531">
        <w:rPr>
          <w:rFonts w:asciiTheme="minorHAnsi" w:hAnsiTheme="minorHAnsi"/>
          <w:sz w:val="22"/>
          <w:szCs w:val="22"/>
        </w:rPr>
        <w:t xml:space="preserve">The </w:t>
      </w:r>
      <w:r w:rsidR="00326118">
        <w:rPr>
          <w:rFonts w:asciiTheme="minorHAnsi" w:hAnsiTheme="minorHAnsi"/>
          <w:sz w:val="22"/>
          <w:szCs w:val="22"/>
        </w:rPr>
        <w:t xml:space="preserve">spatial distribution of </w:t>
      </w:r>
      <w:r w:rsidR="00CC7657">
        <w:rPr>
          <w:rFonts w:asciiTheme="minorHAnsi" w:hAnsiTheme="minorHAnsi"/>
          <w:sz w:val="22"/>
          <w:szCs w:val="22"/>
        </w:rPr>
        <w:t xml:space="preserve">the completeness magnitude for each of the identified periods over a 3x3 grid </w:t>
      </w:r>
      <w:r w:rsidR="00646C52">
        <w:rPr>
          <w:rFonts w:asciiTheme="minorHAnsi" w:hAnsiTheme="minorHAnsi"/>
          <w:sz w:val="22"/>
          <w:szCs w:val="22"/>
        </w:rPr>
        <w:t xml:space="preserve">reveals that in the gridded areas the Mc is </w:t>
      </w:r>
      <w:r w:rsidR="000873DD">
        <w:rPr>
          <w:rFonts w:asciiTheme="minorHAnsi" w:hAnsiTheme="minorHAnsi"/>
          <w:sz w:val="22"/>
          <w:szCs w:val="22"/>
        </w:rPr>
        <w:t>equal or smallet to the selected Mc for each period over the whole area (Fig. S38)</w:t>
      </w:r>
      <w:r w:rsidRPr="00344786">
        <w:rPr>
          <w:rFonts w:asciiTheme="minorHAnsi" w:hAnsiTheme="minorHAnsi"/>
          <w:sz w:val="22"/>
          <w:szCs w:val="22"/>
        </w:rPr>
        <w:t>The cumulative earthquake distribution for the first period revealed one stationary rate period (Fig. S</w:t>
      </w:r>
      <w:r w:rsidR="00A5628A" w:rsidRPr="00344786">
        <w:rPr>
          <w:rFonts w:asciiTheme="minorHAnsi" w:hAnsiTheme="minorHAnsi"/>
          <w:sz w:val="22"/>
          <w:szCs w:val="22"/>
        </w:rPr>
        <w:t>3</w:t>
      </w:r>
      <w:r w:rsidR="000873DD">
        <w:rPr>
          <w:rFonts w:asciiTheme="minorHAnsi" w:hAnsiTheme="minorHAnsi"/>
          <w:sz w:val="22"/>
          <w:szCs w:val="22"/>
        </w:rPr>
        <w:t>9</w:t>
      </w:r>
      <w:r w:rsidRPr="00344786">
        <w:rPr>
          <w:rFonts w:asciiTheme="minorHAnsi" w:hAnsiTheme="minorHAnsi"/>
          <w:sz w:val="22"/>
          <w:szCs w:val="22"/>
        </w:rPr>
        <w:t xml:space="preserve">a – P1C1) and for the second period with lower completeness level we identified </w:t>
      </w:r>
      <w:r w:rsidR="00F9771B">
        <w:rPr>
          <w:rFonts w:asciiTheme="minorHAnsi" w:hAnsiTheme="minorHAnsi"/>
          <w:sz w:val="22"/>
          <w:szCs w:val="22"/>
        </w:rPr>
        <w:t xml:space="preserve">one </w:t>
      </w:r>
      <w:r w:rsidR="002C3C30">
        <w:rPr>
          <w:rFonts w:asciiTheme="minorHAnsi" w:hAnsiTheme="minorHAnsi"/>
          <w:sz w:val="22"/>
          <w:szCs w:val="22"/>
        </w:rPr>
        <w:t xml:space="preserve">stationary rate </w:t>
      </w:r>
      <w:r w:rsidRPr="00344786">
        <w:rPr>
          <w:rFonts w:asciiTheme="minorHAnsi" w:hAnsiTheme="minorHAnsi"/>
          <w:sz w:val="22"/>
          <w:szCs w:val="22"/>
        </w:rPr>
        <w:t>period</w:t>
      </w:r>
      <w:r w:rsidR="0004135F">
        <w:rPr>
          <w:rFonts w:asciiTheme="minorHAnsi" w:hAnsiTheme="minorHAnsi"/>
          <w:sz w:val="22"/>
          <w:szCs w:val="22"/>
        </w:rPr>
        <w:t>, P2C1</w:t>
      </w:r>
      <w:r w:rsidRPr="00344786">
        <w:rPr>
          <w:rFonts w:asciiTheme="minorHAnsi" w:hAnsiTheme="minorHAnsi"/>
          <w:sz w:val="22"/>
          <w:szCs w:val="22"/>
        </w:rPr>
        <w:t xml:space="preserve"> (Fig. S</w:t>
      </w:r>
      <w:r w:rsidR="00F935D8" w:rsidRPr="00344786">
        <w:rPr>
          <w:rFonts w:asciiTheme="minorHAnsi" w:hAnsiTheme="minorHAnsi"/>
          <w:sz w:val="22"/>
          <w:szCs w:val="22"/>
        </w:rPr>
        <w:t>3</w:t>
      </w:r>
      <w:r w:rsidR="000873DD">
        <w:rPr>
          <w:rFonts w:asciiTheme="minorHAnsi" w:hAnsiTheme="minorHAnsi"/>
          <w:sz w:val="22"/>
          <w:szCs w:val="22"/>
        </w:rPr>
        <w:t>9</w:t>
      </w:r>
      <w:r w:rsidRPr="00344786">
        <w:rPr>
          <w:rFonts w:asciiTheme="minorHAnsi" w:hAnsiTheme="minorHAnsi"/>
          <w:sz w:val="22"/>
          <w:szCs w:val="22"/>
        </w:rPr>
        <w:t>b)</w:t>
      </w:r>
      <w:r w:rsidR="002C3C30">
        <w:rPr>
          <w:rFonts w:asciiTheme="minorHAnsi" w:hAnsiTheme="minorHAnsi"/>
          <w:sz w:val="22"/>
          <w:szCs w:val="22"/>
        </w:rPr>
        <w:t xml:space="preserve"> and for the third examined subcatalog we identified two stationary period</w:t>
      </w:r>
      <w:r w:rsidR="0004135F">
        <w:rPr>
          <w:rFonts w:asciiTheme="minorHAnsi" w:hAnsiTheme="minorHAnsi"/>
          <w:sz w:val="22"/>
          <w:szCs w:val="22"/>
        </w:rPr>
        <w:t>s, P3C1 and P4C1 (Fig 3</w:t>
      </w:r>
      <w:r w:rsidR="000873DD">
        <w:rPr>
          <w:rFonts w:asciiTheme="minorHAnsi" w:hAnsiTheme="minorHAnsi"/>
          <w:sz w:val="22"/>
          <w:szCs w:val="22"/>
        </w:rPr>
        <w:t>9</w:t>
      </w:r>
      <w:r w:rsidR="0004135F">
        <w:rPr>
          <w:rFonts w:asciiTheme="minorHAnsi" w:hAnsiTheme="minorHAnsi"/>
          <w:sz w:val="22"/>
          <w:szCs w:val="22"/>
        </w:rPr>
        <w:t>c).</w:t>
      </w:r>
    </w:p>
    <w:p w14:paraId="284308AA" w14:textId="059BA0AB"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lastRenderedPageBreak/>
        <w:t>The Anderson–Darling test null hypothesis for exponential distribution (H</w:t>
      </w:r>
      <w:r w:rsidRPr="00344786">
        <w:rPr>
          <w:rFonts w:asciiTheme="minorHAnsi" w:hAnsiTheme="minorHAnsi"/>
          <w:sz w:val="22"/>
          <w:szCs w:val="22"/>
          <w:vertAlign w:val="subscript"/>
        </w:rPr>
        <w:t>0</w:t>
      </w:r>
      <w:r w:rsidRPr="00344786">
        <w:rPr>
          <w:rFonts w:asciiTheme="minorHAnsi" w:hAnsiTheme="minorHAnsi"/>
          <w:sz w:val="22"/>
          <w:szCs w:val="22"/>
          <w:vertAlign w:val="superscript"/>
        </w:rPr>
        <w:t>1</w:t>
      </w:r>
      <w:r w:rsidRPr="00344786">
        <w:rPr>
          <w:rFonts w:asciiTheme="minorHAnsi" w:hAnsiTheme="minorHAnsi"/>
          <w:sz w:val="22"/>
          <w:szCs w:val="22"/>
        </w:rPr>
        <w:t xml:space="preserve">) was not rejected for any of the </w:t>
      </w:r>
      <w:r w:rsidR="00900B39">
        <w:rPr>
          <w:rFonts w:asciiTheme="minorHAnsi" w:hAnsiTheme="minorHAnsi"/>
          <w:sz w:val="22"/>
          <w:szCs w:val="22"/>
        </w:rPr>
        <w:t>four e</w:t>
      </w:r>
      <w:r w:rsidR="0063177A">
        <w:rPr>
          <w:rFonts w:asciiTheme="minorHAnsi" w:hAnsiTheme="minorHAnsi"/>
          <w:sz w:val="22"/>
          <w:szCs w:val="22"/>
        </w:rPr>
        <w:t>x</w:t>
      </w:r>
      <w:r w:rsidR="00900B39">
        <w:rPr>
          <w:rFonts w:asciiTheme="minorHAnsi" w:hAnsiTheme="minorHAnsi"/>
          <w:sz w:val="22"/>
          <w:szCs w:val="22"/>
        </w:rPr>
        <w:t>amined</w:t>
      </w:r>
      <w:r w:rsidRPr="00344786">
        <w:rPr>
          <w:rFonts w:asciiTheme="minorHAnsi" w:hAnsiTheme="minorHAnsi"/>
          <w:sz w:val="22"/>
          <w:szCs w:val="22"/>
        </w:rPr>
        <w:t xml:space="preserve"> periods</w:t>
      </w:r>
      <w:r w:rsidR="0063177A">
        <w:rPr>
          <w:rFonts w:asciiTheme="minorHAnsi" w:hAnsiTheme="minorHAnsi"/>
          <w:sz w:val="22"/>
          <w:szCs w:val="22"/>
        </w:rPr>
        <w:t xml:space="preserve"> (Table 3 – Groningen).</w:t>
      </w:r>
      <w:r w:rsidRPr="00344786">
        <w:rPr>
          <w:rFonts w:asciiTheme="minorHAnsi" w:hAnsiTheme="minorHAnsi"/>
          <w:sz w:val="22"/>
          <w:szCs w:val="22"/>
        </w:rPr>
        <w:t xml:space="preserve"> </w:t>
      </w:r>
      <w:r w:rsidR="0063177A">
        <w:rPr>
          <w:rFonts w:asciiTheme="minorHAnsi" w:hAnsiTheme="minorHAnsi"/>
          <w:sz w:val="22"/>
          <w:szCs w:val="22"/>
        </w:rPr>
        <w:t>The multimodality and multibump tests were not performed.</w:t>
      </w:r>
    </w:p>
    <w:p w14:paraId="2EB02F3C" w14:textId="77777777" w:rsidR="00607D90" w:rsidRPr="00344786" w:rsidRDefault="00607D90" w:rsidP="00E97234">
      <w:pPr>
        <w:spacing w:line="360" w:lineRule="auto"/>
        <w:jc w:val="both"/>
        <w:rPr>
          <w:rFonts w:asciiTheme="minorHAnsi" w:hAnsiTheme="minorHAnsi"/>
          <w:sz w:val="22"/>
          <w:szCs w:val="22"/>
        </w:rPr>
      </w:pPr>
    </w:p>
    <w:p w14:paraId="3810E398"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12" w:name="_Toc162436003"/>
      <w:r w:rsidRPr="00344786">
        <w:rPr>
          <w:rFonts w:asciiTheme="minorHAnsi" w:hAnsiTheme="minorHAnsi"/>
          <w:sz w:val="22"/>
          <w:szCs w:val="22"/>
        </w:rPr>
        <w:t>Lacq gas field</w:t>
      </w:r>
      <w:bookmarkEnd w:id="12"/>
    </w:p>
    <w:p w14:paraId="7AF80D0A" w14:textId="77777777" w:rsidR="00607D90" w:rsidRPr="00344786" w:rsidRDefault="00607D90" w:rsidP="00E97234">
      <w:pPr>
        <w:spacing w:line="360" w:lineRule="auto"/>
        <w:jc w:val="both"/>
        <w:rPr>
          <w:rFonts w:asciiTheme="minorHAnsi" w:hAnsiTheme="minorHAnsi"/>
          <w:b/>
          <w:bCs/>
          <w:sz w:val="22"/>
          <w:szCs w:val="22"/>
        </w:rPr>
      </w:pPr>
    </w:p>
    <w:p w14:paraId="19193C22"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7824B5CC"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This catalog is related to seismic activity in the LACQ gas field in France IS EPOS (2018c). There are several catalogs to this episode in the EPISODES platform, each one enclosing a larger area as a multiple of the gas reservoir length. We selected the catalog of a size of 3 times the length of the gas reservoir, as this is a distance in which impact on seismicity is larger than randomized regional tectonic seismicity (Grasso et al., 2018).</w:t>
      </w:r>
    </w:p>
    <w:p w14:paraId="335F3DF5" w14:textId="77777777" w:rsidR="00607D90" w:rsidRPr="00344786" w:rsidRDefault="00607D90" w:rsidP="00E97234">
      <w:pPr>
        <w:pStyle w:val="SMText"/>
        <w:spacing w:line="360" w:lineRule="auto"/>
        <w:jc w:val="both"/>
        <w:rPr>
          <w:rFonts w:asciiTheme="minorHAnsi" w:hAnsiTheme="minorHAnsi"/>
          <w:sz w:val="22"/>
          <w:szCs w:val="22"/>
        </w:rPr>
      </w:pPr>
    </w:p>
    <w:p w14:paraId="67D8BABD"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0080E398" w14:textId="4C65328F"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catalog contains 489 earthquakes between August 1963 and December 2011 (Table S</w:t>
      </w:r>
      <w:r w:rsidR="00667D1D">
        <w:rPr>
          <w:rFonts w:asciiTheme="minorHAnsi" w:hAnsiTheme="minorHAnsi"/>
          <w:sz w:val="22"/>
          <w:szCs w:val="22"/>
        </w:rPr>
        <w:t>9</w:t>
      </w:r>
      <w:r w:rsidRPr="00344786">
        <w:rPr>
          <w:rFonts w:asciiTheme="minorHAnsi" w:hAnsiTheme="minorHAnsi"/>
          <w:sz w:val="22"/>
          <w:szCs w:val="22"/>
        </w:rPr>
        <w:t>) with earthquake activity increasing after about 1995 (Fig. S</w:t>
      </w:r>
      <w:r w:rsidR="000873DD">
        <w:rPr>
          <w:rFonts w:asciiTheme="minorHAnsi" w:hAnsiTheme="minorHAnsi"/>
          <w:sz w:val="22"/>
          <w:szCs w:val="22"/>
        </w:rPr>
        <w:t>40</w:t>
      </w:r>
      <w:r w:rsidRPr="00344786">
        <w:rPr>
          <w:rFonts w:asciiTheme="minorHAnsi" w:hAnsiTheme="minorHAnsi"/>
          <w:sz w:val="22"/>
          <w:szCs w:val="22"/>
        </w:rPr>
        <w:t>a). We excluded 52 earthquakes located at Pyrenean Mountain range to the south, leaving a total of 437 earthquakes for further testing. Due to the changes of the seismic network during this time period we mapped the temporal changes of the magnitude of completeness calculated with the maximum curvature method, by creating a rolling window with a window length of 100 earthquakes and a step of 25 earthquakes. The results (Fig. S</w:t>
      </w:r>
      <w:r w:rsidR="00B821B2">
        <w:rPr>
          <w:rFonts w:asciiTheme="minorHAnsi" w:hAnsiTheme="minorHAnsi"/>
          <w:sz w:val="22"/>
          <w:szCs w:val="22"/>
        </w:rPr>
        <w:t>40</w:t>
      </w:r>
      <w:r w:rsidRPr="00344786">
        <w:rPr>
          <w:rFonts w:asciiTheme="minorHAnsi" w:hAnsiTheme="minorHAnsi"/>
          <w:sz w:val="22"/>
          <w:szCs w:val="22"/>
        </w:rPr>
        <w:t>b) suggest that the completeness level of the catalog changes in the beginning of 1996 which leads us to consider two periods, pre 1996 and post 1996. Earthquakes occurred in the vicinity of the gas field area (Fig. S</w:t>
      </w:r>
      <w:r w:rsidR="00B821B2">
        <w:rPr>
          <w:rFonts w:asciiTheme="minorHAnsi" w:hAnsiTheme="minorHAnsi"/>
          <w:sz w:val="22"/>
          <w:szCs w:val="22"/>
        </w:rPr>
        <w:t>41</w:t>
      </w:r>
      <w:r w:rsidRPr="00344786">
        <w:rPr>
          <w:rFonts w:asciiTheme="minorHAnsi" w:hAnsiTheme="minorHAnsi"/>
          <w:sz w:val="22"/>
          <w:szCs w:val="22"/>
        </w:rPr>
        <w:t>) and did not require any further clustering.</w:t>
      </w:r>
    </w:p>
    <w:p w14:paraId="6BA7E627" w14:textId="398620F9"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magnitude of completeness of the data pre-1996 was estimated to be M</w:t>
      </w:r>
      <w:r w:rsidRPr="00344786">
        <w:rPr>
          <w:rFonts w:asciiTheme="minorHAnsi" w:hAnsiTheme="minorHAnsi"/>
          <w:sz w:val="22"/>
          <w:szCs w:val="22"/>
          <w:vertAlign w:val="subscript"/>
        </w:rPr>
        <w:t>C</w:t>
      </w:r>
      <w:r w:rsidRPr="00344786">
        <w:rPr>
          <w:rFonts w:asciiTheme="minorHAnsi" w:hAnsiTheme="minorHAnsi"/>
          <w:sz w:val="22"/>
          <w:szCs w:val="22"/>
        </w:rPr>
        <w:t>=2.</w:t>
      </w:r>
      <w:r w:rsidR="002C2D79">
        <w:rPr>
          <w:rFonts w:asciiTheme="minorHAnsi" w:hAnsiTheme="minorHAnsi"/>
          <w:sz w:val="22"/>
          <w:szCs w:val="22"/>
        </w:rPr>
        <w:t>2</w:t>
      </w:r>
      <w:r w:rsidRPr="00344786">
        <w:rPr>
          <w:rFonts w:asciiTheme="minorHAnsi" w:hAnsiTheme="minorHAnsi"/>
          <w:sz w:val="22"/>
          <w:szCs w:val="22"/>
        </w:rPr>
        <w:t xml:space="preserve"> (Fig. S</w:t>
      </w:r>
      <w:r w:rsidR="00B821B2">
        <w:rPr>
          <w:rFonts w:asciiTheme="minorHAnsi" w:hAnsiTheme="minorHAnsi"/>
          <w:sz w:val="22"/>
          <w:szCs w:val="22"/>
        </w:rPr>
        <w:t>42</w:t>
      </w:r>
      <w:r w:rsidRPr="00344786">
        <w:rPr>
          <w:rFonts w:asciiTheme="minorHAnsi" w:hAnsiTheme="minorHAnsi"/>
          <w:sz w:val="22"/>
          <w:szCs w:val="22"/>
        </w:rPr>
        <w:t>a) and the completeness of the data post 1996 was estimated to be M</w:t>
      </w:r>
      <w:r w:rsidRPr="00344786">
        <w:rPr>
          <w:rFonts w:asciiTheme="minorHAnsi" w:hAnsiTheme="minorHAnsi"/>
          <w:sz w:val="22"/>
          <w:szCs w:val="22"/>
          <w:vertAlign w:val="subscript"/>
        </w:rPr>
        <w:t>C</w:t>
      </w:r>
      <w:r w:rsidRPr="00344786">
        <w:rPr>
          <w:rFonts w:asciiTheme="minorHAnsi" w:hAnsiTheme="minorHAnsi"/>
          <w:sz w:val="22"/>
          <w:szCs w:val="22"/>
        </w:rPr>
        <w:t>=1.8 (Fig. S</w:t>
      </w:r>
      <w:r w:rsidR="00B821B2">
        <w:rPr>
          <w:rFonts w:asciiTheme="minorHAnsi" w:hAnsiTheme="minorHAnsi"/>
          <w:sz w:val="22"/>
          <w:szCs w:val="22"/>
        </w:rPr>
        <w:t>4</w:t>
      </w:r>
      <w:r w:rsidR="00D9108D">
        <w:rPr>
          <w:rFonts w:asciiTheme="minorHAnsi" w:hAnsiTheme="minorHAnsi"/>
          <w:sz w:val="22"/>
          <w:szCs w:val="22"/>
        </w:rPr>
        <w:t>2</w:t>
      </w:r>
      <w:r w:rsidR="002C2D79">
        <w:rPr>
          <w:rFonts w:asciiTheme="minorHAnsi" w:hAnsiTheme="minorHAnsi"/>
          <w:sz w:val="22"/>
          <w:szCs w:val="22"/>
        </w:rPr>
        <w:t>b</w:t>
      </w:r>
      <w:r w:rsidRPr="00344786">
        <w:rPr>
          <w:rFonts w:asciiTheme="minorHAnsi" w:hAnsiTheme="minorHAnsi"/>
          <w:sz w:val="22"/>
          <w:szCs w:val="22"/>
        </w:rPr>
        <w:t>)</w:t>
      </w:r>
      <w:r w:rsidR="002C2D79">
        <w:rPr>
          <w:rFonts w:asciiTheme="minorHAnsi" w:hAnsiTheme="minorHAnsi"/>
          <w:sz w:val="22"/>
          <w:szCs w:val="22"/>
        </w:rPr>
        <w:t xml:space="preserve">. </w:t>
      </w:r>
      <w:r w:rsidR="00D9108D">
        <w:rPr>
          <w:rFonts w:asciiTheme="minorHAnsi" w:hAnsiTheme="minorHAnsi"/>
          <w:sz w:val="22"/>
          <w:szCs w:val="22"/>
        </w:rPr>
        <w:t xml:space="preserve">The spatial distribution of Mc for the two selected periods </w:t>
      </w:r>
      <w:r w:rsidR="007C6A93">
        <w:rPr>
          <w:rFonts w:asciiTheme="minorHAnsi" w:hAnsiTheme="minorHAnsi"/>
          <w:sz w:val="22"/>
          <w:szCs w:val="22"/>
        </w:rPr>
        <w:t xml:space="preserve">is equal or lower to the </w:t>
      </w:r>
      <w:r w:rsidR="00D16F9B">
        <w:rPr>
          <w:rFonts w:asciiTheme="minorHAnsi" w:hAnsiTheme="minorHAnsi"/>
          <w:sz w:val="22"/>
          <w:szCs w:val="22"/>
        </w:rPr>
        <w:t xml:space="preserve">calculated Mc over the whole area for each of the periods (Fig. S43). </w:t>
      </w:r>
      <w:r w:rsidRPr="00344786">
        <w:rPr>
          <w:rFonts w:asciiTheme="minorHAnsi" w:hAnsiTheme="minorHAnsi"/>
          <w:sz w:val="22"/>
          <w:szCs w:val="22"/>
        </w:rPr>
        <w:t>The cumulative earthquake distribution of earthquakes with M≥M</w:t>
      </w:r>
      <w:r w:rsidRPr="00344786">
        <w:rPr>
          <w:rFonts w:asciiTheme="minorHAnsi" w:hAnsiTheme="minorHAnsi"/>
          <w:sz w:val="22"/>
          <w:szCs w:val="22"/>
          <w:vertAlign w:val="subscript"/>
        </w:rPr>
        <w:t>C</w:t>
      </w:r>
      <w:r w:rsidRPr="00344786">
        <w:rPr>
          <w:rFonts w:asciiTheme="minorHAnsi" w:hAnsiTheme="minorHAnsi"/>
          <w:sz w:val="22"/>
          <w:szCs w:val="22"/>
        </w:rPr>
        <w:t xml:space="preserve"> allows for the identification of one stationary rate period for the catalog pre-1996 (Fig. S</w:t>
      </w:r>
      <w:r w:rsidR="00D16F9B">
        <w:rPr>
          <w:rFonts w:asciiTheme="minorHAnsi" w:hAnsiTheme="minorHAnsi"/>
          <w:sz w:val="22"/>
          <w:szCs w:val="22"/>
        </w:rPr>
        <w:t>44</w:t>
      </w:r>
      <w:r w:rsidRPr="00344786">
        <w:rPr>
          <w:rFonts w:asciiTheme="minorHAnsi" w:hAnsiTheme="minorHAnsi"/>
          <w:sz w:val="22"/>
          <w:szCs w:val="22"/>
        </w:rPr>
        <w:t>a) named P1C1, and two stationary periods for the catalog post-1996 (Fig. S</w:t>
      </w:r>
      <w:r w:rsidR="00D16F9B">
        <w:rPr>
          <w:rFonts w:asciiTheme="minorHAnsi" w:hAnsiTheme="minorHAnsi"/>
          <w:sz w:val="22"/>
          <w:szCs w:val="22"/>
        </w:rPr>
        <w:t>44</w:t>
      </w:r>
      <w:r w:rsidRPr="00344786">
        <w:rPr>
          <w:rFonts w:asciiTheme="minorHAnsi" w:hAnsiTheme="minorHAnsi"/>
          <w:sz w:val="22"/>
          <w:szCs w:val="22"/>
        </w:rPr>
        <w:t>b), named P2C1 and P3C1.</w:t>
      </w:r>
    </w:p>
    <w:p w14:paraId="23355F41" w14:textId="5C93ED04"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lastRenderedPageBreak/>
        <w:t>The Anderson–Daring test for the reveals that the exponentiality null hypothesis (H</w:t>
      </w:r>
      <w:r w:rsidRPr="00344786">
        <w:rPr>
          <w:rFonts w:asciiTheme="minorHAnsi" w:hAnsiTheme="minorHAnsi"/>
          <w:sz w:val="22"/>
          <w:szCs w:val="22"/>
          <w:vertAlign w:val="subscript"/>
        </w:rPr>
        <w:t>0</w:t>
      </w:r>
      <w:r w:rsidRPr="00344786">
        <w:rPr>
          <w:rFonts w:asciiTheme="minorHAnsi" w:hAnsiTheme="minorHAnsi"/>
          <w:sz w:val="22"/>
          <w:szCs w:val="22"/>
          <w:vertAlign w:val="superscript"/>
        </w:rPr>
        <w:t>1</w:t>
      </w:r>
      <w:r w:rsidRPr="00344786">
        <w:rPr>
          <w:rFonts w:asciiTheme="minorHAnsi" w:hAnsiTheme="minorHAnsi"/>
          <w:sz w:val="22"/>
          <w:szCs w:val="22"/>
        </w:rPr>
        <w:t>)</w:t>
      </w:r>
      <w:r w:rsidR="00C43B09">
        <w:rPr>
          <w:rFonts w:asciiTheme="minorHAnsi" w:hAnsiTheme="minorHAnsi"/>
          <w:sz w:val="22"/>
          <w:szCs w:val="22"/>
        </w:rPr>
        <w:t xml:space="preserve"> cannot be rejected for any of the subcatalogs. Subsequently the </w:t>
      </w:r>
      <w:r w:rsidRPr="00344786">
        <w:rPr>
          <w:rFonts w:asciiTheme="minorHAnsi" w:hAnsiTheme="minorHAnsi"/>
          <w:sz w:val="22"/>
          <w:szCs w:val="22"/>
        </w:rPr>
        <w:t xml:space="preserve">Multimodality and Multibump tests </w:t>
      </w:r>
      <w:r w:rsidR="00C43B09">
        <w:rPr>
          <w:rFonts w:asciiTheme="minorHAnsi" w:hAnsiTheme="minorHAnsi"/>
          <w:sz w:val="22"/>
          <w:szCs w:val="22"/>
        </w:rPr>
        <w:t xml:space="preserve">are not performed </w:t>
      </w:r>
      <w:r w:rsidRPr="00344786">
        <w:rPr>
          <w:rFonts w:asciiTheme="minorHAnsi" w:hAnsiTheme="minorHAnsi"/>
          <w:sz w:val="22"/>
          <w:szCs w:val="22"/>
        </w:rPr>
        <w:t>(Table 3 – LACQ).</w:t>
      </w:r>
    </w:p>
    <w:p w14:paraId="51941402" w14:textId="77777777" w:rsidR="00607D90" w:rsidRPr="00344786" w:rsidRDefault="00607D90" w:rsidP="00E97234">
      <w:pPr>
        <w:spacing w:line="360" w:lineRule="auto"/>
        <w:jc w:val="both"/>
        <w:rPr>
          <w:rFonts w:asciiTheme="minorHAnsi" w:hAnsiTheme="minorHAnsi"/>
          <w:b/>
          <w:bCs/>
          <w:sz w:val="22"/>
          <w:szCs w:val="22"/>
        </w:rPr>
      </w:pPr>
    </w:p>
    <w:p w14:paraId="38D070EF"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13" w:name="_Toc162436004"/>
      <w:r w:rsidRPr="00344786">
        <w:rPr>
          <w:rFonts w:asciiTheme="minorHAnsi" w:hAnsiTheme="minorHAnsi"/>
          <w:sz w:val="22"/>
          <w:szCs w:val="22"/>
        </w:rPr>
        <w:t>Gazli hydrocarbon field</w:t>
      </w:r>
      <w:bookmarkEnd w:id="13"/>
      <w:r w:rsidRPr="00344786">
        <w:rPr>
          <w:rFonts w:asciiTheme="minorHAnsi" w:hAnsiTheme="minorHAnsi"/>
          <w:sz w:val="22"/>
          <w:szCs w:val="22"/>
        </w:rPr>
        <w:t xml:space="preserve"> </w:t>
      </w:r>
    </w:p>
    <w:p w14:paraId="2F89635B" w14:textId="77777777" w:rsidR="00607D90" w:rsidRPr="00344786" w:rsidRDefault="00607D90" w:rsidP="00E97234">
      <w:pPr>
        <w:spacing w:line="360" w:lineRule="auto"/>
        <w:jc w:val="both"/>
        <w:rPr>
          <w:rFonts w:asciiTheme="minorHAnsi" w:hAnsiTheme="minorHAnsi"/>
          <w:b/>
          <w:bCs/>
          <w:sz w:val="22"/>
          <w:szCs w:val="22"/>
        </w:rPr>
      </w:pPr>
    </w:p>
    <w:p w14:paraId="44B56E6E"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7F5A39AA"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Gazli catalog refers to seismicity in the vicinity of the Gazli gas field in Uzbekistan (IS EPOS, 2019b). Three earthquakes with M7.0 have occurred in the area in 1976 and 1984 in a region where seismicity is low (Bossu et al., 1996) and connected more to the gas field activity rather than residual stress from the strong earthquakes (Plotnikova et al., 1996). There are four catalogs available in the EPISODES platform, a local catalog which contain earthquakes recorded by a local dense network in 1991 and three catalogs defined by the distance of the earthquakes from the gas field (1L, 3L and 10L, where L is the length of the gas field) and cover a larger time period but contain very few data. We selected the local catalog for the data analysis.</w:t>
      </w:r>
    </w:p>
    <w:p w14:paraId="43632871" w14:textId="77777777" w:rsidR="00607D90" w:rsidRPr="00344786" w:rsidRDefault="00607D90" w:rsidP="00E97234">
      <w:pPr>
        <w:pStyle w:val="SMText"/>
        <w:spacing w:line="360" w:lineRule="auto"/>
        <w:jc w:val="both"/>
        <w:rPr>
          <w:rFonts w:asciiTheme="minorHAnsi" w:hAnsiTheme="minorHAnsi"/>
          <w:sz w:val="22"/>
          <w:szCs w:val="22"/>
        </w:rPr>
      </w:pPr>
    </w:p>
    <w:p w14:paraId="4E13504A"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55FC0D89" w14:textId="37485FFD"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selected catalog contains 441 earthquakes recorded over a 40-day period (Table S1</w:t>
      </w:r>
      <w:r w:rsidR="00EB4E1C">
        <w:rPr>
          <w:rFonts w:asciiTheme="minorHAnsi" w:hAnsiTheme="minorHAnsi"/>
          <w:sz w:val="22"/>
          <w:szCs w:val="22"/>
        </w:rPr>
        <w:t>0</w:t>
      </w:r>
      <w:r w:rsidRPr="00344786">
        <w:rPr>
          <w:rFonts w:asciiTheme="minorHAnsi" w:hAnsiTheme="minorHAnsi"/>
          <w:sz w:val="22"/>
          <w:szCs w:val="22"/>
        </w:rPr>
        <w:t>) with earthquakes occurring at a more or less stable rate that cannot be easily correlated with injected gas volume, because of the sparseness of the injected gas volume dataset (Fig. S</w:t>
      </w:r>
      <w:r w:rsidR="00D16F9B">
        <w:rPr>
          <w:rFonts w:asciiTheme="minorHAnsi" w:hAnsiTheme="minorHAnsi"/>
          <w:sz w:val="22"/>
          <w:szCs w:val="22"/>
        </w:rPr>
        <w:t>45</w:t>
      </w:r>
      <w:r w:rsidRPr="00344786">
        <w:rPr>
          <w:rFonts w:asciiTheme="minorHAnsi" w:hAnsiTheme="minorHAnsi"/>
          <w:sz w:val="22"/>
          <w:szCs w:val="22"/>
        </w:rPr>
        <w:t>). The majority of the seismic activity is located at distances of about 10 km from the southwest edge of the gas field (Fig. S</w:t>
      </w:r>
      <w:r w:rsidR="00221C36">
        <w:rPr>
          <w:rFonts w:asciiTheme="minorHAnsi" w:hAnsiTheme="minorHAnsi"/>
          <w:sz w:val="22"/>
          <w:szCs w:val="22"/>
        </w:rPr>
        <w:t>46</w:t>
      </w:r>
      <w:r w:rsidRPr="00344786">
        <w:rPr>
          <w:rFonts w:asciiTheme="minorHAnsi" w:hAnsiTheme="minorHAnsi"/>
          <w:sz w:val="22"/>
          <w:szCs w:val="22"/>
        </w:rPr>
        <w:t xml:space="preserve">). We did not consider earthquakes at </w:t>
      </w:r>
      <w:r w:rsidR="00D33ED0">
        <w:rPr>
          <w:rFonts w:asciiTheme="minorHAnsi" w:hAnsiTheme="minorHAnsi"/>
          <w:sz w:val="22"/>
          <w:szCs w:val="22"/>
        </w:rPr>
        <w:t>longer</w:t>
      </w:r>
      <w:r w:rsidRPr="00344786">
        <w:rPr>
          <w:rFonts w:asciiTheme="minorHAnsi" w:hAnsiTheme="minorHAnsi"/>
          <w:sz w:val="22"/>
          <w:szCs w:val="22"/>
        </w:rPr>
        <w:t xml:space="preserve"> distances.</w:t>
      </w:r>
    </w:p>
    <w:p w14:paraId="41A014C4" w14:textId="5C68B699" w:rsidR="00607D90" w:rsidRPr="00344786" w:rsidRDefault="00D33ED0" w:rsidP="00E97234">
      <w:pPr>
        <w:pStyle w:val="SMText"/>
        <w:spacing w:line="360" w:lineRule="auto"/>
        <w:jc w:val="both"/>
        <w:rPr>
          <w:rFonts w:asciiTheme="minorHAnsi" w:hAnsiTheme="minorHAnsi"/>
          <w:sz w:val="22"/>
          <w:szCs w:val="22"/>
        </w:rPr>
      </w:pPr>
      <w:r>
        <w:rPr>
          <w:rFonts w:asciiTheme="minorHAnsi" w:hAnsiTheme="minorHAnsi"/>
          <w:sz w:val="22"/>
          <w:szCs w:val="22"/>
        </w:rPr>
        <w:t>We calculated an</w:t>
      </w:r>
      <w:r w:rsidR="00607D90" w:rsidRPr="00344786">
        <w:rPr>
          <w:rFonts w:asciiTheme="minorHAnsi" w:hAnsiTheme="minorHAnsi"/>
          <w:sz w:val="22"/>
          <w:szCs w:val="22"/>
        </w:rPr>
        <w:t xml:space="preserve"> M</w:t>
      </w:r>
      <w:r w:rsidR="00607D90" w:rsidRPr="00344786">
        <w:rPr>
          <w:rFonts w:asciiTheme="minorHAnsi" w:hAnsiTheme="minorHAnsi"/>
          <w:sz w:val="22"/>
          <w:szCs w:val="22"/>
          <w:vertAlign w:val="subscript"/>
        </w:rPr>
        <w:t>C</w:t>
      </w:r>
      <w:r w:rsidR="00607D90" w:rsidRPr="00344786">
        <w:rPr>
          <w:rFonts w:asciiTheme="minorHAnsi" w:hAnsiTheme="minorHAnsi"/>
          <w:sz w:val="22"/>
          <w:szCs w:val="22"/>
        </w:rPr>
        <w:t>=0.</w:t>
      </w:r>
      <w:r>
        <w:rPr>
          <w:rFonts w:asciiTheme="minorHAnsi" w:hAnsiTheme="minorHAnsi"/>
          <w:sz w:val="22"/>
          <w:szCs w:val="22"/>
        </w:rPr>
        <w:t>8</w:t>
      </w:r>
      <w:r w:rsidR="00607D90" w:rsidRPr="00344786">
        <w:rPr>
          <w:rFonts w:asciiTheme="minorHAnsi" w:hAnsiTheme="minorHAnsi"/>
          <w:sz w:val="22"/>
          <w:szCs w:val="22"/>
        </w:rPr>
        <w:t xml:space="preserve"> </w:t>
      </w:r>
      <w:r>
        <w:rPr>
          <w:rFonts w:asciiTheme="minorHAnsi" w:hAnsiTheme="minorHAnsi"/>
          <w:sz w:val="22"/>
          <w:szCs w:val="22"/>
        </w:rPr>
        <w:t xml:space="preserve">with the mGFT method </w:t>
      </w:r>
      <w:r w:rsidR="00607D90" w:rsidRPr="00344786">
        <w:rPr>
          <w:rFonts w:asciiTheme="minorHAnsi" w:hAnsiTheme="minorHAnsi"/>
          <w:sz w:val="22"/>
          <w:szCs w:val="22"/>
        </w:rPr>
        <w:t>(Fig. S</w:t>
      </w:r>
      <w:r w:rsidR="00136EFA">
        <w:rPr>
          <w:rFonts w:asciiTheme="minorHAnsi" w:hAnsiTheme="minorHAnsi"/>
          <w:sz w:val="22"/>
          <w:szCs w:val="22"/>
        </w:rPr>
        <w:t>47</w:t>
      </w:r>
      <w:r w:rsidR="00607D90" w:rsidRPr="00344786">
        <w:rPr>
          <w:rFonts w:asciiTheme="minorHAnsi" w:hAnsiTheme="minorHAnsi"/>
          <w:sz w:val="22"/>
          <w:szCs w:val="22"/>
        </w:rPr>
        <w:t xml:space="preserve">). </w:t>
      </w:r>
      <w:r w:rsidR="00136EFA">
        <w:rPr>
          <w:rFonts w:asciiTheme="minorHAnsi" w:hAnsiTheme="minorHAnsi"/>
          <w:sz w:val="22"/>
          <w:szCs w:val="22"/>
        </w:rPr>
        <w:t xml:space="preserve">The spatial distribution </w:t>
      </w:r>
      <w:r w:rsidR="00F50456">
        <w:rPr>
          <w:rFonts w:asciiTheme="minorHAnsi" w:hAnsiTheme="minorHAnsi"/>
          <w:sz w:val="22"/>
          <w:szCs w:val="22"/>
        </w:rPr>
        <w:t>of Mc over a 3x3 grid of the area reveals that Mc in each gridded area</w:t>
      </w:r>
      <w:r w:rsidR="0059271E">
        <w:rPr>
          <w:rFonts w:asciiTheme="minorHAnsi" w:hAnsiTheme="minorHAnsi"/>
          <w:sz w:val="22"/>
          <w:szCs w:val="22"/>
        </w:rPr>
        <w:t xml:space="preserve"> is lower than the Mc calculated for the whole area (Fig. S48). </w:t>
      </w:r>
      <w:r w:rsidR="00607D90" w:rsidRPr="00344786">
        <w:rPr>
          <w:rFonts w:asciiTheme="minorHAnsi" w:hAnsiTheme="minorHAnsi"/>
          <w:sz w:val="22"/>
          <w:szCs w:val="22"/>
        </w:rPr>
        <w:t>The cumulative number of earthquakes with M≥M</w:t>
      </w:r>
      <w:r w:rsidR="00607D90" w:rsidRPr="00344786">
        <w:rPr>
          <w:rFonts w:asciiTheme="minorHAnsi" w:hAnsiTheme="minorHAnsi"/>
          <w:sz w:val="22"/>
          <w:szCs w:val="22"/>
          <w:vertAlign w:val="subscript"/>
        </w:rPr>
        <w:t>C</w:t>
      </w:r>
      <w:r w:rsidR="00607D90" w:rsidRPr="00344786">
        <w:rPr>
          <w:rFonts w:asciiTheme="minorHAnsi" w:hAnsiTheme="minorHAnsi"/>
          <w:sz w:val="22"/>
          <w:szCs w:val="22"/>
        </w:rPr>
        <w:t xml:space="preserve"> allow for the identification of one stationary rate period by visual inspection (Fig. S</w:t>
      </w:r>
      <w:r w:rsidR="0059271E">
        <w:rPr>
          <w:rFonts w:asciiTheme="minorHAnsi" w:hAnsiTheme="minorHAnsi"/>
          <w:sz w:val="22"/>
          <w:szCs w:val="22"/>
        </w:rPr>
        <w:t>4</w:t>
      </w:r>
      <w:r w:rsidR="00D83A9F">
        <w:rPr>
          <w:rFonts w:asciiTheme="minorHAnsi" w:hAnsiTheme="minorHAnsi"/>
          <w:sz w:val="22"/>
          <w:szCs w:val="22"/>
        </w:rPr>
        <w:t>9</w:t>
      </w:r>
      <w:r w:rsidR="00607D90" w:rsidRPr="00344786">
        <w:rPr>
          <w:rFonts w:asciiTheme="minorHAnsi" w:hAnsiTheme="minorHAnsi"/>
          <w:sz w:val="22"/>
          <w:szCs w:val="22"/>
        </w:rPr>
        <w:t>), named P1C1 and marked by red colored circles in Fig. S</w:t>
      </w:r>
      <w:r w:rsidR="0059271E">
        <w:rPr>
          <w:rFonts w:asciiTheme="minorHAnsi" w:hAnsiTheme="minorHAnsi"/>
          <w:sz w:val="22"/>
          <w:szCs w:val="22"/>
        </w:rPr>
        <w:t>46</w:t>
      </w:r>
      <w:r w:rsidR="00607D90" w:rsidRPr="00344786">
        <w:rPr>
          <w:rFonts w:asciiTheme="minorHAnsi" w:hAnsiTheme="minorHAnsi"/>
          <w:sz w:val="22"/>
          <w:szCs w:val="22"/>
        </w:rPr>
        <w:t xml:space="preserve"> and with a red colored area in Fig. S</w:t>
      </w:r>
      <w:r w:rsidR="0059271E">
        <w:rPr>
          <w:rFonts w:asciiTheme="minorHAnsi" w:hAnsiTheme="minorHAnsi"/>
          <w:sz w:val="22"/>
          <w:szCs w:val="22"/>
        </w:rPr>
        <w:t>4</w:t>
      </w:r>
      <w:r w:rsidR="00D83A9F">
        <w:rPr>
          <w:rFonts w:asciiTheme="minorHAnsi" w:hAnsiTheme="minorHAnsi"/>
          <w:sz w:val="22"/>
          <w:szCs w:val="22"/>
        </w:rPr>
        <w:t>9</w:t>
      </w:r>
      <w:r w:rsidR="00607D90" w:rsidRPr="00344786">
        <w:rPr>
          <w:rFonts w:asciiTheme="minorHAnsi" w:hAnsiTheme="minorHAnsi"/>
          <w:sz w:val="22"/>
          <w:szCs w:val="22"/>
        </w:rPr>
        <w:t>.</w:t>
      </w:r>
    </w:p>
    <w:p w14:paraId="35496E6F" w14:textId="6F590730"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The Anderson – Darling test for exponentiality of the PDF of subcatalog P1C1 </w:t>
      </w:r>
      <w:r w:rsidR="00B82859">
        <w:rPr>
          <w:rFonts w:asciiTheme="minorHAnsi" w:hAnsiTheme="minorHAnsi"/>
          <w:sz w:val="22"/>
          <w:szCs w:val="22"/>
        </w:rPr>
        <w:t xml:space="preserve">does not </w:t>
      </w:r>
      <w:r w:rsidRPr="00344786">
        <w:rPr>
          <w:rFonts w:asciiTheme="minorHAnsi" w:hAnsiTheme="minorHAnsi"/>
          <w:sz w:val="22"/>
          <w:szCs w:val="22"/>
        </w:rPr>
        <w:t xml:space="preserve">suggest the rejection of exponential PDF </w:t>
      </w:r>
      <w:r w:rsidR="00B82859">
        <w:rPr>
          <w:rFonts w:asciiTheme="minorHAnsi" w:hAnsiTheme="minorHAnsi"/>
          <w:sz w:val="22"/>
          <w:szCs w:val="22"/>
        </w:rPr>
        <w:t xml:space="preserve">and therefore </w:t>
      </w:r>
      <w:r w:rsidRPr="00344786">
        <w:rPr>
          <w:rFonts w:asciiTheme="minorHAnsi" w:hAnsiTheme="minorHAnsi"/>
          <w:sz w:val="22"/>
          <w:szCs w:val="22"/>
        </w:rPr>
        <w:t xml:space="preserve">the Multimodal and Multibump tests </w:t>
      </w:r>
      <w:r w:rsidR="00B82859">
        <w:rPr>
          <w:rFonts w:asciiTheme="minorHAnsi" w:hAnsiTheme="minorHAnsi"/>
          <w:sz w:val="22"/>
          <w:szCs w:val="22"/>
        </w:rPr>
        <w:t>are not performed.</w:t>
      </w:r>
      <w:r w:rsidRPr="00344786">
        <w:rPr>
          <w:rFonts w:asciiTheme="minorHAnsi" w:hAnsiTheme="minorHAnsi"/>
          <w:sz w:val="22"/>
          <w:szCs w:val="22"/>
        </w:rPr>
        <w:t>(Table 3 – Gazli 1991).</w:t>
      </w:r>
    </w:p>
    <w:p w14:paraId="5D1E59E3" w14:textId="77777777" w:rsidR="00607D90" w:rsidRPr="00344786" w:rsidRDefault="00607D90" w:rsidP="00E97234">
      <w:pPr>
        <w:spacing w:line="360" w:lineRule="auto"/>
        <w:jc w:val="both"/>
        <w:rPr>
          <w:rFonts w:asciiTheme="minorHAnsi" w:hAnsiTheme="minorHAnsi"/>
          <w:sz w:val="22"/>
          <w:szCs w:val="22"/>
        </w:rPr>
      </w:pPr>
    </w:p>
    <w:p w14:paraId="706B30D4" w14:textId="30C0C971"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14" w:name="_Toc162436005"/>
      <w:r w:rsidRPr="00344786">
        <w:rPr>
          <w:rFonts w:asciiTheme="minorHAnsi" w:hAnsiTheme="minorHAnsi"/>
          <w:sz w:val="22"/>
          <w:szCs w:val="22"/>
        </w:rPr>
        <w:lastRenderedPageBreak/>
        <w:t>Starfish</w:t>
      </w:r>
      <w:bookmarkEnd w:id="14"/>
    </w:p>
    <w:p w14:paraId="5B3D2D46" w14:textId="77777777" w:rsidR="00607D90" w:rsidRPr="00344786" w:rsidRDefault="00607D90" w:rsidP="00E97234">
      <w:pPr>
        <w:spacing w:line="360" w:lineRule="auto"/>
        <w:ind w:left="450" w:hanging="450"/>
        <w:jc w:val="both"/>
        <w:rPr>
          <w:rFonts w:asciiTheme="minorHAnsi" w:hAnsiTheme="minorHAnsi"/>
          <w:b/>
          <w:bCs/>
          <w:sz w:val="22"/>
          <w:szCs w:val="22"/>
        </w:rPr>
      </w:pPr>
    </w:p>
    <w:p w14:paraId="54FEC4CC"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4CD0B54D"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Starfish episode concerns acoustic emissions induced by the repetitive cooling cycles on a footwall salt block monitored by 16 ultrasonic sensors (IS EPOS, 2017c). The objective of the project was to determine the failure mechanism involved with repeating cooling stages and assess influence of thermal loading of high–frequency gas storage operations on stability of salt cavities.</w:t>
      </w:r>
    </w:p>
    <w:p w14:paraId="7DC83A16" w14:textId="77777777" w:rsidR="00607D90" w:rsidRPr="00344786" w:rsidRDefault="00607D90" w:rsidP="00E97234">
      <w:pPr>
        <w:pStyle w:val="SMText"/>
        <w:spacing w:line="360" w:lineRule="auto"/>
        <w:jc w:val="both"/>
        <w:rPr>
          <w:rFonts w:asciiTheme="minorHAnsi" w:hAnsiTheme="minorHAnsi"/>
          <w:sz w:val="22"/>
          <w:szCs w:val="22"/>
        </w:rPr>
      </w:pPr>
    </w:p>
    <w:p w14:paraId="05696C82"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38747D49" w14:textId="0030789B"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catalog contains 53038 earthquakes of very low magnitudes (Table S1</w:t>
      </w:r>
      <w:r w:rsidR="00D83A9F">
        <w:rPr>
          <w:rFonts w:asciiTheme="minorHAnsi" w:hAnsiTheme="minorHAnsi"/>
          <w:sz w:val="22"/>
          <w:szCs w:val="22"/>
        </w:rPr>
        <w:t>1</w:t>
      </w:r>
      <w:r w:rsidRPr="00344786">
        <w:rPr>
          <w:rFonts w:asciiTheme="minorHAnsi" w:hAnsiTheme="minorHAnsi"/>
          <w:sz w:val="22"/>
          <w:szCs w:val="22"/>
        </w:rPr>
        <w:t>) which occurred during the four periods of heating cycles, with seismic activity peaking during temperature increase in each period and quickly dropping along with temperature decrease (Fig. S</w:t>
      </w:r>
      <w:r w:rsidR="0059271E">
        <w:rPr>
          <w:rFonts w:asciiTheme="minorHAnsi" w:hAnsiTheme="minorHAnsi"/>
          <w:sz w:val="22"/>
          <w:szCs w:val="22"/>
        </w:rPr>
        <w:t>5</w:t>
      </w:r>
      <w:r w:rsidR="00D83A9F">
        <w:rPr>
          <w:rFonts w:asciiTheme="minorHAnsi" w:hAnsiTheme="minorHAnsi"/>
          <w:sz w:val="22"/>
          <w:szCs w:val="22"/>
        </w:rPr>
        <w:t>0</w:t>
      </w:r>
      <w:r w:rsidRPr="00344786">
        <w:rPr>
          <w:rFonts w:asciiTheme="minorHAnsi" w:hAnsiTheme="minorHAnsi"/>
          <w:sz w:val="22"/>
          <w:szCs w:val="22"/>
        </w:rPr>
        <w:t xml:space="preserve">). The size of the test area was a few meters </w:t>
      </w:r>
      <w:r w:rsidR="00265D69">
        <w:rPr>
          <w:rFonts w:asciiTheme="minorHAnsi" w:hAnsiTheme="minorHAnsi"/>
          <w:sz w:val="22"/>
          <w:szCs w:val="22"/>
        </w:rPr>
        <w:t>with the bulk of seismicity in the center and fewer earthquakes at the edges. T</w:t>
      </w:r>
      <w:r w:rsidRPr="00344786">
        <w:rPr>
          <w:rFonts w:asciiTheme="minorHAnsi" w:hAnsiTheme="minorHAnsi"/>
          <w:sz w:val="22"/>
          <w:szCs w:val="22"/>
        </w:rPr>
        <w:t>herefore no further clustering is performed and for each period seismicity is treated as a single cluster (Fig. S</w:t>
      </w:r>
      <w:r w:rsidR="0059271E">
        <w:rPr>
          <w:rFonts w:asciiTheme="minorHAnsi" w:hAnsiTheme="minorHAnsi"/>
          <w:sz w:val="22"/>
          <w:szCs w:val="22"/>
        </w:rPr>
        <w:t>5</w:t>
      </w:r>
      <w:r w:rsidR="00D83A9F">
        <w:rPr>
          <w:rFonts w:asciiTheme="minorHAnsi" w:hAnsiTheme="minorHAnsi"/>
          <w:sz w:val="22"/>
          <w:szCs w:val="22"/>
        </w:rPr>
        <w:t>1</w:t>
      </w:r>
      <w:r w:rsidRPr="00344786">
        <w:rPr>
          <w:rFonts w:asciiTheme="minorHAnsi" w:hAnsiTheme="minorHAnsi"/>
          <w:sz w:val="22"/>
          <w:szCs w:val="22"/>
        </w:rPr>
        <w:t>).</w:t>
      </w:r>
    </w:p>
    <w:p w14:paraId="27E1CD1C" w14:textId="4B30600E" w:rsidR="004614F0" w:rsidRDefault="006900F3" w:rsidP="00E97234">
      <w:pPr>
        <w:pStyle w:val="SMText"/>
        <w:spacing w:line="360" w:lineRule="auto"/>
        <w:jc w:val="both"/>
        <w:rPr>
          <w:rFonts w:asciiTheme="minorHAnsi" w:hAnsiTheme="minorHAnsi"/>
          <w:sz w:val="22"/>
          <w:szCs w:val="22"/>
        </w:rPr>
      </w:pPr>
      <w:r>
        <w:rPr>
          <w:rFonts w:asciiTheme="minorHAnsi" w:hAnsiTheme="minorHAnsi"/>
          <w:sz w:val="22"/>
          <w:szCs w:val="22"/>
        </w:rPr>
        <w:t xml:space="preserve">For the second and the third </w:t>
      </w:r>
      <w:r w:rsidR="00607D90" w:rsidRPr="00344786">
        <w:rPr>
          <w:rFonts w:asciiTheme="minorHAnsi" w:hAnsiTheme="minorHAnsi"/>
          <w:sz w:val="22"/>
          <w:szCs w:val="22"/>
        </w:rPr>
        <w:t xml:space="preserve">heating – cooling </w:t>
      </w:r>
      <w:r w:rsidR="003B2D86">
        <w:rPr>
          <w:rFonts w:asciiTheme="minorHAnsi" w:hAnsiTheme="minorHAnsi"/>
          <w:sz w:val="22"/>
          <w:szCs w:val="22"/>
        </w:rPr>
        <w:t>cycle</w:t>
      </w:r>
      <w:r>
        <w:rPr>
          <w:rFonts w:asciiTheme="minorHAnsi" w:hAnsiTheme="minorHAnsi"/>
          <w:sz w:val="22"/>
          <w:szCs w:val="22"/>
        </w:rPr>
        <w:t xml:space="preserve"> we calculated </w:t>
      </w:r>
      <w:r w:rsidR="003D0AA0">
        <w:rPr>
          <w:rFonts w:asciiTheme="minorHAnsi" w:hAnsiTheme="minorHAnsi"/>
          <w:sz w:val="22"/>
          <w:szCs w:val="22"/>
        </w:rPr>
        <w:t>M</w:t>
      </w:r>
      <w:r w:rsidR="003D0AA0" w:rsidRPr="003D0AA0">
        <w:rPr>
          <w:rFonts w:asciiTheme="minorHAnsi" w:hAnsiTheme="minorHAnsi"/>
          <w:sz w:val="22"/>
          <w:szCs w:val="22"/>
          <w:vertAlign w:val="subscript"/>
        </w:rPr>
        <w:t xml:space="preserve">c </w:t>
      </w:r>
      <w:r w:rsidR="00EC2C24">
        <w:rPr>
          <w:rFonts w:asciiTheme="minorHAnsi" w:hAnsiTheme="minorHAnsi"/>
          <w:sz w:val="22"/>
          <w:szCs w:val="22"/>
        </w:rPr>
        <w:t xml:space="preserve">equal to -4.6 and -4.8 respectively </w:t>
      </w:r>
      <w:r w:rsidR="00EC2C24" w:rsidRPr="00344786">
        <w:rPr>
          <w:rFonts w:asciiTheme="minorHAnsi" w:hAnsiTheme="minorHAnsi"/>
          <w:sz w:val="22"/>
          <w:szCs w:val="22"/>
        </w:rPr>
        <w:t>(Fig. S</w:t>
      </w:r>
      <w:r w:rsidR="0059271E">
        <w:rPr>
          <w:rFonts w:asciiTheme="minorHAnsi" w:hAnsiTheme="minorHAnsi"/>
          <w:sz w:val="22"/>
          <w:szCs w:val="22"/>
        </w:rPr>
        <w:t>5</w:t>
      </w:r>
      <w:r w:rsidR="00D83A9F">
        <w:rPr>
          <w:rFonts w:asciiTheme="minorHAnsi" w:hAnsiTheme="minorHAnsi"/>
          <w:sz w:val="22"/>
          <w:szCs w:val="22"/>
        </w:rPr>
        <w:t>2</w:t>
      </w:r>
      <w:r w:rsidR="003B2D86">
        <w:rPr>
          <w:rFonts w:asciiTheme="minorHAnsi" w:hAnsiTheme="minorHAnsi"/>
          <w:sz w:val="22"/>
          <w:szCs w:val="22"/>
        </w:rPr>
        <w:t>c,d</w:t>
      </w:r>
      <w:r w:rsidR="00EC2C24" w:rsidRPr="00344786">
        <w:rPr>
          <w:rFonts w:asciiTheme="minorHAnsi" w:hAnsiTheme="minorHAnsi"/>
          <w:sz w:val="22"/>
          <w:szCs w:val="22"/>
        </w:rPr>
        <w:t>).</w:t>
      </w:r>
      <w:r w:rsidR="003B2D86">
        <w:rPr>
          <w:rFonts w:asciiTheme="minorHAnsi" w:hAnsiTheme="minorHAnsi"/>
          <w:sz w:val="22"/>
          <w:szCs w:val="22"/>
        </w:rPr>
        <w:t xml:space="preserve"> For the first cycle </w:t>
      </w:r>
      <w:r w:rsidR="00CC38E3">
        <w:rPr>
          <w:rFonts w:asciiTheme="minorHAnsi" w:hAnsiTheme="minorHAnsi"/>
          <w:sz w:val="22"/>
          <w:szCs w:val="22"/>
        </w:rPr>
        <w:t xml:space="preserve">we observe two periods of seismicity, one at the beginning </w:t>
      </w:r>
      <w:r w:rsidR="00907691">
        <w:rPr>
          <w:rFonts w:asciiTheme="minorHAnsi" w:hAnsiTheme="minorHAnsi"/>
          <w:sz w:val="22"/>
          <w:szCs w:val="22"/>
        </w:rPr>
        <w:t>of cooling and one later during a period of steady temperature readings (Fig. 4</w:t>
      </w:r>
      <w:r w:rsidR="00D83A9F">
        <w:rPr>
          <w:rFonts w:asciiTheme="minorHAnsi" w:hAnsiTheme="minorHAnsi"/>
          <w:sz w:val="22"/>
          <w:szCs w:val="22"/>
        </w:rPr>
        <w:t>0</w:t>
      </w:r>
      <w:r w:rsidR="00907691">
        <w:rPr>
          <w:rFonts w:asciiTheme="minorHAnsi" w:hAnsiTheme="minorHAnsi"/>
          <w:sz w:val="22"/>
          <w:szCs w:val="22"/>
        </w:rPr>
        <w:t>a)</w:t>
      </w:r>
      <w:r w:rsidR="002A7582">
        <w:rPr>
          <w:rFonts w:asciiTheme="minorHAnsi" w:hAnsiTheme="minorHAnsi"/>
          <w:sz w:val="22"/>
          <w:szCs w:val="22"/>
        </w:rPr>
        <w:t>. We calculate a different completeness level for each period, M</w:t>
      </w:r>
      <w:r w:rsidR="002A7582" w:rsidRPr="003D0AA0">
        <w:rPr>
          <w:rFonts w:asciiTheme="minorHAnsi" w:hAnsiTheme="minorHAnsi"/>
          <w:sz w:val="22"/>
          <w:szCs w:val="22"/>
          <w:vertAlign w:val="subscript"/>
        </w:rPr>
        <w:t>c</w:t>
      </w:r>
      <w:r w:rsidR="002A7582">
        <w:rPr>
          <w:rFonts w:asciiTheme="minorHAnsi" w:hAnsiTheme="minorHAnsi"/>
          <w:sz w:val="22"/>
          <w:szCs w:val="22"/>
        </w:rPr>
        <w:t>=-4.2 for the former and M</w:t>
      </w:r>
      <w:r w:rsidR="002A7582" w:rsidRPr="003D0AA0">
        <w:rPr>
          <w:rFonts w:asciiTheme="minorHAnsi" w:hAnsiTheme="minorHAnsi"/>
          <w:sz w:val="22"/>
          <w:szCs w:val="22"/>
          <w:vertAlign w:val="subscript"/>
        </w:rPr>
        <w:t>c</w:t>
      </w:r>
      <w:r w:rsidR="002A7582">
        <w:rPr>
          <w:rFonts w:asciiTheme="minorHAnsi" w:hAnsiTheme="minorHAnsi"/>
          <w:sz w:val="22"/>
          <w:szCs w:val="22"/>
        </w:rPr>
        <w:t>=-4.3</w:t>
      </w:r>
      <w:r w:rsidR="003B2D86">
        <w:rPr>
          <w:rFonts w:asciiTheme="minorHAnsi" w:hAnsiTheme="minorHAnsi"/>
          <w:sz w:val="22"/>
          <w:szCs w:val="22"/>
        </w:rPr>
        <w:t xml:space="preserve"> </w:t>
      </w:r>
      <w:r w:rsidR="004614F0">
        <w:rPr>
          <w:rFonts w:asciiTheme="minorHAnsi" w:hAnsiTheme="minorHAnsi"/>
          <w:sz w:val="22"/>
          <w:szCs w:val="22"/>
        </w:rPr>
        <w:t>for the latter (Fig. 4</w:t>
      </w:r>
      <w:r w:rsidR="00D83A9F">
        <w:rPr>
          <w:rFonts w:asciiTheme="minorHAnsi" w:hAnsiTheme="minorHAnsi"/>
          <w:sz w:val="22"/>
          <w:szCs w:val="22"/>
        </w:rPr>
        <w:t>2</w:t>
      </w:r>
      <w:r w:rsidR="004614F0">
        <w:rPr>
          <w:rFonts w:asciiTheme="minorHAnsi" w:hAnsiTheme="minorHAnsi"/>
          <w:sz w:val="22"/>
          <w:szCs w:val="22"/>
        </w:rPr>
        <w:t xml:space="preserve">a,b) .Similarly, </w:t>
      </w:r>
      <w:r w:rsidR="005309BA">
        <w:rPr>
          <w:rFonts w:asciiTheme="minorHAnsi" w:hAnsiTheme="minorHAnsi"/>
          <w:sz w:val="22"/>
          <w:szCs w:val="22"/>
        </w:rPr>
        <w:t>in the final cycle we observe two periods of cooling</w:t>
      </w:r>
      <w:r w:rsidR="007103DB">
        <w:rPr>
          <w:rFonts w:asciiTheme="minorHAnsi" w:hAnsiTheme="minorHAnsi"/>
          <w:sz w:val="22"/>
          <w:szCs w:val="22"/>
        </w:rPr>
        <w:t>, one around January 21 and one around February 04 (Fig. 4</w:t>
      </w:r>
      <w:r w:rsidR="00D83A9F">
        <w:rPr>
          <w:rFonts w:asciiTheme="minorHAnsi" w:hAnsiTheme="minorHAnsi"/>
          <w:sz w:val="22"/>
          <w:szCs w:val="22"/>
        </w:rPr>
        <w:t>0</w:t>
      </w:r>
      <w:r w:rsidR="007103DB">
        <w:rPr>
          <w:rFonts w:asciiTheme="minorHAnsi" w:hAnsiTheme="minorHAnsi"/>
          <w:sz w:val="22"/>
          <w:szCs w:val="22"/>
        </w:rPr>
        <w:t>d</w:t>
      </w:r>
      <w:r w:rsidR="009570DA">
        <w:rPr>
          <w:rFonts w:asciiTheme="minorHAnsi" w:hAnsiTheme="minorHAnsi"/>
          <w:sz w:val="22"/>
          <w:szCs w:val="22"/>
        </w:rPr>
        <w:t>)</w:t>
      </w:r>
      <w:r w:rsidR="007103DB">
        <w:rPr>
          <w:rFonts w:asciiTheme="minorHAnsi" w:hAnsiTheme="minorHAnsi"/>
          <w:sz w:val="22"/>
          <w:szCs w:val="22"/>
        </w:rPr>
        <w:t xml:space="preserve">. </w:t>
      </w:r>
      <w:r w:rsidR="009570DA">
        <w:rPr>
          <w:rFonts w:asciiTheme="minorHAnsi" w:hAnsiTheme="minorHAnsi"/>
          <w:sz w:val="22"/>
          <w:szCs w:val="22"/>
        </w:rPr>
        <w:t>We calculate</w:t>
      </w:r>
      <w:r w:rsidR="007103DB">
        <w:rPr>
          <w:rFonts w:asciiTheme="minorHAnsi" w:hAnsiTheme="minorHAnsi"/>
          <w:sz w:val="22"/>
          <w:szCs w:val="22"/>
        </w:rPr>
        <w:t xml:space="preserve"> M</w:t>
      </w:r>
      <w:r w:rsidR="007103DB" w:rsidRPr="003D0AA0">
        <w:rPr>
          <w:rFonts w:asciiTheme="minorHAnsi" w:hAnsiTheme="minorHAnsi"/>
          <w:sz w:val="22"/>
          <w:szCs w:val="22"/>
          <w:vertAlign w:val="subscript"/>
        </w:rPr>
        <w:t>c</w:t>
      </w:r>
      <w:r w:rsidR="007103DB">
        <w:rPr>
          <w:rFonts w:asciiTheme="minorHAnsi" w:hAnsiTheme="minorHAnsi"/>
          <w:sz w:val="22"/>
          <w:szCs w:val="22"/>
        </w:rPr>
        <w:t xml:space="preserve">=-4.7 </w:t>
      </w:r>
      <w:r w:rsidR="009570DA">
        <w:rPr>
          <w:rFonts w:asciiTheme="minorHAnsi" w:hAnsiTheme="minorHAnsi"/>
          <w:sz w:val="22"/>
          <w:szCs w:val="22"/>
        </w:rPr>
        <w:t>for the first and</w:t>
      </w:r>
      <w:r w:rsidR="007103DB">
        <w:rPr>
          <w:rFonts w:asciiTheme="minorHAnsi" w:hAnsiTheme="minorHAnsi"/>
          <w:sz w:val="22"/>
          <w:szCs w:val="22"/>
        </w:rPr>
        <w:t xml:space="preserve"> M</w:t>
      </w:r>
      <w:r w:rsidR="007103DB" w:rsidRPr="003D0AA0">
        <w:rPr>
          <w:rFonts w:asciiTheme="minorHAnsi" w:hAnsiTheme="minorHAnsi"/>
          <w:sz w:val="22"/>
          <w:szCs w:val="22"/>
          <w:vertAlign w:val="subscript"/>
        </w:rPr>
        <w:t>c</w:t>
      </w:r>
      <w:r w:rsidR="007103DB">
        <w:rPr>
          <w:rFonts w:asciiTheme="minorHAnsi" w:hAnsiTheme="minorHAnsi"/>
          <w:sz w:val="22"/>
          <w:szCs w:val="22"/>
        </w:rPr>
        <w:t>=-4.8</w:t>
      </w:r>
      <w:r w:rsidR="009570DA">
        <w:rPr>
          <w:rFonts w:asciiTheme="minorHAnsi" w:hAnsiTheme="minorHAnsi"/>
          <w:sz w:val="22"/>
          <w:szCs w:val="22"/>
        </w:rPr>
        <w:t xml:space="preserve"> for the second (Fig. 4</w:t>
      </w:r>
      <w:r w:rsidR="00D83A9F">
        <w:rPr>
          <w:rFonts w:asciiTheme="minorHAnsi" w:hAnsiTheme="minorHAnsi"/>
          <w:sz w:val="22"/>
          <w:szCs w:val="22"/>
        </w:rPr>
        <w:t>2</w:t>
      </w:r>
      <w:r w:rsidR="009570DA">
        <w:rPr>
          <w:rFonts w:asciiTheme="minorHAnsi" w:hAnsiTheme="minorHAnsi"/>
          <w:sz w:val="22"/>
          <w:szCs w:val="22"/>
        </w:rPr>
        <w:t>e,f)</w:t>
      </w:r>
      <w:r w:rsidR="00451A03">
        <w:rPr>
          <w:rFonts w:asciiTheme="minorHAnsi" w:hAnsiTheme="minorHAnsi"/>
          <w:sz w:val="22"/>
          <w:szCs w:val="22"/>
        </w:rPr>
        <w:t>.</w:t>
      </w:r>
      <w:r w:rsidR="0059271E">
        <w:rPr>
          <w:rFonts w:asciiTheme="minorHAnsi" w:hAnsiTheme="minorHAnsi"/>
          <w:sz w:val="22"/>
          <w:szCs w:val="22"/>
        </w:rPr>
        <w:t xml:space="preserve"> The spatial distribution of Mc over a 5x5 grid in each of the examined subcatalogs </w:t>
      </w:r>
      <w:r w:rsidR="0074450E">
        <w:rPr>
          <w:rFonts w:asciiTheme="minorHAnsi" w:hAnsiTheme="minorHAnsi"/>
          <w:sz w:val="22"/>
          <w:szCs w:val="22"/>
        </w:rPr>
        <w:t>is always lower or equal to the calculated Mc for the whole area</w:t>
      </w:r>
      <w:r w:rsidR="002C425D">
        <w:rPr>
          <w:rFonts w:asciiTheme="minorHAnsi" w:hAnsiTheme="minorHAnsi"/>
          <w:sz w:val="22"/>
          <w:szCs w:val="22"/>
        </w:rPr>
        <w:t xml:space="preserve"> (Fig. S53).</w:t>
      </w:r>
    </w:p>
    <w:p w14:paraId="67F72CFD" w14:textId="47E4890C"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cumulative distribution of earthquakes with M≥M</w:t>
      </w:r>
      <w:r w:rsidRPr="00344786">
        <w:rPr>
          <w:rFonts w:asciiTheme="minorHAnsi" w:hAnsiTheme="minorHAnsi"/>
          <w:sz w:val="22"/>
          <w:szCs w:val="22"/>
          <w:vertAlign w:val="subscript"/>
        </w:rPr>
        <w:t>C</w:t>
      </w:r>
      <w:r w:rsidRPr="00344786">
        <w:rPr>
          <w:rFonts w:asciiTheme="minorHAnsi" w:hAnsiTheme="minorHAnsi"/>
          <w:sz w:val="22"/>
          <w:szCs w:val="22"/>
        </w:rPr>
        <w:t xml:space="preserve"> (Fig. S</w:t>
      </w:r>
      <w:r w:rsidR="002C425D">
        <w:rPr>
          <w:rFonts w:asciiTheme="minorHAnsi" w:hAnsiTheme="minorHAnsi"/>
          <w:sz w:val="22"/>
          <w:szCs w:val="22"/>
        </w:rPr>
        <w:t>54</w:t>
      </w:r>
      <w:r w:rsidRPr="00344786">
        <w:rPr>
          <w:rFonts w:asciiTheme="minorHAnsi" w:hAnsiTheme="minorHAnsi"/>
          <w:sz w:val="22"/>
          <w:szCs w:val="22"/>
        </w:rPr>
        <w:t xml:space="preserve">) </w:t>
      </w:r>
      <w:r w:rsidR="00451A03">
        <w:rPr>
          <w:rFonts w:asciiTheme="minorHAnsi" w:hAnsiTheme="minorHAnsi"/>
          <w:sz w:val="22"/>
          <w:szCs w:val="22"/>
        </w:rPr>
        <w:t>reveals</w:t>
      </w:r>
      <w:r w:rsidRPr="00344786">
        <w:rPr>
          <w:rFonts w:asciiTheme="minorHAnsi" w:hAnsiTheme="minorHAnsi"/>
          <w:sz w:val="22"/>
          <w:szCs w:val="22"/>
        </w:rPr>
        <w:t xml:space="preserve"> that for in every period there is an initial onset of seismicity in which we could identify a stationary rate period (P1C11, P2C1, P3C1, P4C1</w:t>
      </w:r>
      <w:r w:rsidR="001B27F1">
        <w:rPr>
          <w:rFonts w:asciiTheme="minorHAnsi" w:hAnsiTheme="minorHAnsi"/>
          <w:sz w:val="22"/>
          <w:szCs w:val="22"/>
        </w:rPr>
        <w:t>1</w:t>
      </w:r>
      <w:r w:rsidRPr="00344786">
        <w:rPr>
          <w:rFonts w:asciiTheme="minorHAnsi" w:hAnsiTheme="minorHAnsi"/>
          <w:sz w:val="22"/>
          <w:szCs w:val="22"/>
        </w:rPr>
        <w:t>) with the seismicity rate ever changing afterwards</w:t>
      </w:r>
      <w:r w:rsidR="001B27F1">
        <w:rPr>
          <w:rFonts w:asciiTheme="minorHAnsi" w:hAnsiTheme="minorHAnsi"/>
          <w:sz w:val="22"/>
          <w:szCs w:val="22"/>
        </w:rPr>
        <w:t xml:space="preserve"> (Fig. </w:t>
      </w:r>
      <w:r w:rsidR="00AC712C">
        <w:rPr>
          <w:rFonts w:asciiTheme="minorHAnsi" w:hAnsiTheme="minorHAnsi"/>
          <w:sz w:val="22"/>
          <w:szCs w:val="22"/>
        </w:rPr>
        <w:t>S54</w:t>
      </w:r>
      <w:r w:rsidR="001B27F1">
        <w:rPr>
          <w:rFonts w:asciiTheme="minorHAnsi" w:hAnsiTheme="minorHAnsi"/>
          <w:sz w:val="22"/>
          <w:szCs w:val="22"/>
        </w:rPr>
        <w:t>)</w:t>
      </w:r>
      <w:r w:rsidRPr="00344786">
        <w:rPr>
          <w:rFonts w:asciiTheme="minorHAnsi" w:hAnsiTheme="minorHAnsi"/>
          <w:sz w:val="22"/>
          <w:szCs w:val="22"/>
        </w:rPr>
        <w:t xml:space="preserve">. </w:t>
      </w:r>
      <w:r w:rsidR="00646B49">
        <w:rPr>
          <w:rFonts w:asciiTheme="minorHAnsi" w:hAnsiTheme="minorHAnsi"/>
          <w:sz w:val="22"/>
          <w:szCs w:val="22"/>
        </w:rPr>
        <w:t>Additionally, there is one more stationary period during the first cycle (P1C12) and one stationary period during the second cooling on the fourth cycle (</w:t>
      </w:r>
      <w:r w:rsidR="001B27F1">
        <w:rPr>
          <w:rFonts w:asciiTheme="minorHAnsi" w:hAnsiTheme="minorHAnsi"/>
          <w:sz w:val="22"/>
          <w:szCs w:val="22"/>
        </w:rPr>
        <w:t xml:space="preserve">P4C12) (Fig. </w:t>
      </w:r>
      <w:r w:rsidR="00AC712C">
        <w:rPr>
          <w:rFonts w:asciiTheme="minorHAnsi" w:hAnsiTheme="minorHAnsi"/>
          <w:sz w:val="22"/>
          <w:szCs w:val="22"/>
        </w:rPr>
        <w:t>54</w:t>
      </w:r>
      <w:r w:rsidR="001B27F1">
        <w:rPr>
          <w:rFonts w:asciiTheme="minorHAnsi" w:hAnsiTheme="minorHAnsi"/>
          <w:sz w:val="22"/>
          <w:szCs w:val="22"/>
        </w:rPr>
        <w:t>a,d).</w:t>
      </w:r>
    </w:p>
    <w:p w14:paraId="1085CD17" w14:textId="25B4D6A4"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The Anderson – Darling test reveals that the exponential distribution can be rejected for </w:t>
      </w:r>
      <w:r w:rsidR="00FE6D29">
        <w:rPr>
          <w:rFonts w:asciiTheme="minorHAnsi" w:hAnsiTheme="minorHAnsi"/>
          <w:sz w:val="22"/>
          <w:szCs w:val="22"/>
        </w:rPr>
        <w:t>all</w:t>
      </w:r>
      <w:r w:rsidRPr="00344786">
        <w:rPr>
          <w:rFonts w:asciiTheme="minorHAnsi" w:hAnsiTheme="minorHAnsi"/>
          <w:sz w:val="22"/>
          <w:szCs w:val="22"/>
        </w:rPr>
        <w:t xml:space="preserve"> of the examined subcatalogs</w:t>
      </w:r>
      <w:r w:rsidR="00FE6D29">
        <w:rPr>
          <w:rFonts w:asciiTheme="minorHAnsi" w:hAnsiTheme="minorHAnsi"/>
          <w:sz w:val="22"/>
          <w:szCs w:val="22"/>
        </w:rPr>
        <w:t xml:space="preserve"> except for the last</w:t>
      </w:r>
      <w:r w:rsidRPr="00344786">
        <w:rPr>
          <w:rFonts w:asciiTheme="minorHAnsi" w:hAnsiTheme="minorHAnsi"/>
          <w:sz w:val="22"/>
          <w:szCs w:val="22"/>
        </w:rPr>
        <w:t>. Furthermore, the Multimodality test suggests that all examined subcatalogs except P1C12</w:t>
      </w:r>
      <w:r w:rsidR="008428B1">
        <w:rPr>
          <w:rFonts w:asciiTheme="minorHAnsi" w:hAnsiTheme="minorHAnsi"/>
          <w:sz w:val="22"/>
          <w:szCs w:val="22"/>
        </w:rPr>
        <w:t xml:space="preserve"> and P4C12</w:t>
      </w:r>
      <w:r w:rsidRPr="00344786">
        <w:rPr>
          <w:rFonts w:asciiTheme="minorHAnsi" w:hAnsiTheme="minorHAnsi"/>
          <w:sz w:val="22"/>
          <w:szCs w:val="22"/>
        </w:rPr>
        <w:t xml:space="preserve"> </w:t>
      </w:r>
      <w:r w:rsidR="008428B1">
        <w:rPr>
          <w:rFonts w:asciiTheme="minorHAnsi" w:hAnsiTheme="minorHAnsi"/>
          <w:sz w:val="22"/>
          <w:szCs w:val="22"/>
        </w:rPr>
        <w:t>are likely</w:t>
      </w:r>
      <w:r w:rsidRPr="00344786">
        <w:rPr>
          <w:rFonts w:asciiTheme="minorHAnsi" w:hAnsiTheme="minorHAnsi"/>
          <w:sz w:val="22"/>
          <w:szCs w:val="22"/>
        </w:rPr>
        <w:t xml:space="preserve"> complex</w:t>
      </w:r>
      <w:r w:rsidR="00DB3048">
        <w:rPr>
          <w:rFonts w:asciiTheme="minorHAnsi" w:hAnsiTheme="minorHAnsi"/>
          <w:sz w:val="22"/>
          <w:szCs w:val="22"/>
        </w:rPr>
        <w:t xml:space="preserve"> </w:t>
      </w:r>
      <w:r w:rsidRPr="00344786">
        <w:rPr>
          <w:rFonts w:asciiTheme="minorHAnsi" w:hAnsiTheme="minorHAnsi"/>
          <w:sz w:val="22"/>
          <w:szCs w:val="22"/>
        </w:rPr>
        <w:t xml:space="preserve">by the rejection of the </w:t>
      </w:r>
      <w:r w:rsidRPr="00344786">
        <w:rPr>
          <w:rFonts w:asciiTheme="minorHAnsi" w:hAnsiTheme="minorHAnsi"/>
          <w:sz w:val="22"/>
          <w:szCs w:val="22"/>
        </w:rPr>
        <w:lastRenderedPageBreak/>
        <w:t>uni-bump null hypotheses</w:t>
      </w:r>
      <w:r w:rsidR="00DB3048">
        <w:rPr>
          <w:rFonts w:asciiTheme="minorHAnsi" w:hAnsiTheme="minorHAnsi"/>
          <w:sz w:val="22"/>
          <w:szCs w:val="22"/>
        </w:rPr>
        <w:t>.</w:t>
      </w:r>
      <w:r w:rsidRPr="00344786">
        <w:rPr>
          <w:rFonts w:asciiTheme="minorHAnsi" w:hAnsiTheme="minorHAnsi"/>
          <w:sz w:val="22"/>
          <w:szCs w:val="22"/>
        </w:rPr>
        <w:t xml:space="preserve"> </w:t>
      </w:r>
      <w:r w:rsidR="00DB3048">
        <w:rPr>
          <w:rFonts w:asciiTheme="minorHAnsi" w:hAnsiTheme="minorHAnsi"/>
          <w:sz w:val="22"/>
          <w:szCs w:val="22"/>
        </w:rPr>
        <w:t>T</w:t>
      </w:r>
      <w:r w:rsidRPr="00344786">
        <w:rPr>
          <w:rFonts w:asciiTheme="minorHAnsi" w:hAnsiTheme="minorHAnsi"/>
          <w:sz w:val="22"/>
          <w:szCs w:val="22"/>
        </w:rPr>
        <w:t>he Multibump test suggest</w:t>
      </w:r>
      <w:r w:rsidR="00DB3048">
        <w:rPr>
          <w:rFonts w:asciiTheme="minorHAnsi" w:hAnsiTheme="minorHAnsi"/>
          <w:sz w:val="22"/>
          <w:szCs w:val="22"/>
        </w:rPr>
        <w:t>s multiple bumps</w:t>
      </w:r>
      <w:r w:rsidRPr="00344786">
        <w:rPr>
          <w:rFonts w:asciiTheme="minorHAnsi" w:hAnsiTheme="minorHAnsi"/>
          <w:sz w:val="22"/>
          <w:szCs w:val="22"/>
        </w:rPr>
        <w:t xml:space="preserve"> for the examined subcatalog of the</w:t>
      </w:r>
      <w:r w:rsidR="0014786F">
        <w:rPr>
          <w:rFonts w:asciiTheme="minorHAnsi" w:hAnsiTheme="minorHAnsi"/>
          <w:sz w:val="22"/>
          <w:szCs w:val="22"/>
        </w:rPr>
        <w:t xml:space="preserve"> second and</w:t>
      </w:r>
      <w:r w:rsidRPr="00344786">
        <w:rPr>
          <w:rFonts w:asciiTheme="minorHAnsi" w:hAnsiTheme="minorHAnsi"/>
          <w:sz w:val="22"/>
          <w:szCs w:val="22"/>
        </w:rPr>
        <w:t xml:space="preserve"> third heating period</w:t>
      </w:r>
      <w:r w:rsidR="0014786F">
        <w:rPr>
          <w:rFonts w:asciiTheme="minorHAnsi" w:hAnsiTheme="minorHAnsi"/>
          <w:sz w:val="22"/>
          <w:szCs w:val="22"/>
        </w:rPr>
        <w:t>s</w:t>
      </w:r>
      <w:r w:rsidRPr="00344786">
        <w:rPr>
          <w:rFonts w:asciiTheme="minorHAnsi" w:hAnsiTheme="minorHAnsi"/>
          <w:sz w:val="22"/>
          <w:szCs w:val="22"/>
        </w:rPr>
        <w:t xml:space="preserve"> (Table 3 – Starfish).</w:t>
      </w:r>
    </w:p>
    <w:p w14:paraId="7819A366" w14:textId="77777777" w:rsidR="00607D90" w:rsidRPr="00344786" w:rsidRDefault="00607D90" w:rsidP="00E97234">
      <w:pPr>
        <w:spacing w:line="360" w:lineRule="auto"/>
        <w:jc w:val="both"/>
        <w:rPr>
          <w:rFonts w:asciiTheme="minorHAnsi" w:hAnsiTheme="minorHAnsi"/>
          <w:sz w:val="22"/>
          <w:szCs w:val="22"/>
        </w:rPr>
      </w:pPr>
    </w:p>
    <w:p w14:paraId="0A9E7B2A" w14:textId="77777777" w:rsidR="00607D90" w:rsidRPr="00344786" w:rsidRDefault="00607D90" w:rsidP="00E97234">
      <w:pPr>
        <w:pStyle w:val="Heading2"/>
        <w:keepLines/>
        <w:numPr>
          <w:ilvl w:val="1"/>
          <w:numId w:val="18"/>
        </w:numPr>
        <w:spacing w:before="40" w:after="240" w:line="360" w:lineRule="auto"/>
        <w:jc w:val="both"/>
        <w:rPr>
          <w:rFonts w:asciiTheme="minorHAnsi" w:hAnsiTheme="minorHAnsi"/>
          <w:sz w:val="22"/>
          <w:szCs w:val="22"/>
        </w:rPr>
      </w:pPr>
      <w:bookmarkStart w:id="15" w:name="_Toc162436006"/>
      <w:r w:rsidRPr="00344786">
        <w:rPr>
          <w:rFonts w:asciiTheme="minorHAnsi" w:hAnsiTheme="minorHAnsi"/>
          <w:sz w:val="22"/>
          <w:szCs w:val="22"/>
        </w:rPr>
        <w:t>Underground mining</w:t>
      </w:r>
      <w:bookmarkEnd w:id="15"/>
    </w:p>
    <w:p w14:paraId="7CE7BE84"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16" w:name="_Toc162436007"/>
      <w:r w:rsidRPr="00344786">
        <w:rPr>
          <w:rFonts w:asciiTheme="minorHAnsi" w:hAnsiTheme="minorHAnsi"/>
          <w:sz w:val="22"/>
          <w:szCs w:val="22"/>
        </w:rPr>
        <w:t>Pyhasalmi Mine</w:t>
      </w:r>
      <w:bookmarkEnd w:id="16"/>
    </w:p>
    <w:p w14:paraId="6184B9FF" w14:textId="77777777" w:rsidR="00607D90" w:rsidRPr="00344786" w:rsidRDefault="00607D90" w:rsidP="00E97234">
      <w:pPr>
        <w:spacing w:line="360" w:lineRule="auto"/>
        <w:ind w:left="450" w:hanging="450"/>
        <w:jc w:val="both"/>
        <w:rPr>
          <w:rFonts w:asciiTheme="minorHAnsi" w:hAnsiTheme="minorHAnsi"/>
          <w:b/>
          <w:bCs/>
          <w:sz w:val="22"/>
          <w:szCs w:val="22"/>
        </w:rPr>
      </w:pPr>
    </w:p>
    <w:p w14:paraId="3BE06924"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2B2E6D6F"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Pyhasalmi mine catalog contains earthquakes caused by underground mining of copper, zinc, and pyrite in Central Finland (IS EPOS, 2017d). The mining area does not contain any faults (Kühn et al., 2013) and microseismic underground network of high sample rates was set up to record seismic activity.</w:t>
      </w:r>
    </w:p>
    <w:p w14:paraId="2F290F9F" w14:textId="77777777" w:rsidR="00607D90" w:rsidRPr="00344786" w:rsidRDefault="00607D90" w:rsidP="00E97234">
      <w:pPr>
        <w:pStyle w:val="SMText"/>
        <w:spacing w:line="360" w:lineRule="auto"/>
        <w:jc w:val="both"/>
        <w:rPr>
          <w:rFonts w:asciiTheme="minorHAnsi" w:hAnsiTheme="minorHAnsi"/>
          <w:sz w:val="22"/>
          <w:szCs w:val="22"/>
        </w:rPr>
      </w:pPr>
    </w:p>
    <w:p w14:paraId="55490780"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6DB190F0" w14:textId="105481D4"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catalog contains 7059 earthquakes recorded over a 15-month period (Table S1</w:t>
      </w:r>
      <w:r w:rsidR="009829DF">
        <w:rPr>
          <w:rFonts w:asciiTheme="minorHAnsi" w:hAnsiTheme="minorHAnsi"/>
          <w:sz w:val="22"/>
          <w:szCs w:val="22"/>
        </w:rPr>
        <w:t>2</w:t>
      </w:r>
      <w:r w:rsidRPr="00344786">
        <w:rPr>
          <w:rFonts w:asciiTheme="minorHAnsi" w:hAnsiTheme="minorHAnsi"/>
          <w:sz w:val="22"/>
          <w:szCs w:val="22"/>
        </w:rPr>
        <w:t>). Even though there are available information about some of the mine polygons and their temporal advance the information are not adequate to lead the formulation of study areas. We therefore chose several clusters to study over a by attempting to select earthquake clusters in areas with dense seismicity, attempting to avoid blasts. We focus on two areas, the Northeastern cluster of seismicity and the northwestern cluster (Fig. S</w:t>
      </w:r>
      <w:r w:rsidR="00AC712C">
        <w:rPr>
          <w:rFonts w:asciiTheme="minorHAnsi" w:hAnsiTheme="minorHAnsi"/>
          <w:sz w:val="22"/>
          <w:szCs w:val="22"/>
        </w:rPr>
        <w:t>55</w:t>
      </w:r>
      <w:r w:rsidRPr="00344786">
        <w:rPr>
          <w:rFonts w:asciiTheme="minorHAnsi" w:hAnsiTheme="minorHAnsi"/>
          <w:sz w:val="22"/>
          <w:szCs w:val="22"/>
        </w:rPr>
        <w:t>a). Seismicity in those areas is tightly clustered which ensures that there will be enough earthquakes after the selection of stationary rate periods to perform the testing.</w:t>
      </w:r>
    </w:p>
    <w:p w14:paraId="5012466A" w14:textId="3F087C64"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magnitude of completeness for the northwestern cluster (Fig. S</w:t>
      </w:r>
      <w:r w:rsidR="00611D8E">
        <w:rPr>
          <w:rFonts w:asciiTheme="minorHAnsi" w:hAnsiTheme="minorHAnsi"/>
          <w:sz w:val="22"/>
          <w:szCs w:val="22"/>
        </w:rPr>
        <w:t>56</w:t>
      </w:r>
      <w:r w:rsidRPr="00344786">
        <w:rPr>
          <w:rFonts w:asciiTheme="minorHAnsi" w:hAnsiTheme="minorHAnsi"/>
          <w:sz w:val="22"/>
          <w:szCs w:val="22"/>
        </w:rPr>
        <w:t>a) was estimated to be M</w:t>
      </w:r>
      <w:r w:rsidRPr="00344786">
        <w:rPr>
          <w:rFonts w:asciiTheme="minorHAnsi" w:hAnsiTheme="minorHAnsi"/>
          <w:sz w:val="22"/>
          <w:szCs w:val="22"/>
          <w:vertAlign w:val="subscript"/>
        </w:rPr>
        <w:t>C</w:t>
      </w:r>
      <w:r w:rsidRPr="00344786">
        <w:rPr>
          <w:rFonts w:asciiTheme="minorHAnsi" w:hAnsiTheme="minorHAnsi"/>
          <w:sz w:val="22"/>
          <w:szCs w:val="22"/>
        </w:rPr>
        <w:t>=-1.0 by the mGFT method</w:t>
      </w:r>
      <w:r w:rsidR="00685BD6">
        <w:rPr>
          <w:rFonts w:asciiTheme="minorHAnsi" w:hAnsiTheme="minorHAnsi"/>
          <w:sz w:val="22"/>
          <w:szCs w:val="22"/>
        </w:rPr>
        <w:t>.</w:t>
      </w:r>
      <w:r w:rsidRPr="00344786">
        <w:rPr>
          <w:rFonts w:asciiTheme="minorHAnsi" w:hAnsiTheme="minorHAnsi"/>
          <w:sz w:val="22"/>
          <w:szCs w:val="22"/>
        </w:rPr>
        <w:t xml:space="preserve"> The northeastern cluster shows a higher completeness level of M</w:t>
      </w:r>
      <w:r w:rsidRPr="00344786">
        <w:rPr>
          <w:rFonts w:asciiTheme="minorHAnsi" w:hAnsiTheme="minorHAnsi"/>
          <w:sz w:val="22"/>
          <w:szCs w:val="22"/>
          <w:vertAlign w:val="subscript"/>
        </w:rPr>
        <w:t>C</w:t>
      </w:r>
      <w:r w:rsidRPr="00344786">
        <w:rPr>
          <w:rFonts w:asciiTheme="minorHAnsi" w:hAnsiTheme="minorHAnsi"/>
          <w:sz w:val="22"/>
          <w:szCs w:val="22"/>
        </w:rPr>
        <w:t>=-0.9 (Fig. S</w:t>
      </w:r>
      <w:r w:rsidR="00611D8E">
        <w:rPr>
          <w:rFonts w:asciiTheme="minorHAnsi" w:hAnsiTheme="minorHAnsi"/>
          <w:sz w:val="22"/>
          <w:szCs w:val="22"/>
        </w:rPr>
        <w:t>56</w:t>
      </w:r>
      <w:r w:rsidRPr="00344786">
        <w:rPr>
          <w:rFonts w:asciiTheme="minorHAnsi" w:hAnsiTheme="minorHAnsi"/>
          <w:sz w:val="22"/>
          <w:szCs w:val="22"/>
        </w:rPr>
        <w:t>b)</w:t>
      </w:r>
      <w:r w:rsidR="00685BD6">
        <w:rPr>
          <w:rFonts w:asciiTheme="minorHAnsi" w:hAnsiTheme="minorHAnsi"/>
          <w:sz w:val="22"/>
          <w:szCs w:val="22"/>
        </w:rPr>
        <w:t>.</w:t>
      </w:r>
      <w:r w:rsidR="00611D8E">
        <w:rPr>
          <w:rFonts w:asciiTheme="minorHAnsi" w:hAnsiTheme="minorHAnsi"/>
          <w:sz w:val="22"/>
          <w:szCs w:val="22"/>
        </w:rPr>
        <w:t xml:space="preserve"> For both clusters the Mc calculated over a 5x5 grid </w:t>
      </w:r>
      <w:r w:rsidR="00FF0DDC">
        <w:rPr>
          <w:rFonts w:asciiTheme="minorHAnsi" w:hAnsiTheme="minorHAnsi"/>
          <w:sz w:val="22"/>
          <w:szCs w:val="22"/>
        </w:rPr>
        <w:t>is lower than the calculated Mc for the whole area (Fig. S57).</w:t>
      </w:r>
    </w:p>
    <w:p w14:paraId="68243AD4" w14:textId="688BEF5C"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cumulative distribution of earthquakes with M≥M</w:t>
      </w:r>
      <w:r w:rsidRPr="00344786">
        <w:rPr>
          <w:rFonts w:asciiTheme="minorHAnsi" w:hAnsiTheme="minorHAnsi"/>
          <w:sz w:val="22"/>
          <w:szCs w:val="22"/>
          <w:vertAlign w:val="subscript"/>
        </w:rPr>
        <w:t>C</w:t>
      </w:r>
      <w:r w:rsidRPr="00344786">
        <w:rPr>
          <w:rFonts w:asciiTheme="minorHAnsi" w:hAnsiTheme="minorHAnsi"/>
          <w:sz w:val="22"/>
          <w:szCs w:val="22"/>
        </w:rPr>
        <w:t xml:space="preserve"> for both clusters reveal that it is rather hard to define stationary rate periods as there are small jumps in cumulative event rate frequently. We adopted the broader approach, which is to define stationary periods that could include sudden increases in seismic activity when they are short lived and the seismicity rate before and after that is similar. By that approach we selected two periods for the NE cluster (Fig. S</w:t>
      </w:r>
      <w:r w:rsidR="0032471E">
        <w:rPr>
          <w:rFonts w:asciiTheme="minorHAnsi" w:hAnsiTheme="minorHAnsi"/>
          <w:sz w:val="22"/>
          <w:szCs w:val="22"/>
        </w:rPr>
        <w:t>58</w:t>
      </w:r>
      <w:r w:rsidRPr="00344786">
        <w:rPr>
          <w:rFonts w:asciiTheme="minorHAnsi" w:hAnsiTheme="minorHAnsi"/>
          <w:sz w:val="22"/>
          <w:szCs w:val="22"/>
        </w:rPr>
        <w:t>a) forming subclusters P1C1, P2C1 and three periods for the NW cluster (Fig. S</w:t>
      </w:r>
      <w:r w:rsidR="0032471E">
        <w:rPr>
          <w:rFonts w:asciiTheme="minorHAnsi" w:hAnsiTheme="minorHAnsi"/>
          <w:sz w:val="22"/>
          <w:szCs w:val="22"/>
        </w:rPr>
        <w:t>58</w:t>
      </w:r>
      <w:r w:rsidRPr="00344786">
        <w:rPr>
          <w:rFonts w:asciiTheme="minorHAnsi" w:hAnsiTheme="minorHAnsi"/>
          <w:sz w:val="22"/>
          <w:szCs w:val="22"/>
        </w:rPr>
        <w:t xml:space="preserve">b), forming </w:t>
      </w:r>
      <w:r w:rsidRPr="00344786">
        <w:rPr>
          <w:rFonts w:asciiTheme="minorHAnsi" w:hAnsiTheme="minorHAnsi"/>
          <w:sz w:val="22"/>
          <w:szCs w:val="22"/>
        </w:rPr>
        <w:lastRenderedPageBreak/>
        <w:t xml:space="preserve">subclusters P1C2, P2C2, P3C2. The existence of blasts was not found to effect the change of seismicity rate </w:t>
      </w:r>
      <w:r w:rsidR="0035428F">
        <w:rPr>
          <w:rFonts w:asciiTheme="minorHAnsi" w:hAnsiTheme="minorHAnsi"/>
          <w:sz w:val="22"/>
          <w:szCs w:val="22"/>
        </w:rPr>
        <w:t xml:space="preserve">(Fig. </w:t>
      </w:r>
      <w:r w:rsidR="0032471E">
        <w:rPr>
          <w:rFonts w:asciiTheme="minorHAnsi" w:hAnsiTheme="minorHAnsi"/>
          <w:sz w:val="22"/>
          <w:szCs w:val="22"/>
        </w:rPr>
        <w:t>58</w:t>
      </w:r>
      <w:r w:rsidR="0035428F">
        <w:rPr>
          <w:rFonts w:asciiTheme="minorHAnsi" w:hAnsiTheme="minorHAnsi"/>
          <w:sz w:val="22"/>
          <w:szCs w:val="22"/>
        </w:rPr>
        <w:t>).</w:t>
      </w:r>
    </w:p>
    <w:p w14:paraId="50F1CD8D" w14:textId="77777777" w:rsidR="00607D90" w:rsidRPr="0015358D"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Anderson – Darling test leads to rejection of the exponentiality for four of the examined subcatalogs. The Multimodality test suggests also that the four subcatalogs are complex which is supported also by the Multibump test for two of those subcatalogs, P2C1 and P3C2 (Table 2 – Pyhasalmi).</w:t>
      </w:r>
    </w:p>
    <w:p w14:paraId="676781B2" w14:textId="77777777" w:rsidR="00607D90" w:rsidRPr="00344786" w:rsidRDefault="00607D90" w:rsidP="00E97234">
      <w:pPr>
        <w:spacing w:line="360" w:lineRule="auto"/>
        <w:jc w:val="both"/>
        <w:rPr>
          <w:rFonts w:asciiTheme="minorHAnsi" w:hAnsiTheme="minorHAnsi"/>
          <w:sz w:val="22"/>
          <w:szCs w:val="22"/>
        </w:rPr>
      </w:pPr>
    </w:p>
    <w:p w14:paraId="08E783F3"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17" w:name="_Toc162436008"/>
      <w:r w:rsidRPr="00344786">
        <w:rPr>
          <w:rFonts w:asciiTheme="minorHAnsi" w:hAnsiTheme="minorHAnsi"/>
          <w:sz w:val="22"/>
          <w:szCs w:val="22"/>
        </w:rPr>
        <w:t>Gisos–Cerville</w:t>
      </w:r>
      <w:bookmarkEnd w:id="17"/>
      <w:r w:rsidRPr="00344786">
        <w:rPr>
          <w:rFonts w:asciiTheme="minorHAnsi" w:hAnsiTheme="minorHAnsi"/>
          <w:sz w:val="22"/>
          <w:szCs w:val="22"/>
        </w:rPr>
        <w:t xml:space="preserve"> </w:t>
      </w:r>
    </w:p>
    <w:p w14:paraId="34BDC58A" w14:textId="77777777" w:rsidR="00607D90" w:rsidRPr="00344786" w:rsidRDefault="00607D90" w:rsidP="00E97234">
      <w:pPr>
        <w:pStyle w:val="SMSubheading"/>
        <w:spacing w:line="360" w:lineRule="auto"/>
        <w:jc w:val="both"/>
        <w:rPr>
          <w:rFonts w:asciiTheme="minorHAnsi" w:hAnsiTheme="minorHAnsi"/>
          <w:sz w:val="22"/>
          <w:szCs w:val="22"/>
        </w:rPr>
      </w:pPr>
    </w:p>
    <w:p w14:paraId="6F5004D0"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6BD59CEA"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Episode of Gisos–Cerville (IS EPOS, 2017e) contains anthropogenic seismicity due to a well monitored experiment of underground solution mining in the Lorraine Basin, France. The seismic activity in response to the caving and cavity collapses in 2008 and 2009 (Kinscher et al., 2016) was monitored by high-resolution seismic sensors, recording 22455 earthquakes with magnitudes ranging from -2.9 to 1.4.</w:t>
      </w:r>
    </w:p>
    <w:p w14:paraId="7CF1B8DC" w14:textId="77777777" w:rsidR="00607D90" w:rsidRPr="00344786" w:rsidRDefault="00607D90" w:rsidP="00E97234">
      <w:pPr>
        <w:pStyle w:val="SMText"/>
        <w:spacing w:line="360" w:lineRule="auto"/>
        <w:jc w:val="both"/>
        <w:rPr>
          <w:rFonts w:asciiTheme="minorHAnsi" w:hAnsiTheme="minorHAnsi"/>
          <w:sz w:val="22"/>
          <w:szCs w:val="22"/>
        </w:rPr>
      </w:pPr>
    </w:p>
    <w:p w14:paraId="604DD9DD"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25ABDC90" w14:textId="40CAD000"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earthquake catalog covers a period of one and a half year between March 2008 and September 2009 (Table S1</w:t>
      </w:r>
      <w:r w:rsidR="009829DF">
        <w:rPr>
          <w:rFonts w:asciiTheme="minorHAnsi" w:hAnsiTheme="minorHAnsi"/>
          <w:sz w:val="22"/>
          <w:szCs w:val="22"/>
        </w:rPr>
        <w:t>3</w:t>
      </w:r>
      <w:r w:rsidRPr="00344786">
        <w:rPr>
          <w:rFonts w:asciiTheme="minorHAnsi" w:hAnsiTheme="minorHAnsi"/>
          <w:sz w:val="22"/>
          <w:szCs w:val="22"/>
        </w:rPr>
        <w:t>), with the majority of earthquakes occurring between March and June of 2008 (Fig. S</w:t>
      </w:r>
      <w:r w:rsidR="0032471E">
        <w:rPr>
          <w:rFonts w:asciiTheme="minorHAnsi" w:hAnsiTheme="minorHAnsi"/>
          <w:sz w:val="22"/>
          <w:szCs w:val="22"/>
        </w:rPr>
        <w:t>59</w:t>
      </w:r>
      <w:r w:rsidRPr="00344786">
        <w:rPr>
          <w:rFonts w:asciiTheme="minorHAnsi" w:hAnsiTheme="minorHAnsi"/>
          <w:sz w:val="22"/>
          <w:szCs w:val="22"/>
        </w:rPr>
        <w:t>a), and then within a 48-hour period in February 2009 (Fig. S</w:t>
      </w:r>
      <w:r w:rsidR="0032471E">
        <w:rPr>
          <w:rFonts w:asciiTheme="minorHAnsi" w:hAnsiTheme="minorHAnsi"/>
          <w:sz w:val="22"/>
          <w:szCs w:val="22"/>
        </w:rPr>
        <w:t>59</w:t>
      </w:r>
      <w:r w:rsidRPr="00344786">
        <w:rPr>
          <w:rFonts w:asciiTheme="minorHAnsi" w:hAnsiTheme="minorHAnsi"/>
          <w:sz w:val="22"/>
          <w:szCs w:val="22"/>
        </w:rPr>
        <w:t>b). For the 2009 activity higher seismic activity follows increase of the ground water level above sea (Fig. S</w:t>
      </w:r>
      <w:r w:rsidR="0032471E">
        <w:rPr>
          <w:rFonts w:asciiTheme="minorHAnsi" w:hAnsiTheme="minorHAnsi"/>
          <w:sz w:val="22"/>
          <w:szCs w:val="22"/>
        </w:rPr>
        <w:t>59</w:t>
      </w:r>
      <w:r w:rsidRPr="00344786">
        <w:rPr>
          <w:rFonts w:asciiTheme="minorHAnsi" w:hAnsiTheme="minorHAnsi"/>
          <w:sz w:val="22"/>
          <w:szCs w:val="22"/>
        </w:rPr>
        <w:t>b). The earthquake locations reveal that earthquakes occurred in the same area in both the 2008 and 2009 activity (Fig. S</w:t>
      </w:r>
      <w:r w:rsidR="0019569B">
        <w:rPr>
          <w:rFonts w:asciiTheme="minorHAnsi" w:hAnsiTheme="minorHAnsi"/>
          <w:sz w:val="22"/>
          <w:szCs w:val="22"/>
        </w:rPr>
        <w:t>60</w:t>
      </w:r>
      <w:r w:rsidRPr="00344786">
        <w:rPr>
          <w:rFonts w:asciiTheme="minorHAnsi" w:hAnsiTheme="minorHAnsi"/>
          <w:sz w:val="22"/>
          <w:szCs w:val="22"/>
        </w:rPr>
        <w:t>), creating a single cluster for both periods. Therefore, we examine the two periods of seismicity separately considering one spatial cluster.</w:t>
      </w:r>
    </w:p>
    <w:p w14:paraId="4D393BA8" w14:textId="484E9C6A"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We calculated a magnitude of completeness of -0.</w:t>
      </w:r>
      <w:r w:rsidR="009C0D00" w:rsidRPr="009C0D00">
        <w:rPr>
          <w:rFonts w:asciiTheme="minorHAnsi" w:hAnsiTheme="minorHAnsi"/>
          <w:sz w:val="22"/>
          <w:szCs w:val="22"/>
        </w:rPr>
        <w:t>7</w:t>
      </w:r>
      <w:r w:rsidRPr="00344786">
        <w:rPr>
          <w:rFonts w:asciiTheme="minorHAnsi" w:hAnsiTheme="minorHAnsi"/>
          <w:sz w:val="22"/>
          <w:szCs w:val="22"/>
        </w:rPr>
        <w:t xml:space="preserve"> for both the 2008 and the 2009 seismic activity (Fig. S</w:t>
      </w:r>
      <w:r w:rsidR="0019569B">
        <w:rPr>
          <w:rFonts w:asciiTheme="minorHAnsi" w:hAnsiTheme="minorHAnsi"/>
          <w:sz w:val="22"/>
          <w:szCs w:val="22"/>
        </w:rPr>
        <w:t>61</w:t>
      </w:r>
      <w:r w:rsidRPr="00344786">
        <w:rPr>
          <w:rFonts w:asciiTheme="minorHAnsi" w:hAnsiTheme="minorHAnsi"/>
          <w:sz w:val="22"/>
          <w:szCs w:val="22"/>
        </w:rPr>
        <w:t xml:space="preserve">). </w:t>
      </w:r>
      <w:r w:rsidR="00913D8F" w:rsidRPr="00913D8F">
        <w:rPr>
          <w:rFonts w:asciiTheme="minorHAnsi" w:hAnsiTheme="minorHAnsi"/>
          <w:sz w:val="22"/>
          <w:szCs w:val="22"/>
        </w:rPr>
        <w:t>The spatial distribution of Mc, calculated over a 5×5 grid covering the study area, indicates that in both examined periods, the overall estimated Mc exceeds the values computed for individual grid cells (Fig. S62).</w:t>
      </w:r>
      <w:r w:rsidR="00A901A5">
        <w:rPr>
          <w:rFonts w:asciiTheme="minorHAnsi" w:hAnsiTheme="minorHAnsi"/>
          <w:sz w:val="22"/>
          <w:szCs w:val="22"/>
        </w:rPr>
        <w:t xml:space="preserve"> </w:t>
      </w:r>
      <w:r w:rsidRPr="00344786">
        <w:rPr>
          <w:rFonts w:asciiTheme="minorHAnsi" w:hAnsiTheme="minorHAnsi"/>
          <w:sz w:val="22"/>
          <w:szCs w:val="22"/>
        </w:rPr>
        <w:t>By examination of the cumulative activity of earthquakes with M ≥ -0.</w:t>
      </w:r>
      <w:r w:rsidR="009C0D00" w:rsidRPr="009C0D00">
        <w:rPr>
          <w:rFonts w:asciiTheme="minorHAnsi" w:hAnsiTheme="minorHAnsi"/>
          <w:sz w:val="22"/>
          <w:szCs w:val="22"/>
        </w:rPr>
        <w:t>7</w:t>
      </w:r>
      <w:r w:rsidRPr="00344786">
        <w:rPr>
          <w:rFonts w:asciiTheme="minorHAnsi" w:hAnsiTheme="minorHAnsi"/>
          <w:sz w:val="22"/>
          <w:szCs w:val="22"/>
        </w:rPr>
        <w:t xml:space="preserve"> we identified </w:t>
      </w:r>
      <w:r w:rsidR="00521434">
        <w:rPr>
          <w:rFonts w:asciiTheme="minorHAnsi" w:hAnsiTheme="minorHAnsi"/>
          <w:sz w:val="22"/>
          <w:szCs w:val="22"/>
        </w:rPr>
        <w:t>two</w:t>
      </w:r>
      <w:r w:rsidRPr="00344786">
        <w:rPr>
          <w:rFonts w:asciiTheme="minorHAnsi" w:hAnsiTheme="minorHAnsi"/>
          <w:sz w:val="22"/>
          <w:szCs w:val="22"/>
        </w:rPr>
        <w:t xml:space="preserve"> periods that could be considered stationary for the 2008 seismic activity (Fig. S</w:t>
      </w:r>
      <w:r w:rsidR="00C96C88">
        <w:rPr>
          <w:rFonts w:asciiTheme="minorHAnsi" w:hAnsiTheme="minorHAnsi"/>
          <w:sz w:val="22"/>
          <w:szCs w:val="22"/>
        </w:rPr>
        <w:t>63</w:t>
      </w:r>
      <w:r w:rsidRPr="00344786">
        <w:rPr>
          <w:rFonts w:asciiTheme="minorHAnsi" w:hAnsiTheme="minorHAnsi"/>
          <w:sz w:val="22"/>
          <w:szCs w:val="22"/>
        </w:rPr>
        <w:t>a), colored with red</w:t>
      </w:r>
      <w:r w:rsidR="00521434">
        <w:rPr>
          <w:rFonts w:asciiTheme="minorHAnsi" w:hAnsiTheme="minorHAnsi"/>
          <w:sz w:val="22"/>
          <w:szCs w:val="22"/>
        </w:rPr>
        <w:t xml:space="preserve"> (P1C1) and</w:t>
      </w:r>
      <w:r w:rsidRPr="00344786">
        <w:rPr>
          <w:rFonts w:asciiTheme="minorHAnsi" w:hAnsiTheme="minorHAnsi"/>
          <w:sz w:val="22"/>
          <w:szCs w:val="22"/>
        </w:rPr>
        <w:t xml:space="preserve"> green </w:t>
      </w:r>
      <w:r w:rsidR="00521434">
        <w:rPr>
          <w:rFonts w:asciiTheme="minorHAnsi" w:hAnsiTheme="minorHAnsi"/>
          <w:sz w:val="22"/>
          <w:szCs w:val="22"/>
        </w:rPr>
        <w:t xml:space="preserve">(P2C1) </w:t>
      </w:r>
      <w:r w:rsidRPr="00344786">
        <w:rPr>
          <w:rFonts w:asciiTheme="minorHAnsi" w:hAnsiTheme="minorHAnsi"/>
          <w:sz w:val="22"/>
          <w:szCs w:val="22"/>
        </w:rPr>
        <w:t>colors and two periods that could be considered stationary for the 2009 activity (Fig. S</w:t>
      </w:r>
      <w:r w:rsidR="00C96C88">
        <w:rPr>
          <w:rFonts w:asciiTheme="minorHAnsi" w:hAnsiTheme="minorHAnsi"/>
          <w:sz w:val="22"/>
          <w:szCs w:val="22"/>
        </w:rPr>
        <w:t>63</w:t>
      </w:r>
      <w:r w:rsidR="00984EB2">
        <w:rPr>
          <w:rFonts w:asciiTheme="minorHAnsi" w:hAnsiTheme="minorHAnsi"/>
          <w:sz w:val="22"/>
          <w:szCs w:val="22"/>
        </w:rPr>
        <w:t>b</w:t>
      </w:r>
      <w:r w:rsidRPr="00344786">
        <w:rPr>
          <w:rFonts w:asciiTheme="minorHAnsi" w:hAnsiTheme="minorHAnsi"/>
          <w:sz w:val="22"/>
          <w:szCs w:val="22"/>
        </w:rPr>
        <w:t xml:space="preserve">), colored with blue </w:t>
      </w:r>
      <w:r w:rsidR="00521434">
        <w:rPr>
          <w:rFonts w:asciiTheme="minorHAnsi" w:hAnsiTheme="minorHAnsi"/>
          <w:sz w:val="22"/>
          <w:szCs w:val="22"/>
        </w:rPr>
        <w:t xml:space="preserve">(P3C1) </w:t>
      </w:r>
      <w:r w:rsidRPr="00344786">
        <w:rPr>
          <w:rFonts w:asciiTheme="minorHAnsi" w:hAnsiTheme="minorHAnsi"/>
          <w:sz w:val="22"/>
          <w:szCs w:val="22"/>
        </w:rPr>
        <w:t>and yellow</w:t>
      </w:r>
      <w:r w:rsidR="00521434">
        <w:rPr>
          <w:rFonts w:asciiTheme="minorHAnsi" w:hAnsiTheme="minorHAnsi"/>
          <w:sz w:val="22"/>
          <w:szCs w:val="22"/>
        </w:rPr>
        <w:t xml:space="preserve"> (P4C1)</w:t>
      </w:r>
      <w:r w:rsidRPr="00344786">
        <w:rPr>
          <w:rFonts w:asciiTheme="minorHAnsi" w:hAnsiTheme="minorHAnsi"/>
          <w:sz w:val="22"/>
          <w:szCs w:val="22"/>
        </w:rPr>
        <w:t xml:space="preserve"> colors.</w:t>
      </w:r>
    </w:p>
    <w:p w14:paraId="27B2707A" w14:textId="773A3F30"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lastRenderedPageBreak/>
        <w:t>The results of the Anderson – Darling test for those five catalogs shows that in four of those exponential distribution of the PDFs can be rejected with the exception of catalog P</w:t>
      </w:r>
      <w:r w:rsidR="00F11757">
        <w:rPr>
          <w:rFonts w:asciiTheme="minorHAnsi" w:hAnsiTheme="minorHAnsi"/>
          <w:sz w:val="22"/>
          <w:szCs w:val="22"/>
        </w:rPr>
        <w:t>3</w:t>
      </w:r>
      <w:r w:rsidRPr="00344786">
        <w:rPr>
          <w:rFonts w:asciiTheme="minorHAnsi" w:hAnsiTheme="minorHAnsi"/>
          <w:sz w:val="22"/>
          <w:szCs w:val="22"/>
        </w:rPr>
        <w:t xml:space="preserve">C1. </w:t>
      </w:r>
      <w:r w:rsidR="00F11757">
        <w:rPr>
          <w:rFonts w:asciiTheme="minorHAnsi" w:hAnsiTheme="minorHAnsi"/>
          <w:sz w:val="22"/>
          <w:szCs w:val="22"/>
        </w:rPr>
        <w:t>For the subcatalogs P1C1 and</w:t>
      </w:r>
      <w:r w:rsidRPr="00344786">
        <w:rPr>
          <w:rFonts w:asciiTheme="minorHAnsi" w:hAnsiTheme="minorHAnsi"/>
          <w:sz w:val="22"/>
          <w:szCs w:val="22"/>
        </w:rPr>
        <w:t xml:space="preserve"> P2C1 the </w:t>
      </w:r>
      <w:r w:rsidR="00434861">
        <w:rPr>
          <w:rFonts w:asciiTheme="minorHAnsi" w:hAnsiTheme="minorHAnsi"/>
          <w:sz w:val="22"/>
          <w:szCs w:val="22"/>
        </w:rPr>
        <w:t>m</w:t>
      </w:r>
      <w:r w:rsidRPr="00344786">
        <w:rPr>
          <w:rFonts w:asciiTheme="minorHAnsi" w:hAnsiTheme="minorHAnsi"/>
          <w:sz w:val="22"/>
          <w:szCs w:val="22"/>
        </w:rPr>
        <w:t>ultimodality</w:t>
      </w:r>
      <w:r w:rsidR="00434861">
        <w:rPr>
          <w:rFonts w:asciiTheme="minorHAnsi" w:hAnsiTheme="minorHAnsi"/>
          <w:sz w:val="22"/>
          <w:szCs w:val="22"/>
        </w:rPr>
        <w:t xml:space="preserve"> </w:t>
      </w:r>
      <w:r w:rsidRPr="00344786">
        <w:rPr>
          <w:rFonts w:asciiTheme="minorHAnsi" w:hAnsiTheme="minorHAnsi"/>
          <w:sz w:val="22"/>
          <w:szCs w:val="22"/>
        </w:rPr>
        <w:t xml:space="preserve">test suggests </w:t>
      </w:r>
      <w:r w:rsidR="00F11757">
        <w:rPr>
          <w:rFonts w:asciiTheme="minorHAnsi" w:hAnsiTheme="minorHAnsi"/>
          <w:sz w:val="22"/>
          <w:szCs w:val="22"/>
        </w:rPr>
        <w:t>t</w:t>
      </w:r>
      <w:r w:rsidR="00434861">
        <w:rPr>
          <w:rFonts w:asciiTheme="minorHAnsi" w:hAnsiTheme="minorHAnsi"/>
          <w:sz w:val="22"/>
          <w:szCs w:val="22"/>
        </w:rPr>
        <w:t xml:space="preserve">he likely existence of multiple modes </w:t>
      </w:r>
      <w:r w:rsidRPr="00344786">
        <w:rPr>
          <w:rFonts w:asciiTheme="minorHAnsi" w:hAnsiTheme="minorHAnsi"/>
          <w:sz w:val="22"/>
          <w:szCs w:val="22"/>
        </w:rPr>
        <w:t>and therefore complexity of the PDF (Table 2 – GISOS-Cerville).</w:t>
      </w:r>
    </w:p>
    <w:p w14:paraId="0391C700" w14:textId="77777777" w:rsidR="00607D90" w:rsidRPr="00344786" w:rsidRDefault="00607D90" w:rsidP="00E97234">
      <w:pPr>
        <w:pStyle w:val="SMText"/>
        <w:spacing w:line="360" w:lineRule="auto"/>
        <w:jc w:val="both"/>
        <w:rPr>
          <w:rFonts w:asciiTheme="minorHAnsi" w:hAnsiTheme="minorHAnsi"/>
          <w:sz w:val="22"/>
          <w:szCs w:val="22"/>
        </w:rPr>
      </w:pPr>
    </w:p>
    <w:p w14:paraId="0A8BF3D7"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18" w:name="_Toc162436009"/>
      <w:r w:rsidRPr="00344786">
        <w:rPr>
          <w:rFonts w:asciiTheme="minorHAnsi" w:hAnsiTheme="minorHAnsi"/>
          <w:sz w:val="22"/>
          <w:szCs w:val="22"/>
        </w:rPr>
        <w:t>LGCD mines</w:t>
      </w:r>
      <w:bookmarkEnd w:id="18"/>
    </w:p>
    <w:p w14:paraId="3616325B" w14:textId="77777777" w:rsidR="00607D90" w:rsidRPr="00344786" w:rsidRDefault="00607D90" w:rsidP="00E97234">
      <w:pPr>
        <w:pStyle w:val="SMSubheading"/>
        <w:spacing w:line="360" w:lineRule="auto"/>
        <w:jc w:val="both"/>
        <w:rPr>
          <w:rFonts w:asciiTheme="minorHAnsi" w:hAnsiTheme="minorHAnsi"/>
          <w:sz w:val="22"/>
          <w:szCs w:val="22"/>
        </w:rPr>
      </w:pPr>
    </w:p>
    <w:p w14:paraId="0C96B031"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0BF20732"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LGCD episode refers to induced seismicity by the copper ore exploitation of mines in the Legnica Glogow Copper District (LGCD) in Poland, using the room and pillar method. The catalog is compiled from recordings of a surface seismic network at a sampling rate of 100Hz of the Institute of Geophysics of the Polish Academy of Sciences (IG PAS) (IS EPOS, 2017f). Magnitude distributions with complex characteristics have been observed for some seismic zones of the LGCD area (Lasocki &amp; Orlecka-Sikora, 2008; Lasocki, 2001).</w:t>
      </w:r>
    </w:p>
    <w:p w14:paraId="5F0AAFE7" w14:textId="77777777" w:rsidR="00607D90" w:rsidRPr="00344786" w:rsidRDefault="00607D90" w:rsidP="00E97234">
      <w:pPr>
        <w:pStyle w:val="SMText"/>
        <w:spacing w:line="360" w:lineRule="auto"/>
        <w:jc w:val="both"/>
        <w:rPr>
          <w:rFonts w:asciiTheme="minorHAnsi" w:hAnsiTheme="minorHAnsi"/>
          <w:sz w:val="22"/>
          <w:szCs w:val="22"/>
        </w:rPr>
      </w:pPr>
    </w:p>
    <w:p w14:paraId="380B073C"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1A216C3B" w14:textId="698B04B2"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seismic network configuration can be considered stable after February 10, 2016, as only two stations are added after that period and until the end of the study period. We selected 5159 earthquakes after February 10 of 2016 for further analysis. The mine areas available on the EPISODES platform do not include specific information on mining panels but the epicentral distribution allows for the recognition of seismicity clusters (</w:t>
      </w:r>
      <w:r w:rsidR="00913D8F">
        <w:rPr>
          <w:rFonts w:asciiTheme="minorHAnsi" w:hAnsiTheme="minorHAnsi"/>
          <w:sz w:val="22"/>
          <w:szCs w:val="22"/>
        </w:rPr>
        <w:t>Fig. S64</w:t>
      </w:r>
      <w:r w:rsidRPr="00344786">
        <w:rPr>
          <w:rFonts w:asciiTheme="minorHAnsi" w:hAnsiTheme="minorHAnsi"/>
          <w:sz w:val="22"/>
          <w:szCs w:val="22"/>
        </w:rPr>
        <w:t>). We selected visually twelve clusters with more than 100 earthquakes (Fig. S</w:t>
      </w:r>
      <w:r w:rsidR="003A0399">
        <w:rPr>
          <w:rFonts w:asciiTheme="minorHAnsi" w:hAnsiTheme="minorHAnsi"/>
          <w:sz w:val="22"/>
          <w:szCs w:val="22"/>
        </w:rPr>
        <w:t>64</w:t>
      </w:r>
      <w:r w:rsidRPr="00344786">
        <w:rPr>
          <w:rFonts w:asciiTheme="minorHAnsi" w:hAnsiTheme="minorHAnsi"/>
          <w:sz w:val="22"/>
          <w:szCs w:val="22"/>
        </w:rPr>
        <w:t xml:space="preserve">), to ensure that after the calculation of the magnitude of completeness there would be more than 60 earthquakes after the recognition of stationary rate periods. </w:t>
      </w:r>
    </w:p>
    <w:p w14:paraId="0F41C856" w14:textId="31D25639"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magnitudes of completeness (M</w:t>
      </w:r>
      <w:r w:rsidRPr="00344786">
        <w:rPr>
          <w:rFonts w:asciiTheme="minorHAnsi" w:hAnsiTheme="minorHAnsi"/>
          <w:sz w:val="22"/>
          <w:szCs w:val="22"/>
          <w:vertAlign w:val="subscript"/>
        </w:rPr>
        <w:t>C</w:t>
      </w:r>
      <w:r w:rsidRPr="00344786">
        <w:rPr>
          <w:rFonts w:asciiTheme="minorHAnsi" w:hAnsiTheme="minorHAnsi"/>
          <w:sz w:val="22"/>
          <w:szCs w:val="22"/>
        </w:rPr>
        <w:t xml:space="preserve">) </w:t>
      </w:r>
      <w:r w:rsidR="0049666D">
        <w:rPr>
          <w:rFonts w:asciiTheme="minorHAnsi" w:hAnsiTheme="minorHAnsi"/>
          <w:sz w:val="22"/>
          <w:szCs w:val="22"/>
        </w:rPr>
        <w:t xml:space="preserve">with the mGFT mehod </w:t>
      </w:r>
      <w:r w:rsidRPr="00344786">
        <w:rPr>
          <w:rFonts w:asciiTheme="minorHAnsi" w:hAnsiTheme="minorHAnsi"/>
          <w:sz w:val="22"/>
          <w:szCs w:val="22"/>
        </w:rPr>
        <w:t>were calculated for the twelve clusters (Fig. S</w:t>
      </w:r>
      <w:r w:rsidR="003A0399">
        <w:rPr>
          <w:rFonts w:asciiTheme="minorHAnsi" w:hAnsiTheme="minorHAnsi"/>
          <w:sz w:val="22"/>
          <w:szCs w:val="22"/>
        </w:rPr>
        <w:t>65</w:t>
      </w:r>
      <w:r w:rsidRPr="00344786">
        <w:rPr>
          <w:rFonts w:asciiTheme="minorHAnsi" w:hAnsiTheme="minorHAnsi"/>
          <w:sz w:val="22"/>
          <w:szCs w:val="22"/>
        </w:rPr>
        <w:t>; Fig. S</w:t>
      </w:r>
      <w:r w:rsidR="003A0399">
        <w:rPr>
          <w:rFonts w:asciiTheme="minorHAnsi" w:hAnsiTheme="minorHAnsi"/>
          <w:sz w:val="22"/>
          <w:szCs w:val="22"/>
        </w:rPr>
        <w:t>66</w:t>
      </w:r>
      <w:r w:rsidRPr="00344786">
        <w:rPr>
          <w:rFonts w:asciiTheme="minorHAnsi" w:hAnsiTheme="minorHAnsi"/>
          <w:sz w:val="22"/>
          <w:szCs w:val="22"/>
        </w:rPr>
        <w:t>).</w:t>
      </w:r>
      <w:r w:rsidR="0049666D">
        <w:rPr>
          <w:rFonts w:asciiTheme="minorHAnsi" w:hAnsiTheme="minorHAnsi"/>
          <w:sz w:val="22"/>
          <w:szCs w:val="22"/>
        </w:rPr>
        <w:t xml:space="preserve"> </w:t>
      </w:r>
      <w:r w:rsidR="00A20DFE">
        <w:rPr>
          <w:rFonts w:asciiTheme="minorHAnsi" w:hAnsiTheme="minorHAnsi"/>
          <w:sz w:val="22"/>
          <w:szCs w:val="22"/>
        </w:rPr>
        <w:t>The</w:t>
      </w:r>
      <w:r w:rsidR="0049666D">
        <w:rPr>
          <w:rFonts w:asciiTheme="minorHAnsi" w:hAnsiTheme="minorHAnsi"/>
          <w:sz w:val="22"/>
          <w:szCs w:val="22"/>
        </w:rPr>
        <w:t xml:space="preserve"> magnitudes of completeness were lower for clusters located more centrally (</w:t>
      </w:r>
      <w:r w:rsidR="00A20DFE">
        <w:rPr>
          <w:rFonts w:asciiTheme="minorHAnsi" w:hAnsiTheme="minorHAnsi"/>
          <w:sz w:val="22"/>
          <w:szCs w:val="22"/>
        </w:rPr>
        <w:t xml:space="preserve">Clusters 3-8) as a result of better </w:t>
      </w:r>
      <w:r w:rsidR="00E00130">
        <w:rPr>
          <w:rFonts w:asciiTheme="minorHAnsi" w:hAnsiTheme="minorHAnsi"/>
          <w:sz w:val="22"/>
          <w:szCs w:val="22"/>
        </w:rPr>
        <w:t>coverage from the seismological network</w:t>
      </w:r>
      <w:r w:rsidR="00A20DFE">
        <w:rPr>
          <w:rFonts w:asciiTheme="minorHAnsi" w:hAnsiTheme="minorHAnsi"/>
          <w:sz w:val="22"/>
          <w:szCs w:val="22"/>
        </w:rPr>
        <w:t>.</w:t>
      </w:r>
      <w:r w:rsidR="00EA5A9E">
        <w:rPr>
          <w:rFonts w:asciiTheme="minorHAnsi" w:hAnsiTheme="minorHAnsi"/>
          <w:sz w:val="22"/>
          <w:szCs w:val="22"/>
        </w:rPr>
        <w:t xml:space="preserve"> The spatial distribution of Mc for all clusters over a gridded </w:t>
      </w:r>
      <w:r w:rsidR="00A01188">
        <w:rPr>
          <w:rFonts w:asciiTheme="minorHAnsi" w:hAnsiTheme="minorHAnsi"/>
          <w:sz w:val="22"/>
          <w:szCs w:val="22"/>
        </w:rPr>
        <w:t xml:space="preserve">study area reveals that the calculated Mc considering all events is always equal or higher than the </w:t>
      </w:r>
      <w:r w:rsidR="00605D20">
        <w:rPr>
          <w:rFonts w:asciiTheme="minorHAnsi" w:hAnsiTheme="minorHAnsi"/>
          <w:sz w:val="22"/>
          <w:szCs w:val="22"/>
        </w:rPr>
        <w:t>calculated Mc for any of the grid areas</w:t>
      </w:r>
      <w:r w:rsidRPr="00344786">
        <w:rPr>
          <w:rFonts w:asciiTheme="minorHAnsi" w:hAnsiTheme="minorHAnsi"/>
          <w:sz w:val="22"/>
          <w:szCs w:val="22"/>
        </w:rPr>
        <w:t xml:space="preserve"> </w:t>
      </w:r>
      <w:r w:rsidR="00264079" w:rsidRPr="00344786">
        <w:rPr>
          <w:rFonts w:asciiTheme="minorHAnsi" w:hAnsiTheme="minorHAnsi"/>
          <w:sz w:val="22"/>
          <w:szCs w:val="22"/>
        </w:rPr>
        <w:t>(Fig. S</w:t>
      </w:r>
      <w:r w:rsidR="00264079">
        <w:rPr>
          <w:rFonts w:asciiTheme="minorHAnsi" w:hAnsiTheme="minorHAnsi"/>
          <w:sz w:val="22"/>
          <w:szCs w:val="22"/>
        </w:rPr>
        <w:t>67</w:t>
      </w:r>
      <w:r w:rsidR="00264079" w:rsidRPr="00344786">
        <w:rPr>
          <w:rFonts w:asciiTheme="minorHAnsi" w:hAnsiTheme="minorHAnsi"/>
          <w:sz w:val="22"/>
          <w:szCs w:val="22"/>
        </w:rPr>
        <w:t>; Fig. S</w:t>
      </w:r>
      <w:r w:rsidR="00264079">
        <w:rPr>
          <w:rFonts w:asciiTheme="minorHAnsi" w:hAnsiTheme="minorHAnsi"/>
          <w:sz w:val="22"/>
          <w:szCs w:val="22"/>
        </w:rPr>
        <w:t>68</w:t>
      </w:r>
      <w:r w:rsidR="00264079" w:rsidRPr="00344786">
        <w:rPr>
          <w:rFonts w:asciiTheme="minorHAnsi" w:hAnsiTheme="minorHAnsi"/>
          <w:sz w:val="22"/>
          <w:szCs w:val="22"/>
        </w:rPr>
        <w:t>).</w:t>
      </w:r>
      <w:r w:rsidR="00264079">
        <w:rPr>
          <w:rFonts w:asciiTheme="minorHAnsi" w:hAnsiTheme="minorHAnsi"/>
          <w:sz w:val="22"/>
          <w:szCs w:val="22"/>
        </w:rPr>
        <w:t xml:space="preserve"> </w:t>
      </w:r>
      <w:r w:rsidRPr="00344786">
        <w:rPr>
          <w:rFonts w:asciiTheme="minorHAnsi" w:hAnsiTheme="minorHAnsi"/>
          <w:sz w:val="22"/>
          <w:szCs w:val="22"/>
        </w:rPr>
        <w:t>The plots of the cumulative number of earthquakes with M≥M</w:t>
      </w:r>
      <w:r w:rsidRPr="00344786">
        <w:rPr>
          <w:rFonts w:asciiTheme="minorHAnsi" w:hAnsiTheme="minorHAnsi"/>
          <w:sz w:val="22"/>
          <w:szCs w:val="22"/>
          <w:vertAlign w:val="subscript"/>
        </w:rPr>
        <w:t>C</w:t>
      </w:r>
      <w:r w:rsidRPr="00344786">
        <w:rPr>
          <w:rFonts w:asciiTheme="minorHAnsi" w:hAnsiTheme="minorHAnsi"/>
          <w:sz w:val="22"/>
          <w:szCs w:val="22"/>
        </w:rPr>
        <w:t xml:space="preserve"> allowed for the identification of fifteen stationary seismicity rate periods with more than 60 earthquakes (Fig. </w:t>
      </w:r>
      <w:r w:rsidRPr="00344786">
        <w:rPr>
          <w:rFonts w:asciiTheme="minorHAnsi" w:hAnsiTheme="minorHAnsi"/>
          <w:sz w:val="22"/>
          <w:szCs w:val="22"/>
        </w:rPr>
        <w:lastRenderedPageBreak/>
        <w:t>S</w:t>
      </w:r>
      <w:r w:rsidR="00264079">
        <w:rPr>
          <w:rFonts w:asciiTheme="minorHAnsi" w:hAnsiTheme="minorHAnsi"/>
          <w:sz w:val="22"/>
          <w:szCs w:val="22"/>
        </w:rPr>
        <w:t>69</w:t>
      </w:r>
      <w:r w:rsidRPr="00344786">
        <w:rPr>
          <w:rFonts w:asciiTheme="minorHAnsi" w:hAnsiTheme="minorHAnsi"/>
          <w:sz w:val="22"/>
          <w:szCs w:val="22"/>
        </w:rPr>
        <w:t>; Fig. S</w:t>
      </w:r>
      <w:r w:rsidR="00264079">
        <w:rPr>
          <w:rFonts w:asciiTheme="minorHAnsi" w:hAnsiTheme="minorHAnsi"/>
          <w:sz w:val="22"/>
          <w:szCs w:val="22"/>
        </w:rPr>
        <w:t>70</w:t>
      </w:r>
      <w:r w:rsidRPr="00344786">
        <w:rPr>
          <w:rFonts w:asciiTheme="minorHAnsi" w:hAnsiTheme="minorHAnsi"/>
          <w:sz w:val="22"/>
          <w:szCs w:val="22"/>
        </w:rPr>
        <w:t>) in 9 of the examined clusters (Fig. S</w:t>
      </w:r>
      <w:r w:rsidR="00264079">
        <w:rPr>
          <w:rFonts w:asciiTheme="minorHAnsi" w:hAnsiTheme="minorHAnsi"/>
          <w:sz w:val="22"/>
          <w:szCs w:val="22"/>
        </w:rPr>
        <w:t>71</w:t>
      </w:r>
      <w:r w:rsidRPr="00344786">
        <w:rPr>
          <w:rFonts w:asciiTheme="minorHAnsi" w:hAnsiTheme="minorHAnsi"/>
          <w:sz w:val="22"/>
          <w:szCs w:val="22"/>
        </w:rPr>
        <w:t>). Clusters 3, 11 and 12 did not contain any stationary rate periods with more than 60 earthquakes.</w:t>
      </w:r>
    </w:p>
    <w:p w14:paraId="69AF47DB"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Anderson–Darling test of the selected stationary earthquake distribution suggest rejection of exponentiality of the PDFs for seven out of the fifteen subcatalogs. The Multimodality and Multibump tests were applied for those seven subcatalogs plus one more, P1C10, whose H</w:t>
      </w:r>
      <w:r w:rsidRPr="00344786">
        <w:rPr>
          <w:rFonts w:asciiTheme="minorHAnsi" w:hAnsiTheme="minorHAnsi"/>
          <w:sz w:val="22"/>
          <w:szCs w:val="22"/>
          <w:vertAlign w:val="subscript"/>
        </w:rPr>
        <w:t>0</w:t>
      </w:r>
      <w:r w:rsidRPr="00344786">
        <w:rPr>
          <w:rFonts w:asciiTheme="minorHAnsi" w:hAnsiTheme="minorHAnsi"/>
          <w:sz w:val="22"/>
          <w:szCs w:val="22"/>
          <w:vertAlign w:val="superscript"/>
        </w:rPr>
        <w:t>1</w:t>
      </w:r>
      <w:r w:rsidRPr="00344786">
        <w:rPr>
          <w:rFonts w:asciiTheme="minorHAnsi" w:hAnsiTheme="minorHAnsi"/>
          <w:sz w:val="22"/>
          <w:szCs w:val="22"/>
        </w:rPr>
        <w:t xml:space="preserve"> value is very close to the 0.05 threshold. Complexity of the distributions can be established with statistical significance only for subcatalog P1C9 (Table 2 – LGCD).</w:t>
      </w:r>
    </w:p>
    <w:p w14:paraId="339F6DEF" w14:textId="77777777" w:rsidR="00607D90" w:rsidRPr="0015358D" w:rsidRDefault="00607D90" w:rsidP="00E97234">
      <w:pPr>
        <w:pStyle w:val="SMText"/>
        <w:spacing w:line="360" w:lineRule="auto"/>
        <w:jc w:val="both"/>
        <w:rPr>
          <w:rFonts w:asciiTheme="minorHAnsi" w:hAnsiTheme="minorHAnsi"/>
          <w:sz w:val="22"/>
          <w:szCs w:val="22"/>
        </w:rPr>
      </w:pPr>
    </w:p>
    <w:p w14:paraId="06492DF0" w14:textId="77777777" w:rsidR="00607D90" w:rsidRPr="00344786" w:rsidRDefault="00607D90" w:rsidP="00E97234">
      <w:pPr>
        <w:pStyle w:val="Heading2"/>
        <w:keepLines/>
        <w:numPr>
          <w:ilvl w:val="1"/>
          <w:numId w:val="18"/>
        </w:numPr>
        <w:spacing w:before="40" w:after="240" w:line="360" w:lineRule="auto"/>
        <w:jc w:val="both"/>
        <w:rPr>
          <w:rFonts w:asciiTheme="minorHAnsi" w:hAnsiTheme="minorHAnsi"/>
          <w:sz w:val="22"/>
          <w:szCs w:val="22"/>
        </w:rPr>
      </w:pPr>
      <w:bookmarkStart w:id="19" w:name="_Toc162436010"/>
      <w:r w:rsidRPr="00344786">
        <w:rPr>
          <w:rFonts w:asciiTheme="minorHAnsi" w:hAnsiTheme="minorHAnsi"/>
          <w:sz w:val="22"/>
          <w:szCs w:val="22"/>
        </w:rPr>
        <w:t>Reservoir Impoundment</w:t>
      </w:r>
      <w:bookmarkEnd w:id="19"/>
    </w:p>
    <w:p w14:paraId="407407EF" w14:textId="77777777" w:rsidR="00607D90" w:rsidRPr="00344786" w:rsidRDefault="00607D90" w:rsidP="00E97234">
      <w:pPr>
        <w:pStyle w:val="SMSubheading"/>
        <w:spacing w:line="360" w:lineRule="auto"/>
        <w:jc w:val="both"/>
        <w:rPr>
          <w:rFonts w:asciiTheme="minorHAnsi" w:hAnsiTheme="minorHAnsi"/>
          <w:sz w:val="22"/>
          <w:szCs w:val="22"/>
        </w:rPr>
      </w:pPr>
    </w:p>
    <w:p w14:paraId="3E613B0F"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20" w:name="_Toc162436011"/>
      <w:r w:rsidRPr="00344786">
        <w:rPr>
          <w:rFonts w:asciiTheme="minorHAnsi" w:hAnsiTheme="minorHAnsi"/>
          <w:sz w:val="22"/>
          <w:szCs w:val="22"/>
        </w:rPr>
        <w:t>Vouglans water reservoir</w:t>
      </w:r>
      <w:bookmarkEnd w:id="20"/>
    </w:p>
    <w:p w14:paraId="3323831F" w14:textId="77777777" w:rsidR="00607D90" w:rsidRPr="00344786" w:rsidRDefault="00607D90" w:rsidP="00E97234">
      <w:pPr>
        <w:spacing w:line="360" w:lineRule="auto"/>
        <w:jc w:val="both"/>
        <w:rPr>
          <w:rFonts w:asciiTheme="minorHAnsi" w:hAnsiTheme="minorHAnsi"/>
          <w:b/>
          <w:bCs/>
          <w:sz w:val="22"/>
          <w:szCs w:val="22"/>
        </w:rPr>
      </w:pPr>
    </w:p>
    <w:p w14:paraId="7469F97A"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2094A686"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Vouglans Lake dam, located in valley of Ain River, France, was constructed in 1968 in an area of extremely low seismic activity. Shortly after the construction, a M4.6 earthquake occurred in the vicinity of the reservoir. There are three catalogs in the EPISODES platform refer to seismicity within 1L, 3L and 10L distance from the reservoir center, where L is the reservoir length (IS EPOS, 2018d).</w:t>
      </w:r>
    </w:p>
    <w:p w14:paraId="01C5170F" w14:textId="77777777" w:rsidR="00607D90" w:rsidRPr="00344786" w:rsidRDefault="00607D90" w:rsidP="00E97234">
      <w:pPr>
        <w:pStyle w:val="SMText"/>
        <w:spacing w:line="360" w:lineRule="auto"/>
        <w:jc w:val="both"/>
        <w:rPr>
          <w:rFonts w:asciiTheme="minorHAnsi" w:hAnsiTheme="minorHAnsi"/>
          <w:sz w:val="22"/>
          <w:szCs w:val="22"/>
        </w:rPr>
      </w:pPr>
    </w:p>
    <w:p w14:paraId="01124CA8"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361370F9" w14:textId="0A742056"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Reservoir triggered seismicity is mostly located the near–field distances (1–3L) rather than the 10L distances (Grasso et al., 2018). In the case of the Vouglans reservoir the 1L catalogs contains too few events (43 earthquakes) and the 3L includes seismicity caused by the complex active deformation in the western Alps (Walpersdorf et al., 2018). For this reason, we selected 167 earthquakes within a circle of about 50 km from the center of the reservoir (Table S1</w:t>
      </w:r>
      <w:r w:rsidR="001021C0">
        <w:rPr>
          <w:rFonts w:asciiTheme="minorHAnsi" w:hAnsiTheme="minorHAnsi"/>
          <w:sz w:val="22"/>
          <w:szCs w:val="22"/>
        </w:rPr>
        <w:t>5</w:t>
      </w:r>
      <w:r w:rsidRPr="00344786">
        <w:rPr>
          <w:rFonts w:asciiTheme="minorHAnsi" w:hAnsiTheme="minorHAnsi"/>
          <w:sz w:val="22"/>
          <w:szCs w:val="22"/>
        </w:rPr>
        <w:t>; Fig. S</w:t>
      </w:r>
      <w:r w:rsidR="00264079">
        <w:rPr>
          <w:rFonts w:asciiTheme="minorHAnsi" w:hAnsiTheme="minorHAnsi"/>
          <w:sz w:val="22"/>
          <w:szCs w:val="22"/>
        </w:rPr>
        <w:t>72</w:t>
      </w:r>
      <w:r w:rsidRPr="00344786">
        <w:rPr>
          <w:rFonts w:asciiTheme="minorHAnsi" w:hAnsiTheme="minorHAnsi"/>
          <w:sz w:val="22"/>
          <w:szCs w:val="22"/>
        </w:rPr>
        <w:t>)</w:t>
      </w:r>
    </w:p>
    <w:p w14:paraId="22E1C3D0" w14:textId="6345861C"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completeness magnitude of the data is M</w:t>
      </w:r>
      <w:r w:rsidRPr="00344786">
        <w:rPr>
          <w:rFonts w:asciiTheme="minorHAnsi" w:hAnsiTheme="minorHAnsi"/>
          <w:sz w:val="22"/>
          <w:szCs w:val="22"/>
          <w:vertAlign w:val="subscript"/>
        </w:rPr>
        <w:t>C</w:t>
      </w:r>
      <w:r w:rsidRPr="00344786">
        <w:rPr>
          <w:rFonts w:asciiTheme="minorHAnsi" w:hAnsiTheme="minorHAnsi"/>
          <w:sz w:val="22"/>
          <w:szCs w:val="22"/>
        </w:rPr>
        <w:t>1.8 (Fig. S</w:t>
      </w:r>
      <w:r w:rsidR="00264079">
        <w:rPr>
          <w:rFonts w:asciiTheme="minorHAnsi" w:hAnsiTheme="minorHAnsi"/>
          <w:sz w:val="22"/>
          <w:szCs w:val="22"/>
        </w:rPr>
        <w:t>73</w:t>
      </w:r>
      <w:r w:rsidRPr="00344786">
        <w:rPr>
          <w:rFonts w:asciiTheme="minorHAnsi" w:hAnsiTheme="minorHAnsi"/>
          <w:sz w:val="22"/>
          <w:szCs w:val="22"/>
        </w:rPr>
        <w:t>) as estimated by the mGFT and method.</w:t>
      </w:r>
      <w:r w:rsidR="00264079">
        <w:rPr>
          <w:rFonts w:asciiTheme="minorHAnsi" w:hAnsiTheme="minorHAnsi"/>
          <w:sz w:val="22"/>
          <w:szCs w:val="22"/>
        </w:rPr>
        <w:t xml:space="preserve"> The spatial distribution of Mc over a 2x2 grid of the area reveals that in each of the grid areas the Mc is equal or lower than the calculated Mc for the whole area (Fig. S74).</w:t>
      </w:r>
      <w:r w:rsidRPr="00344786">
        <w:rPr>
          <w:rFonts w:asciiTheme="minorHAnsi" w:hAnsiTheme="minorHAnsi"/>
          <w:sz w:val="22"/>
          <w:szCs w:val="22"/>
        </w:rPr>
        <w:t xml:space="preserve"> The cumulative earthquake distribution versus time for earthquakes with M≥1.8 suggests one stationary rate period of 112 earthquakes (Fig. S</w:t>
      </w:r>
      <w:r w:rsidR="00264079">
        <w:rPr>
          <w:rFonts w:asciiTheme="minorHAnsi" w:hAnsiTheme="minorHAnsi"/>
          <w:sz w:val="22"/>
          <w:szCs w:val="22"/>
        </w:rPr>
        <w:t>75</w:t>
      </w:r>
      <w:r w:rsidRPr="00344786">
        <w:rPr>
          <w:rFonts w:asciiTheme="minorHAnsi" w:hAnsiTheme="minorHAnsi"/>
          <w:sz w:val="22"/>
          <w:szCs w:val="22"/>
        </w:rPr>
        <w:t>), named P1C1.</w:t>
      </w:r>
    </w:p>
    <w:p w14:paraId="4A21D49C"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lastRenderedPageBreak/>
        <w:t>Through the Anderson – Darling test the null hypothesis of exponential distribution cannot be rejected for subcatalog P1C1 and as a result the Multimodality and Multibump tests are not performed (Table 3 – Vouglans).</w:t>
      </w:r>
    </w:p>
    <w:p w14:paraId="0EE63A8B" w14:textId="77777777" w:rsidR="00607D90" w:rsidRPr="00344786" w:rsidRDefault="00607D90" w:rsidP="00E97234">
      <w:pPr>
        <w:spacing w:line="360" w:lineRule="auto"/>
        <w:jc w:val="both"/>
        <w:rPr>
          <w:rFonts w:asciiTheme="minorHAnsi" w:hAnsiTheme="minorHAnsi"/>
          <w:sz w:val="22"/>
          <w:szCs w:val="22"/>
        </w:rPr>
      </w:pPr>
    </w:p>
    <w:p w14:paraId="3160A01E"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21" w:name="_Toc162436012"/>
      <w:r w:rsidRPr="00344786">
        <w:rPr>
          <w:rFonts w:asciiTheme="minorHAnsi" w:hAnsiTheme="minorHAnsi"/>
          <w:sz w:val="22"/>
          <w:szCs w:val="22"/>
        </w:rPr>
        <w:t>Val D’ Agri water reservoir</w:t>
      </w:r>
      <w:bookmarkEnd w:id="21"/>
    </w:p>
    <w:p w14:paraId="62EB6C86" w14:textId="77777777" w:rsidR="00607D90" w:rsidRPr="00344786" w:rsidRDefault="00607D90" w:rsidP="00E97234">
      <w:pPr>
        <w:pStyle w:val="SMText"/>
        <w:spacing w:line="360" w:lineRule="auto"/>
        <w:jc w:val="both"/>
        <w:rPr>
          <w:rFonts w:asciiTheme="minorHAnsi" w:hAnsiTheme="minorHAnsi"/>
          <w:sz w:val="22"/>
          <w:szCs w:val="22"/>
        </w:rPr>
      </w:pPr>
    </w:p>
    <w:p w14:paraId="7CAF3169"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68077617" w14:textId="77777777"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Val D’ Agri EPISODE contains small magnitude earthquakes related to the impoundment of the Pertusillo lake in the southern Apennines, Italy (IS EPOS, 2017g). The fault system of the basin is formed by a NW–SE striking extensional regime (Valoroso et al., 2009). The bulk of microseismicity is located in NW–striking normal faults, SW of the Pertusillo lake and is likely connected with the rapid water level changes of the lake (Valoroso et al., 2009; 2011).</w:t>
      </w:r>
    </w:p>
    <w:p w14:paraId="014A2E65" w14:textId="77777777" w:rsidR="00607D90" w:rsidRPr="00344786" w:rsidRDefault="00607D90" w:rsidP="00E97234">
      <w:pPr>
        <w:pStyle w:val="SMText"/>
        <w:spacing w:line="360" w:lineRule="auto"/>
        <w:jc w:val="both"/>
        <w:rPr>
          <w:rFonts w:asciiTheme="minorHAnsi" w:hAnsiTheme="minorHAnsi"/>
          <w:sz w:val="22"/>
          <w:szCs w:val="22"/>
        </w:rPr>
      </w:pPr>
    </w:p>
    <w:p w14:paraId="15E28A99"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Data Analysis</w:t>
      </w:r>
    </w:p>
    <w:p w14:paraId="2EEBC203" w14:textId="3679459D"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catalog contains 1620 earthquakes that cover the whole area around the Pertusillo lake with 1082 of those occurring in the faults system to the SW of the lake (Table S1</w:t>
      </w:r>
      <w:r w:rsidR="001021C0">
        <w:rPr>
          <w:rFonts w:asciiTheme="minorHAnsi" w:hAnsiTheme="minorHAnsi"/>
          <w:sz w:val="22"/>
          <w:szCs w:val="22"/>
        </w:rPr>
        <w:t>6</w:t>
      </w:r>
      <w:r w:rsidRPr="00344786">
        <w:rPr>
          <w:rFonts w:asciiTheme="minorHAnsi" w:hAnsiTheme="minorHAnsi"/>
          <w:sz w:val="22"/>
          <w:szCs w:val="22"/>
        </w:rPr>
        <w:t>). We focus on this area and ignore diffuse seismicity around the lake and smaller clusters of seismicity at the NW extension of the fault system. Water level changes of the Pertusillo lake appear to be correlated with seismic activity as unloading of the reservoir is followed by seismicity decrease, loading of the reservoir is followed by slight increase of seismic activity and high-water levels are accompanied by higher earthquake activity levels than other periods (Fig. S</w:t>
      </w:r>
      <w:r w:rsidR="00C37250">
        <w:rPr>
          <w:rFonts w:asciiTheme="minorHAnsi" w:hAnsiTheme="minorHAnsi"/>
          <w:sz w:val="22"/>
          <w:szCs w:val="22"/>
        </w:rPr>
        <w:t>76</w:t>
      </w:r>
      <w:r w:rsidRPr="00344786">
        <w:rPr>
          <w:rFonts w:asciiTheme="minorHAnsi" w:hAnsiTheme="minorHAnsi"/>
          <w:sz w:val="22"/>
          <w:szCs w:val="22"/>
        </w:rPr>
        <w:t>). The earthquakes in the selected area of study occur in an area about 3km to the SW of the lake and cover an area of about 7x4km (Fig. S</w:t>
      </w:r>
      <w:r w:rsidR="00C37250">
        <w:rPr>
          <w:rFonts w:asciiTheme="minorHAnsi" w:hAnsiTheme="minorHAnsi"/>
          <w:sz w:val="22"/>
          <w:szCs w:val="22"/>
        </w:rPr>
        <w:t>77</w:t>
      </w:r>
      <w:r w:rsidRPr="00344786">
        <w:rPr>
          <w:rFonts w:asciiTheme="minorHAnsi" w:hAnsiTheme="minorHAnsi"/>
          <w:sz w:val="22"/>
          <w:szCs w:val="22"/>
        </w:rPr>
        <w:t>).</w:t>
      </w:r>
    </w:p>
    <w:p w14:paraId="257EB56F" w14:textId="710BF578"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magnitude of completeness for the selected cluster of 1082 earthquakes is M</w:t>
      </w:r>
      <w:r w:rsidRPr="00344786">
        <w:rPr>
          <w:rFonts w:asciiTheme="minorHAnsi" w:hAnsiTheme="minorHAnsi"/>
          <w:sz w:val="22"/>
          <w:szCs w:val="22"/>
          <w:vertAlign w:val="subscript"/>
        </w:rPr>
        <w:t>C</w:t>
      </w:r>
      <w:r w:rsidRPr="00344786">
        <w:rPr>
          <w:rFonts w:asciiTheme="minorHAnsi" w:hAnsiTheme="minorHAnsi"/>
          <w:sz w:val="22"/>
          <w:szCs w:val="22"/>
        </w:rPr>
        <w:t>0.2 (Fig. S</w:t>
      </w:r>
      <w:r w:rsidR="00C37250">
        <w:rPr>
          <w:rFonts w:asciiTheme="minorHAnsi" w:hAnsiTheme="minorHAnsi"/>
          <w:sz w:val="22"/>
          <w:szCs w:val="22"/>
        </w:rPr>
        <w:t>78</w:t>
      </w:r>
      <w:r w:rsidRPr="00344786">
        <w:rPr>
          <w:rFonts w:asciiTheme="minorHAnsi" w:hAnsiTheme="minorHAnsi"/>
          <w:sz w:val="22"/>
          <w:szCs w:val="22"/>
        </w:rPr>
        <w:t>)</w:t>
      </w:r>
      <w:r w:rsidR="005C46BF" w:rsidRPr="005C46BF">
        <w:rPr>
          <w:rFonts w:asciiTheme="minorHAnsi" w:hAnsiTheme="minorHAnsi"/>
          <w:sz w:val="22"/>
          <w:szCs w:val="22"/>
        </w:rPr>
        <w:t xml:space="preserve">. </w:t>
      </w:r>
      <w:r w:rsidR="00C37250">
        <w:rPr>
          <w:rFonts w:asciiTheme="minorHAnsi" w:hAnsiTheme="minorHAnsi"/>
          <w:sz w:val="22"/>
          <w:szCs w:val="22"/>
        </w:rPr>
        <w:t>The distribution of Mc in space</w:t>
      </w:r>
      <w:r w:rsidR="00D2507B">
        <w:rPr>
          <w:rFonts w:asciiTheme="minorHAnsi" w:hAnsiTheme="minorHAnsi"/>
          <w:sz w:val="22"/>
          <w:szCs w:val="22"/>
        </w:rPr>
        <w:t xml:space="preserve"> for a 5x5 grid of the study area is always lower or equal to the calculated Mc for the whole area (Fig. S79). </w:t>
      </w:r>
      <w:r w:rsidRPr="00344786">
        <w:rPr>
          <w:rFonts w:asciiTheme="minorHAnsi" w:hAnsiTheme="minorHAnsi"/>
          <w:sz w:val="22"/>
          <w:szCs w:val="22"/>
        </w:rPr>
        <w:t>This left 743 earthquakes with M≥0.2 to be plotted in the cumulative earthquake vs time plot (Fig. S</w:t>
      </w:r>
      <w:r w:rsidR="000C19ED">
        <w:rPr>
          <w:rFonts w:asciiTheme="minorHAnsi" w:hAnsiTheme="minorHAnsi"/>
          <w:sz w:val="22"/>
          <w:szCs w:val="22"/>
        </w:rPr>
        <w:t>80</w:t>
      </w:r>
      <w:r w:rsidRPr="00344786">
        <w:rPr>
          <w:rFonts w:asciiTheme="minorHAnsi" w:hAnsiTheme="minorHAnsi"/>
          <w:sz w:val="22"/>
          <w:szCs w:val="22"/>
        </w:rPr>
        <w:t>) which allowed for the identification of four stationary rate periods that were used to form four subcatalogs, P1C1 (red area), P2C1 (green area), P3C1 (yellow area) and P4C1 (blue area). The same colors are used in Fig. S</w:t>
      </w:r>
      <w:r w:rsidR="000C19ED">
        <w:rPr>
          <w:rFonts w:asciiTheme="minorHAnsi" w:hAnsiTheme="minorHAnsi"/>
          <w:sz w:val="22"/>
          <w:szCs w:val="22"/>
        </w:rPr>
        <w:t>77</w:t>
      </w:r>
      <w:r w:rsidRPr="00344786">
        <w:rPr>
          <w:rFonts w:asciiTheme="minorHAnsi" w:hAnsiTheme="minorHAnsi"/>
          <w:sz w:val="22"/>
          <w:szCs w:val="22"/>
        </w:rPr>
        <w:t xml:space="preserve"> to identify the epicentral distribution of these subcatalogs.</w:t>
      </w:r>
    </w:p>
    <w:p w14:paraId="09033856" w14:textId="54BE1419" w:rsidR="00607D90" w:rsidRPr="00344786" w:rsidRDefault="00607D90"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Anderson – Darling test for the selected stationary earthquake rate periods show that only for subcatalog P1C1 the PDF can be considered not to be exponential (Table 3 – Val d</w:t>
      </w:r>
      <w:r w:rsidR="00EF799E" w:rsidRPr="00EF799E">
        <w:rPr>
          <w:rFonts w:asciiTheme="minorHAnsi" w:hAnsiTheme="minorHAnsi"/>
          <w:sz w:val="22"/>
          <w:szCs w:val="22"/>
        </w:rPr>
        <w:t xml:space="preserve">’ </w:t>
      </w:r>
      <w:r w:rsidRPr="00344786">
        <w:rPr>
          <w:rFonts w:asciiTheme="minorHAnsi" w:hAnsiTheme="minorHAnsi"/>
          <w:sz w:val="22"/>
          <w:szCs w:val="22"/>
        </w:rPr>
        <w:t xml:space="preserve">Agri). </w:t>
      </w:r>
      <w:r w:rsidRPr="00344786">
        <w:rPr>
          <w:rFonts w:asciiTheme="minorHAnsi" w:hAnsiTheme="minorHAnsi"/>
          <w:sz w:val="22"/>
          <w:szCs w:val="22"/>
        </w:rPr>
        <w:lastRenderedPageBreak/>
        <w:t>Furthermore, the Multimodality and Multibump tests for subcatalog P1C1 do not support the hypothesis of a complex distribution by multiple modes or bumps.</w:t>
      </w:r>
    </w:p>
    <w:p w14:paraId="5B94DE45" w14:textId="77777777" w:rsidR="00607D90" w:rsidRPr="00344786" w:rsidRDefault="00607D90" w:rsidP="00E97234">
      <w:pPr>
        <w:spacing w:line="360" w:lineRule="auto"/>
        <w:jc w:val="both"/>
        <w:rPr>
          <w:rFonts w:asciiTheme="minorHAnsi" w:hAnsiTheme="minorHAnsi"/>
          <w:sz w:val="22"/>
          <w:szCs w:val="22"/>
        </w:rPr>
      </w:pPr>
    </w:p>
    <w:p w14:paraId="791FE6E6" w14:textId="77777777" w:rsidR="00607D90" w:rsidRPr="00344786" w:rsidRDefault="00607D90" w:rsidP="00E97234">
      <w:pPr>
        <w:pStyle w:val="Heading3"/>
        <w:keepLines/>
        <w:numPr>
          <w:ilvl w:val="2"/>
          <w:numId w:val="18"/>
        </w:numPr>
        <w:spacing w:before="40" w:line="360" w:lineRule="auto"/>
        <w:jc w:val="both"/>
        <w:rPr>
          <w:rFonts w:asciiTheme="minorHAnsi" w:hAnsiTheme="minorHAnsi"/>
          <w:sz w:val="22"/>
          <w:szCs w:val="22"/>
        </w:rPr>
      </w:pPr>
      <w:bookmarkStart w:id="22" w:name="_Toc162436013"/>
      <w:r w:rsidRPr="00344786">
        <w:rPr>
          <w:rFonts w:asciiTheme="minorHAnsi" w:hAnsiTheme="minorHAnsi"/>
          <w:sz w:val="22"/>
          <w:szCs w:val="22"/>
        </w:rPr>
        <w:t>Song Tranh 2 deep water reservoir</w:t>
      </w:r>
      <w:bookmarkEnd w:id="22"/>
    </w:p>
    <w:p w14:paraId="57EA0861" w14:textId="77777777" w:rsidR="00607D90" w:rsidRPr="00344786" w:rsidRDefault="00607D90" w:rsidP="00E97234">
      <w:pPr>
        <w:spacing w:line="360" w:lineRule="auto"/>
        <w:jc w:val="both"/>
        <w:rPr>
          <w:rFonts w:asciiTheme="minorHAnsi" w:hAnsiTheme="minorHAnsi"/>
          <w:b/>
          <w:bCs/>
          <w:sz w:val="22"/>
          <w:szCs w:val="22"/>
        </w:rPr>
      </w:pPr>
    </w:p>
    <w:p w14:paraId="485050C6" w14:textId="77777777" w:rsidR="00607D90" w:rsidRPr="00344786" w:rsidRDefault="00607D90"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4C37861C" w14:textId="77777777" w:rsidR="00607D90" w:rsidRPr="00344786" w:rsidRDefault="00607D90" w:rsidP="00E97234">
      <w:pPr>
        <w:pStyle w:val="SMText"/>
        <w:spacing w:line="360" w:lineRule="auto"/>
        <w:jc w:val="both"/>
        <w:rPr>
          <w:rFonts w:asciiTheme="minorHAnsi" w:eastAsia="Calibri" w:hAnsiTheme="minorHAnsi" w:cs="Calibri"/>
          <w:color w:val="000000" w:themeColor="text1"/>
          <w:sz w:val="22"/>
          <w:szCs w:val="22"/>
        </w:rPr>
      </w:pPr>
      <w:r w:rsidRPr="00344786">
        <w:rPr>
          <w:rFonts w:asciiTheme="minorHAnsi" w:eastAsia="Calibri" w:hAnsiTheme="minorHAnsi" w:cs="Calibri"/>
          <w:color w:val="000000" w:themeColor="text1"/>
          <w:sz w:val="22"/>
          <w:szCs w:val="22"/>
        </w:rPr>
        <w:t>This episode concerns the seismicity caused by the impoundment of the Song Tranh 2 reservoir in central Vietnam (IS EPOS, 2017h). Seismic activity started very soon after the reservoir impoundment (Gahalaut et al., 2016) and is more productive in the immediate vicinity of the reservoir. The investigation of seismicity properties between 2013 and 2015 (Lizurek et al., 2017) illustrated the different properties of the northern and southern parts of the area by examination of fault plane solutions. Five seismicity clusters were recognized and incorporated in this study</w:t>
      </w:r>
      <w:r w:rsidRPr="00344786">
        <w:rPr>
          <w:rFonts w:asciiTheme="minorHAnsi" w:eastAsia="Calibri" w:hAnsiTheme="minorHAnsi" w:cs="Calibri"/>
          <w:color w:val="000000" w:themeColor="text1"/>
          <w:sz w:val="22"/>
          <w:szCs w:val="22"/>
          <w:vertAlign w:val="superscript"/>
        </w:rPr>
        <w:t xml:space="preserve"> </w:t>
      </w:r>
      <w:r w:rsidRPr="00344786">
        <w:rPr>
          <w:rFonts w:asciiTheme="minorHAnsi" w:eastAsia="Calibri" w:hAnsiTheme="minorHAnsi" w:cs="Calibri"/>
          <w:color w:val="000000" w:themeColor="text1"/>
          <w:sz w:val="22"/>
          <w:szCs w:val="22"/>
        </w:rPr>
        <w:t>(Lizurek et al., 2017).</w:t>
      </w:r>
    </w:p>
    <w:p w14:paraId="0920B345" w14:textId="77777777" w:rsidR="00607D90" w:rsidRPr="00344786" w:rsidRDefault="00607D90" w:rsidP="00E97234">
      <w:pPr>
        <w:pStyle w:val="SMText"/>
        <w:spacing w:line="360" w:lineRule="auto"/>
        <w:jc w:val="both"/>
        <w:rPr>
          <w:rFonts w:asciiTheme="minorHAnsi" w:eastAsia="Calibri" w:hAnsiTheme="minorHAnsi" w:cs="Calibri"/>
          <w:color w:val="000000" w:themeColor="text1"/>
          <w:sz w:val="22"/>
          <w:szCs w:val="22"/>
        </w:rPr>
      </w:pPr>
    </w:p>
    <w:p w14:paraId="468A2267" w14:textId="77777777" w:rsidR="00607D90" w:rsidRPr="00344786" w:rsidRDefault="00607D90" w:rsidP="00E97234">
      <w:pPr>
        <w:pStyle w:val="SMSubheading"/>
        <w:spacing w:line="360" w:lineRule="auto"/>
        <w:jc w:val="both"/>
        <w:rPr>
          <w:rFonts w:asciiTheme="minorHAnsi" w:eastAsia="Calibri" w:hAnsiTheme="minorHAnsi"/>
          <w:sz w:val="22"/>
          <w:szCs w:val="22"/>
        </w:rPr>
      </w:pPr>
      <w:r w:rsidRPr="00344786">
        <w:rPr>
          <w:rFonts w:asciiTheme="minorHAnsi" w:eastAsia="Calibri" w:hAnsiTheme="minorHAnsi"/>
          <w:sz w:val="22"/>
          <w:szCs w:val="22"/>
        </w:rPr>
        <w:t>Data Analysis</w:t>
      </w:r>
    </w:p>
    <w:p w14:paraId="3C569612" w14:textId="76794D60" w:rsidR="00607D90" w:rsidRPr="00344786" w:rsidRDefault="00607D90" w:rsidP="00E97234">
      <w:pPr>
        <w:pStyle w:val="SMText"/>
        <w:spacing w:line="360" w:lineRule="auto"/>
        <w:jc w:val="both"/>
        <w:rPr>
          <w:rFonts w:asciiTheme="minorHAnsi" w:eastAsia="Calibri" w:hAnsiTheme="minorHAnsi" w:cs="Calibri"/>
          <w:color w:val="000000" w:themeColor="text1"/>
          <w:sz w:val="22"/>
          <w:szCs w:val="22"/>
        </w:rPr>
      </w:pPr>
      <w:r w:rsidRPr="00344786">
        <w:rPr>
          <w:rFonts w:asciiTheme="minorHAnsi" w:eastAsia="Calibri" w:hAnsiTheme="minorHAnsi" w:cs="Calibri"/>
          <w:color w:val="000000" w:themeColor="text1"/>
          <w:sz w:val="22"/>
          <w:szCs w:val="22"/>
        </w:rPr>
        <w:t>The catalog covers the period between August 2013 until June 2017 and the seismic network is stable for this period with only some changes in sensors of seismic stations occurring in 2014 and 2015 (Table S</w:t>
      </w:r>
      <w:r w:rsidR="00E3618A" w:rsidRPr="00344786">
        <w:rPr>
          <w:rFonts w:asciiTheme="minorHAnsi" w:eastAsia="Calibri" w:hAnsiTheme="minorHAnsi" w:cs="Calibri"/>
          <w:color w:val="000000" w:themeColor="text1"/>
          <w:sz w:val="22"/>
          <w:szCs w:val="22"/>
        </w:rPr>
        <w:t>1</w:t>
      </w:r>
      <w:r w:rsidR="00483262">
        <w:rPr>
          <w:rFonts w:asciiTheme="minorHAnsi" w:eastAsia="Calibri" w:hAnsiTheme="minorHAnsi" w:cs="Calibri"/>
          <w:color w:val="000000" w:themeColor="text1"/>
          <w:sz w:val="22"/>
          <w:szCs w:val="22"/>
        </w:rPr>
        <w:t>7</w:t>
      </w:r>
      <w:r w:rsidRPr="00344786">
        <w:rPr>
          <w:rFonts w:asciiTheme="minorHAnsi" w:eastAsia="Calibri" w:hAnsiTheme="minorHAnsi" w:cs="Calibri"/>
          <w:color w:val="000000" w:themeColor="text1"/>
          <w:sz w:val="22"/>
          <w:szCs w:val="22"/>
        </w:rPr>
        <w:t>). The evolution of seismicity with water levels was examined separately for the north and south parts of the area (Fig. S</w:t>
      </w:r>
      <w:r w:rsidR="00B6109B">
        <w:rPr>
          <w:rFonts w:asciiTheme="minorHAnsi" w:eastAsia="Calibri" w:hAnsiTheme="minorHAnsi" w:cs="Calibri"/>
          <w:color w:val="000000" w:themeColor="text1"/>
          <w:sz w:val="22"/>
          <w:szCs w:val="22"/>
        </w:rPr>
        <w:t>81</w:t>
      </w:r>
      <w:r w:rsidRPr="00344786">
        <w:rPr>
          <w:rFonts w:asciiTheme="minorHAnsi" w:eastAsia="Calibri" w:hAnsiTheme="minorHAnsi" w:cs="Calibri"/>
          <w:color w:val="000000" w:themeColor="text1"/>
          <w:sz w:val="22"/>
          <w:szCs w:val="22"/>
        </w:rPr>
        <w:t>). In the north area the most intense seismic activity occurred during periods of water level unloading in 2014 and during water level maximum in early 2015 (Fig. S</w:t>
      </w:r>
      <w:r w:rsidR="00B6109B">
        <w:rPr>
          <w:rFonts w:asciiTheme="minorHAnsi" w:eastAsia="Calibri" w:hAnsiTheme="minorHAnsi" w:cs="Calibri"/>
          <w:color w:val="000000" w:themeColor="text1"/>
          <w:sz w:val="22"/>
          <w:szCs w:val="22"/>
        </w:rPr>
        <w:t>81</w:t>
      </w:r>
      <w:r w:rsidRPr="00344786">
        <w:rPr>
          <w:rFonts w:asciiTheme="minorHAnsi" w:eastAsia="Calibri" w:hAnsiTheme="minorHAnsi" w:cs="Calibri"/>
          <w:color w:val="000000" w:themeColor="text1"/>
          <w:sz w:val="22"/>
          <w:szCs w:val="22"/>
        </w:rPr>
        <w:t>a). In the south area the overall level of background seismicity is lower with some seismic excitations occurring during peak water level periods and one very energetic activity in August 2014 during a low water level period (Fig. S</w:t>
      </w:r>
      <w:r w:rsidR="00B6109B">
        <w:rPr>
          <w:rFonts w:asciiTheme="minorHAnsi" w:eastAsia="Calibri" w:hAnsiTheme="minorHAnsi" w:cs="Calibri"/>
          <w:color w:val="000000" w:themeColor="text1"/>
          <w:sz w:val="22"/>
          <w:szCs w:val="22"/>
        </w:rPr>
        <w:t>81</w:t>
      </w:r>
      <w:r w:rsidRPr="00344786">
        <w:rPr>
          <w:rFonts w:asciiTheme="minorHAnsi" w:eastAsia="Calibri" w:hAnsiTheme="minorHAnsi" w:cs="Calibri"/>
          <w:color w:val="000000" w:themeColor="text1"/>
          <w:sz w:val="22"/>
          <w:szCs w:val="22"/>
        </w:rPr>
        <w:t xml:space="preserve">b). </w:t>
      </w:r>
    </w:p>
    <w:p w14:paraId="60C80368" w14:textId="52539855" w:rsidR="00607D90" w:rsidRPr="00344786" w:rsidRDefault="00607D90" w:rsidP="00E97234">
      <w:pPr>
        <w:pStyle w:val="SMText"/>
        <w:spacing w:line="360" w:lineRule="auto"/>
        <w:jc w:val="both"/>
        <w:rPr>
          <w:rFonts w:asciiTheme="minorHAnsi" w:eastAsia="Calibri" w:hAnsiTheme="minorHAnsi" w:cs="Calibri"/>
          <w:color w:val="000000" w:themeColor="text1"/>
          <w:sz w:val="22"/>
          <w:szCs w:val="22"/>
        </w:rPr>
      </w:pPr>
      <w:r w:rsidRPr="00344786">
        <w:rPr>
          <w:rFonts w:asciiTheme="minorHAnsi" w:eastAsia="Calibri" w:hAnsiTheme="minorHAnsi" w:cs="Calibri"/>
          <w:color w:val="000000" w:themeColor="text1"/>
          <w:sz w:val="22"/>
          <w:szCs w:val="22"/>
        </w:rPr>
        <w:t>We adopted the seismicity clusters A–E (Lizurek et al., 2017)</w:t>
      </w:r>
      <w:r w:rsidRPr="00344786">
        <w:rPr>
          <w:rFonts w:asciiTheme="minorHAnsi" w:eastAsia="Calibri" w:hAnsiTheme="minorHAnsi" w:cs="Calibri"/>
          <w:color w:val="000000" w:themeColor="text1"/>
          <w:sz w:val="22"/>
          <w:szCs w:val="22"/>
          <w:vertAlign w:val="superscript"/>
        </w:rPr>
        <w:t xml:space="preserve"> </w:t>
      </w:r>
      <w:r w:rsidRPr="00344786">
        <w:rPr>
          <w:rFonts w:asciiTheme="minorHAnsi" w:eastAsia="Calibri" w:hAnsiTheme="minorHAnsi" w:cs="Calibri"/>
          <w:color w:val="000000" w:themeColor="text1"/>
          <w:sz w:val="22"/>
          <w:szCs w:val="22"/>
        </w:rPr>
        <w:t xml:space="preserve"> with clusters A and E in the north part and clusters B, C and D in the south part of the area. Additionally, we added cluster F in the south part of the area (Fig. S</w:t>
      </w:r>
      <w:r w:rsidR="00B6109B">
        <w:rPr>
          <w:rFonts w:asciiTheme="minorHAnsi" w:eastAsia="Calibri" w:hAnsiTheme="minorHAnsi" w:cs="Calibri"/>
          <w:color w:val="000000" w:themeColor="text1"/>
          <w:sz w:val="22"/>
          <w:szCs w:val="22"/>
        </w:rPr>
        <w:t>82</w:t>
      </w:r>
      <w:r w:rsidRPr="00344786">
        <w:rPr>
          <w:rFonts w:asciiTheme="minorHAnsi" w:eastAsia="Calibri" w:hAnsiTheme="minorHAnsi" w:cs="Calibri"/>
          <w:color w:val="000000" w:themeColor="text1"/>
          <w:sz w:val="22"/>
          <w:szCs w:val="22"/>
        </w:rPr>
        <w:t>a). Finally, we selected two smaller clusters A1 and A2 from cluster A to as two subclusters of increased seismicity with subcluster A2 being closer to the reservoir shoreline and Cluster A1 slightly further (Orlecka-Sikora et al., 2023). Cluster E of the north area contains only 77 earthquakes and was not included in further study due to the low number of events.</w:t>
      </w:r>
    </w:p>
    <w:p w14:paraId="7437A8EF" w14:textId="15400140" w:rsidR="00607D90" w:rsidRPr="00344786" w:rsidRDefault="0050249F" w:rsidP="00E97234">
      <w:pPr>
        <w:pStyle w:val="SMText"/>
        <w:spacing w:line="360" w:lineRule="auto"/>
        <w:jc w:val="both"/>
        <w:rPr>
          <w:rFonts w:asciiTheme="minorHAnsi" w:eastAsia="Calibri" w:hAnsiTheme="minorHAnsi" w:cs="Calibri"/>
          <w:sz w:val="22"/>
          <w:szCs w:val="22"/>
        </w:rPr>
      </w:pPr>
      <w:r>
        <w:rPr>
          <w:rFonts w:asciiTheme="minorHAnsi" w:eastAsia="Calibri" w:hAnsiTheme="minorHAnsi" w:cs="Calibri"/>
          <w:sz w:val="22"/>
          <w:szCs w:val="22"/>
        </w:rPr>
        <w:t>F</w:t>
      </w:r>
      <w:r w:rsidR="00607D90" w:rsidRPr="00344786">
        <w:rPr>
          <w:rFonts w:asciiTheme="minorHAnsi" w:eastAsia="Calibri" w:hAnsiTheme="minorHAnsi" w:cs="Calibri"/>
          <w:sz w:val="22"/>
          <w:szCs w:val="22"/>
        </w:rPr>
        <w:t xml:space="preserve">or subcluster A1 the calculation of the </w:t>
      </w:r>
      <w:r w:rsidR="00B32ADB">
        <w:rPr>
          <w:rFonts w:asciiTheme="minorHAnsi" w:eastAsia="Calibri" w:hAnsiTheme="minorHAnsi" w:cs="Calibri"/>
          <w:sz w:val="22"/>
          <w:szCs w:val="22"/>
        </w:rPr>
        <w:t xml:space="preserve">completeness calculated by the </w:t>
      </w:r>
      <w:r w:rsidR="00607D90" w:rsidRPr="00344786">
        <w:rPr>
          <w:rFonts w:asciiTheme="minorHAnsi" w:eastAsia="Calibri" w:hAnsiTheme="minorHAnsi" w:cs="Calibri"/>
          <w:sz w:val="22"/>
          <w:szCs w:val="22"/>
        </w:rPr>
        <w:t xml:space="preserve">mGFT method </w:t>
      </w:r>
      <w:r w:rsidR="00B32ADB">
        <w:rPr>
          <w:rFonts w:asciiTheme="minorHAnsi" w:eastAsia="Calibri" w:hAnsiTheme="minorHAnsi" w:cs="Calibri"/>
          <w:sz w:val="22"/>
          <w:szCs w:val="22"/>
        </w:rPr>
        <w:t>is</w:t>
      </w:r>
      <w:r w:rsidR="00607D90" w:rsidRPr="00344786">
        <w:rPr>
          <w:rFonts w:asciiTheme="minorHAnsi" w:eastAsia="Calibri" w:hAnsiTheme="minorHAnsi" w:cs="Calibri"/>
          <w:sz w:val="22"/>
          <w:szCs w:val="22"/>
        </w:rPr>
        <w:t xml:space="preserve"> 0.</w:t>
      </w:r>
      <w:r w:rsidR="00B32ADB">
        <w:rPr>
          <w:rFonts w:asciiTheme="minorHAnsi" w:eastAsia="Calibri" w:hAnsiTheme="minorHAnsi" w:cs="Calibri"/>
          <w:sz w:val="22"/>
          <w:szCs w:val="22"/>
        </w:rPr>
        <w:t>9</w:t>
      </w:r>
      <w:r w:rsidR="00607D90" w:rsidRPr="00344786">
        <w:rPr>
          <w:rFonts w:asciiTheme="minorHAnsi" w:eastAsia="Calibri" w:hAnsiTheme="minorHAnsi" w:cs="Calibri"/>
          <w:sz w:val="22"/>
          <w:szCs w:val="22"/>
        </w:rPr>
        <w:t xml:space="preserve">, </w:t>
      </w:r>
      <w:r w:rsidR="00B32ADB">
        <w:rPr>
          <w:rFonts w:asciiTheme="minorHAnsi" w:eastAsia="Calibri" w:hAnsiTheme="minorHAnsi" w:cs="Calibri"/>
          <w:sz w:val="22"/>
          <w:szCs w:val="22"/>
        </w:rPr>
        <w:t>and f</w:t>
      </w:r>
      <w:r w:rsidR="00607D90" w:rsidRPr="00344786">
        <w:rPr>
          <w:rFonts w:asciiTheme="minorHAnsi" w:eastAsia="Calibri" w:hAnsiTheme="minorHAnsi" w:cs="Calibri"/>
          <w:sz w:val="22"/>
          <w:szCs w:val="22"/>
        </w:rPr>
        <w:t xml:space="preserve">or cluster A2 </w:t>
      </w:r>
      <w:r w:rsidR="0026280B">
        <w:rPr>
          <w:rFonts w:asciiTheme="minorHAnsi" w:eastAsia="Calibri" w:hAnsiTheme="minorHAnsi" w:cs="Calibri"/>
          <w:sz w:val="22"/>
          <w:szCs w:val="22"/>
        </w:rPr>
        <w:t xml:space="preserve">it is 1.0 </w:t>
      </w:r>
      <w:r w:rsidR="00607D90" w:rsidRPr="00344786">
        <w:rPr>
          <w:rFonts w:asciiTheme="minorHAnsi" w:eastAsia="Calibri" w:hAnsiTheme="minorHAnsi" w:cs="Calibri"/>
          <w:sz w:val="22"/>
          <w:szCs w:val="22"/>
        </w:rPr>
        <w:t>(Fig. S</w:t>
      </w:r>
      <w:r w:rsidR="00B6109B">
        <w:rPr>
          <w:rFonts w:asciiTheme="minorHAnsi" w:eastAsia="Calibri" w:hAnsiTheme="minorHAnsi" w:cs="Calibri"/>
          <w:color w:val="000000" w:themeColor="text1"/>
          <w:sz w:val="22"/>
          <w:szCs w:val="22"/>
        </w:rPr>
        <w:t>83</w:t>
      </w:r>
      <w:r w:rsidR="00607D90" w:rsidRPr="00344786">
        <w:rPr>
          <w:rFonts w:asciiTheme="minorHAnsi" w:eastAsia="Calibri" w:hAnsiTheme="minorHAnsi" w:cs="Calibri"/>
          <w:sz w:val="22"/>
          <w:szCs w:val="22"/>
        </w:rPr>
        <w:t xml:space="preserve">). Regarding the clusters of the south part of the region, we </w:t>
      </w:r>
      <w:r w:rsidR="00F826D0">
        <w:rPr>
          <w:rFonts w:asciiTheme="minorHAnsi" w:eastAsia="Calibri" w:hAnsiTheme="minorHAnsi" w:cs="Calibri"/>
          <w:sz w:val="22"/>
          <w:szCs w:val="22"/>
        </w:rPr>
        <w:lastRenderedPageBreak/>
        <w:t>calculated</w:t>
      </w:r>
      <w:r w:rsidR="00607D90" w:rsidRPr="00344786">
        <w:rPr>
          <w:rFonts w:asciiTheme="minorHAnsi" w:eastAsia="Calibri" w:hAnsiTheme="minorHAnsi" w:cs="Calibri"/>
          <w:sz w:val="22"/>
          <w:szCs w:val="22"/>
        </w:rPr>
        <w:t xml:space="preserve"> M</w:t>
      </w:r>
      <w:r w:rsidR="00607D90" w:rsidRPr="00344786">
        <w:rPr>
          <w:rFonts w:asciiTheme="minorHAnsi" w:eastAsia="Calibri" w:hAnsiTheme="minorHAnsi" w:cs="Calibri"/>
          <w:sz w:val="22"/>
          <w:szCs w:val="22"/>
          <w:vertAlign w:val="subscript"/>
        </w:rPr>
        <w:t>C</w:t>
      </w:r>
      <w:r w:rsidR="00607D90" w:rsidRPr="00344786">
        <w:rPr>
          <w:rFonts w:asciiTheme="minorHAnsi" w:eastAsia="Calibri" w:hAnsiTheme="minorHAnsi" w:cs="Calibri"/>
          <w:sz w:val="22"/>
          <w:szCs w:val="22"/>
        </w:rPr>
        <w:t>=0.8 for cluster B and C, M</w:t>
      </w:r>
      <w:r w:rsidR="00607D90" w:rsidRPr="00344786">
        <w:rPr>
          <w:rFonts w:asciiTheme="minorHAnsi" w:eastAsia="Calibri" w:hAnsiTheme="minorHAnsi" w:cs="Calibri"/>
          <w:sz w:val="22"/>
          <w:szCs w:val="22"/>
          <w:vertAlign w:val="subscript"/>
        </w:rPr>
        <w:t>C</w:t>
      </w:r>
      <w:r w:rsidR="00607D90" w:rsidRPr="00344786">
        <w:rPr>
          <w:rFonts w:asciiTheme="minorHAnsi" w:eastAsia="Calibri" w:hAnsiTheme="minorHAnsi" w:cs="Calibri"/>
          <w:sz w:val="22"/>
          <w:szCs w:val="22"/>
        </w:rPr>
        <w:t>=1.0 for cluster D and M</w:t>
      </w:r>
      <w:r w:rsidR="00607D90" w:rsidRPr="00344786">
        <w:rPr>
          <w:rFonts w:asciiTheme="minorHAnsi" w:eastAsia="Calibri" w:hAnsiTheme="minorHAnsi" w:cs="Calibri"/>
          <w:sz w:val="22"/>
          <w:szCs w:val="22"/>
          <w:vertAlign w:val="subscript"/>
        </w:rPr>
        <w:t>C</w:t>
      </w:r>
      <w:r w:rsidR="00607D90" w:rsidRPr="00344786">
        <w:rPr>
          <w:rFonts w:asciiTheme="minorHAnsi" w:eastAsia="Calibri" w:hAnsiTheme="minorHAnsi" w:cs="Calibri"/>
          <w:sz w:val="22"/>
          <w:szCs w:val="22"/>
        </w:rPr>
        <w:t>=0.7 for cluster F (Fig. S</w:t>
      </w:r>
      <w:r w:rsidR="00B6109B">
        <w:rPr>
          <w:rFonts w:asciiTheme="minorHAnsi" w:eastAsia="Calibri" w:hAnsiTheme="minorHAnsi" w:cs="Calibri"/>
          <w:color w:val="000000" w:themeColor="text1"/>
          <w:sz w:val="22"/>
          <w:szCs w:val="22"/>
        </w:rPr>
        <w:t>84</w:t>
      </w:r>
      <w:r w:rsidR="00607D90" w:rsidRPr="00344786">
        <w:rPr>
          <w:rFonts w:asciiTheme="minorHAnsi" w:eastAsia="Calibri" w:hAnsiTheme="minorHAnsi" w:cs="Calibri"/>
          <w:sz w:val="22"/>
          <w:szCs w:val="22"/>
        </w:rPr>
        <w:t xml:space="preserve">). </w:t>
      </w:r>
      <w:r w:rsidR="004412C2">
        <w:rPr>
          <w:rFonts w:asciiTheme="minorHAnsi" w:eastAsia="Calibri" w:hAnsiTheme="minorHAnsi" w:cs="Calibri"/>
          <w:sz w:val="22"/>
          <w:szCs w:val="22"/>
        </w:rPr>
        <w:t xml:space="preserve">We created a 2x2 or 3x3 grid </w:t>
      </w:r>
      <w:r w:rsidR="0062236E">
        <w:rPr>
          <w:rFonts w:asciiTheme="minorHAnsi" w:eastAsia="Calibri" w:hAnsiTheme="minorHAnsi" w:cs="Calibri"/>
          <w:sz w:val="22"/>
          <w:szCs w:val="22"/>
        </w:rPr>
        <w:t xml:space="preserve">for the areas around the examined clusters and examined the Mc spatial distribution. It is established in for all clusters that the overall calculated Mc is higher than the Mc in each gridded area (Fig. S85). </w:t>
      </w:r>
      <w:r w:rsidR="00607D90" w:rsidRPr="00344786">
        <w:rPr>
          <w:rFonts w:asciiTheme="minorHAnsi" w:eastAsia="Calibri" w:hAnsiTheme="minorHAnsi" w:cs="Calibri"/>
          <w:sz w:val="22"/>
          <w:szCs w:val="22"/>
        </w:rPr>
        <w:t>The cumulative plots for earthquakes with M≥M</w:t>
      </w:r>
      <w:r w:rsidR="00607D90" w:rsidRPr="00344786">
        <w:rPr>
          <w:rFonts w:asciiTheme="minorHAnsi" w:eastAsia="Calibri" w:hAnsiTheme="minorHAnsi" w:cs="Calibri"/>
          <w:sz w:val="22"/>
          <w:szCs w:val="22"/>
          <w:vertAlign w:val="subscript"/>
        </w:rPr>
        <w:t>C</w:t>
      </w:r>
      <w:r w:rsidR="00607D90" w:rsidRPr="00344786">
        <w:rPr>
          <w:rFonts w:asciiTheme="minorHAnsi" w:eastAsia="Calibri" w:hAnsiTheme="minorHAnsi" w:cs="Calibri"/>
          <w:sz w:val="22"/>
          <w:szCs w:val="22"/>
        </w:rPr>
        <w:t xml:space="preserve"> for each cluster shows one stationary period for cluster A1 of the north area (P1C1) that occurred over a period of about one and a half year, from September 20 2014 until 01 April 2016</w:t>
      </w:r>
      <w:r w:rsidR="00737B30">
        <w:rPr>
          <w:rFonts w:asciiTheme="minorHAnsi" w:eastAsia="Calibri" w:hAnsiTheme="minorHAnsi" w:cs="Calibri"/>
          <w:sz w:val="22"/>
          <w:szCs w:val="22"/>
        </w:rPr>
        <w:t xml:space="preserve"> (Fig. </w:t>
      </w:r>
      <w:r w:rsidR="00453E32">
        <w:rPr>
          <w:rFonts w:asciiTheme="minorHAnsi" w:eastAsia="Calibri" w:hAnsiTheme="minorHAnsi" w:cs="Calibri"/>
          <w:sz w:val="22"/>
          <w:szCs w:val="22"/>
        </w:rPr>
        <w:t>S86</w:t>
      </w:r>
      <w:r w:rsidR="00737B30">
        <w:rPr>
          <w:rFonts w:asciiTheme="minorHAnsi" w:eastAsia="Calibri" w:hAnsiTheme="minorHAnsi" w:cs="Calibri"/>
          <w:sz w:val="22"/>
          <w:szCs w:val="22"/>
        </w:rPr>
        <w:t>a)</w:t>
      </w:r>
      <w:r w:rsidR="00607D90" w:rsidRPr="00344786">
        <w:rPr>
          <w:rFonts w:asciiTheme="minorHAnsi" w:eastAsia="Calibri" w:hAnsiTheme="minorHAnsi" w:cs="Calibri"/>
          <w:sz w:val="22"/>
          <w:szCs w:val="22"/>
        </w:rPr>
        <w:t>. Cluster A2 from the northern part of the area has one stationary period (P2C2) between 05 January 2015 and 26 April 2015, which coincides with a period of peaking of the water level of the reservoir (Fig. S</w:t>
      </w:r>
      <w:r w:rsidR="0062236E">
        <w:rPr>
          <w:rFonts w:asciiTheme="minorHAnsi" w:eastAsia="Calibri" w:hAnsiTheme="minorHAnsi" w:cs="Calibri"/>
          <w:color w:val="000000" w:themeColor="text1"/>
          <w:sz w:val="22"/>
          <w:szCs w:val="22"/>
        </w:rPr>
        <w:t>86</w:t>
      </w:r>
      <w:r w:rsidR="00737B30">
        <w:rPr>
          <w:rFonts w:asciiTheme="minorHAnsi" w:eastAsia="Calibri" w:hAnsiTheme="minorHAnsi" w:cs="Calibri"/>
          <w:sz w:val="22"/>
          <w:szCs w:val="22"/>
        </w:rPr>
        <w:t>b</w:t>
      </w:r>
      <w:r w:rsidR="00607D90" w:rsidRPr="00344786">
        <w:rPr>
          <w:rFonts w:asciiTheme="minorHAnsi" w:eastAsia="Calibri" w:hAnsiTheme="minorHAnsi" w:cs="Calibri"/>
          <w:sz w:val="22"/>
          <w:szCs w:val="22"/>
        </w:rPr>
        <w:t>). The subclusters of the southern part contain only one stationary period (P3C3) with more than 60 earthquakes, which involves earthquakes of cluster C occurring between august 30 and September 03 of 2014, during a period of low water levels in the reservoir (Fig. S</w:t>
      </w:r>
      <w:r w:rsidR="0062236E">
        <w:rPr>
          <w:rFonts w:asciiTheme="minorHAnsi" w:eastAsia="Calibri" w:hAnsiTheme="minorHAnsi" w:cs="Calibri"/>
          <w:color w:val="000000" w:themeColor="text1"/>
          <w:sz w:val="22"/>
          <w:szCs w:val="22"/>
        </w:rPr>
        <w:t>86</w:t>
      </w:r>
      <w:r w:rsidR="00737B30">
        <w:rPr>
          <w:rFonts w:asciiTheme="minorHAnsi" w:eastAsia="Calibri" w:hAnsiTheme="minorHAnsi" w:cs="Calibri"/>
          <w:sz w:val="22"/>
          <w:szCs w:val="22"/>
        </w:rPr>
        <w:t>d</w:t>
      </w:r>
      <w:r w:rsidR="00607D90" w:rsidRPr="00344786">
        <w:rPr>
          <w:rFonts w:asciiTheme="minorHAnsi" w:eastAsia="Calibri" w:hAnsiTheme="minorHAnsi" w:cs="Calibri"/>
          <w:sz w:val="22"/>
          <w:szCs w:val="22"/>
        </w:rPr>
        <w:t>).</w:t>
      </w:r>
    </w:p>
    <w:p w14:paraId="1658D835" w14:textId="6B77D68D" w:rsidR="00607D90" w:rsidRPr="00344786" w:rsidRDefault="00607D90" w:rsidP="00E97234">
      <w:pPr>
        <w:pStyle w:val="SMText"/>
        <w:spacing w:line="360" w:lineRule="auto"/>
        <w:jc w:val="both"/>
        <w:rPr>
          <w:rFonts w:asciiTheme="minorHAnsi" w:eastAsia="Calibri" w:hAnsiTheme="minorHAnsi" w:cs="Calibri"/>
          <w:sz w:val="22"/>
          <w:szCs w:val="22"/>
        </w:rPr>
      </w:pPr>
      <w:r w:rsidRPr="00344786">
        <w:rPr>
          <w:rFonts w:asciiTheme="minorHAnsi" w:eastAsia="Calibri" w:hAnsiTheme="minorHAnsi" w:cs="Calibri"/>
          <w:sz w:val="22"/>
          <w:szCs w:val="22"/>
        </w:rPr>
        <w:t xml:space="preserve">The Anderson – Darling test for the three subcatalogs that refer to stationary periods </w:t>
      </w:r>
      <w:r w:rsidR="00856656">
        <w:rPr>
          <w:rFonts w:asciiTheme="minorHAnsi" w:eastAsia="Calibri" w:hAnsiTheme="minorHAnsi" w:cs="Calibri"/>
          <w:sz w:val="22"/>
          <w:szCs w:val="22"/>
        </w:rPr>
        <w:t xml:space="preserve">do not </w:t>
      </w:r>
      <w:r w:rsidRPr="00344786">
        <w:rPr>
          <w:rFonts w:asciiTheme="minorHAnsi" w:eastAsia="Calibri" w:hAnsiTheme="minorHAnsi" w:cs="Calibri"/>
          <w:sz w:val="22"/>
          <w:szCs w:val="22"/>
        </w:rPr>
        <w:t>suggest the rejection of exponent</w:t>
      </w:r>
      <w:r w:rsidR="0029582E">
        <w:rPr>
          <w:rFonts w:asciiTheme="minorHAnsi" w:eastAsia="Calibri" w:hAnsiTheme="minorHAnsi" w:cs="Calibri"/>
          <w:sz w:val="22"/>
          <w:szCs w:val="22"/>
        </w:rPr>
        <w:t>ial distributions for any of the subcatalogs</w:t>
      </w:r>
      <w:r w:rsidR="00E92532">
        <w:rPr>
          <w:rFonts w:asciiTheme="minorHAnsi" w:eastAsia="Calibri" w:hAnsiTheme="minorHAnsi" w:cs="Calibri"/>
          <w:sz w:val="22"/>
          <w:szCs w:val="22"/>
        </w:rPr>
        <w:t>. The two complexity tests are not performed.</w:t>
      </w:r>
      <w:r w:rsidR="00D16DCE" w:rsidRPr="00D16DCE">
        <w:rPr>
          <w:rFonts w:asciiTheme="minorHAnsi" w:eastAsia="Calibri" w:hAnsiTheme="minorHAnsi" w:cs="Calibri"/>
          <w:sz w:val="22"/>
          <w:szCs w:val="22"/>
        </w:rPr>
        <w:t xml:space="preserve"> </w:t>
      </w:r>
    </w:p>
    <w:p w14:paraId="696B14A3" w14:textId="16385CF6" w:rsidR="009932D9" w:rsidRPr="00344786" w:rsidRDefault="009932D9" w:rsidP="00E97234">
      <w:pPr>
        <w:spacing w:line="360" w:lineRule="auto"/>
        <w:jc w:val="both"/>
        <w:rPr>
          <w:rFonts w:asciiTheme="minorHAnsi" w:eastAsia="Calibri" w:hAnsiTheme="minorHAnsi" w:cs="Calibri"/>
          <w:sz w:val="22"/>
          <w:szCs w:val="18"/>
        </w:rPr>
      </w:pPr>
      <w:r w:rsidRPr="00344786">
        <w:rPr>
          <w:rFonts w:asciiTheme="minorHAnsi" w:eastAsia="Calibri" w:hAnsiTheme="minorHAnsi" w:cs="Calibri"/>
          <w:sz w:val="22"/>
          <w:szCs w:val="18"/>
        </w:rPr>
        <w:br w:type="page"/>
      </w:r>
    </w:p>
    <w:p w14:paraId="6B324F4E" w14:textId="77777777" w:rsidR="00607D90" w:rsidRPr="00344786" w:rsidRDefault="00607D90" w:rsidP="00E97234">
      <w:pPr>
        <w:pStyle w:val="SMHeading"/>
        <w:spacing w:line="360" w:lineRule="auto"/>
        <w:jc w:val="both"/>
        <w:rPr>
          <w:rFonts w:asciiTheme="minorHAnsi" w:hAnsiTheme="minorHAnsi"/>
        </w:rPr>
      </w:pPr>
      <w:bookmarkStart w:id="23" w:name="_Toc162436014"/>
      <w:r w:rsidRPr="00344786">
        <w:rPr>
          <w:rFonts w:asciiTheme="minorHAnsi" w:hAnsiTheme="minorHAnsi"/>
        </w:rPr>
        <w:lastRenderedPageBreak/>
        <w:t>Supplementary note 2 – Power of exponentiality tests and information on the applied statistical tests for the exponentiality and complexity of the frequency–magnitude distribution of the anthropogenic earthquakes</w:t>
      </w:r>
      <w:bookmarkEnd w:id="23"/>
    </w:p>
    <w:p w14:paraId="7BFED7A2" w14:textId="77777777" w:rsidR="009932D9" w:rsidRPr="00344786" w:rsidRDefault="009932D9" w:rsidP="00E97234">
      <w:pPr>
        <w:spacing w:line="360" w:lineRule="auto"/>
        <w:jc w:val="both"/>
        <w:rPr>
          <w:rFonts w:asciiTheme="minorHAnsi" w:hAnsiTheme="minorHAnsi"/>
        </w:rPr>
      </w:pPr>
    </w:p>
    <w:p w14:paraId="7AA368A5" w14:textId="77777777" w:rsidR="009932D9" w:rsidRPr="00344786" w:rsidRDefault="009932D9" w:rsidP="00E97234">
      <w:pPr>
        <w:pStyle w:val="Heading2"/>
        <w:spacing w:line="360" w:lineRule="auto"/>
        <w:jc w:val="both"/>
        <w:rPr>
          <w:rFonts w:asciiTheme="minorHAnsi" w:hAnsiTheme="minorHAnsi"/>
          <w:sz w:val="22"/>
          <w:szCs w:val="22"/>
        </w:rPr>
      </w:pPr>
      <w:bookmarkStart w:id="24" w:name="_Toc162436015"/>
      <w:r w:rsidRPr="00344786">
        <w:rPr>
          <w:rFonts w:asciiTheme="minorHAnsi" w:hAnsiTheme="minorHAnsi"/>
          <w:sz w:val="22"/>
          <w:szCs w:val="22"/>
        </w:rPr>
        <w:t>2.1 – Testing the power of exponentiality tests</w:t>
      </w:r>
      <w:bookmarkEnd w:id="24"/>
    </w:p>
    <w:p w14:paraId="69F27973" w14:textId="77777777"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There are several tests to assess whether samples drawn from a distribution follow a specific probability distribution. In previous studies regarding deviation of earthquake data from the Gutenberg–Richter law there are examples of use of the Kolmogorov–Smirnov test (Eaton et al., 2014; Urban et al., 2016), the Lilliefors test (Herrmann &amp; Marzocchi, 2021; Taroni et al., 2021; Herrmann et al., 2022) and the Anderson–Darling test (Leptokaropoulos et al., 2020; Orlecka-Sikora &amp; Cielesta, 2020).</w:t>
      </w:r>
    </w:p>
    <w:p w14:paraId="162A2631" w14:textId="77777777"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The Kolmogorov–Smirnov (KS) (Massey, 1951) test compares the cumulative distribution function (CDF) of the sample data, </w:t>
      </w: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n</m:t>
            </m:r>
          </m:sub>
        </m:sSub>
        <m:d>
          <m:dPr>
            <m:ctrlPr>
              <w:rPr>
                <w:rFonts w:ascii="Cambria Math" w:hAnsi="Cambria Math"/>
                <w:i/>
                <w:sz w:val="22"/>
                <w:szCs w:val="22"/>
              </w:rPr>
            </m:ctrlPr>
          </m:dPr>
          <m:e>
            <m:r>
              <w:rPr>
                <w:rFonts w:ascii="Cambria Math" w:hAnsi="Cambria Math"/>
                <w:sz w:val="22"/>
                <w:szCs w:val="22"/>
              </w:rPr>
              <m:t>x</m:t>
            </m:r>
          </m:e>
        </m:d>
      </m:oMath>
      <w:r w:rsidRPr="00344786">
        <w:rPr>
          <w:rFonts w:asciiTheme="minorHAnsi" w:eastAsiaTheme="minorEastAsia" w:hAnsiTheme="minorHAnsi"/>
          <w:sz w:val="22"/>
          <w:szCs w:val="22"/>
        </w:rPr>
        <w:t xml:space="preserve">, </w:t>
      </w:r>
      <w:r w:rsidRPr="00344786">
        <w:rPr>
          <w:rFonts w:asciiTheme="minorHAnsi" w:hAnsiTheme="minorHAnsi"/>
          <w:sz w:val="22"/>
          <w:szCs w:val="22"/>
        </w:rPr>
        <w:t xml:space="preserve">with the CDF of the hypothesized distribution, </w:t>
      </w:r>
      <m:oMath>
        <m:r>
          <w:rPr>
            <w:rFonts w:ascii="Cambria Math" w:hAnsi="Cambria Math"/>
            <w:sz w:val="22"/>
            <w:szCs w:val="22"/>
          </w:rPr>
          <m:t>F(x)</m:t>
        </m:r>
      </m:oMath>
      <w:r w:rsidRPr="00344786">
        <w:rPr>
          <w:rFonts w:asciiTheme="minorHAnsi" w:eastAsiaTheme="minorEastAsia" w:hAnsiTheme="minorHAnsi"/>
          <w:sz w:val="22"/>
          <w:szCs w:val="22"/>
        </w:rPr>
        <w:t>, y calculation of the supremum of the absolute difference at each data point</w:t>
      </w:r>
      <w:r w:rsidRPr="00344786">
        <w:rPr>
          <w:rFonts w:asciiTheme="minorHAnsi" w:hAnsiTheme="minorHAnsi"/>
          <w:sz w:val="22"/>
          <w:szCs w:val="22"/>
        </w:rPr>
        <w:t>,</w:t>
      </w:r>
    </w:p>
    <w:p w14:paraId="6A07F17A" w14:textId="77777777" w:rsidR="009932D9" w:rsidRPr="00344786" w:rsidRDefault="00CA1E3F" w:rsidP="00510881">
      <w:pPr>
        <w:pStyle w:val="SMText"/>
        <w:spacing w:line="360" w:lineRule="auto"/>
        <w:jc w:val="right"/>
        <w:rPr>
          <w:rFonts w:asciiTheme="minorHAnsi" w:eastAsiaTheme="minorEastAsia" w:hAnsiTheme="minorHAnsi"/>
          <w:sz w:val="22"/>
          <w:szCs w:val="22"/>
        </w:rPr>
      </w:pPr>
      <m:oMath>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KS</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sup</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n</m:t>
            </m:r>
          </m:sub>
        </m:sSub>
        <m:d>
          <m:dPr>
            <m:ctrlPr>
              <w:rPr>
                <w:rFonts w:ascii="Cambria Math" w:hAnsi="Cambria Math"/>
                <w:i/>
                <w:sz w:val="22"/>
                <w:szCs w:val="22"/>
              </w:rPr>
            </m:ctrlPr>
          </m:dPr>
          <m:e>
            <m:r>
              <w:rPr>
                <w:rFonts w:ascii="Cambria Math" w:hAnsi="Cambria Math"/>
                <w:sz w:val="22"/>
                <w:szCs w:val="22"/>
              </w:rPr>
              <m:t>x</m:t>
            </m:r>
          </m:e>
        </m:d>
        <m:r>
          <w:rPr>
            <w:rFonts w:ascii="Cambria Math" w:hAnsi="Cambria Math"/>
            <w:sz w:val="22"/>
            <w:szCs w:val="22"/>
          </w:rPr>
          <m:t>-F(x)</m:t>
        </m:r>
      </m:oMath>
      <w:r w:rsidR="009932D9" w:rsidRPr="00344786">
        <w:rPr>
          <w:rFonts w:asciiTheme="minorHAnsi" w:eastAsiaTheme="minorEastAsia" w:hAnsiTheme="minorHAnsi"/>
          <w:sz w:val="22"/>
          <w:szCs w:val="22"/>
        </w:rPr>
        <w:t>|.                                                               (1)</w:t>
      </w:r>
    </w:p>
    <w:p w14:paraId="563F8D0E" w14:textId="77777777" w:rsidR="00027CAF" w:rsidRDefault="00027CAF" w:rsidP="00027CAF">
      <w:pPr>
        <w:pStyle w:val="SMText"/>
        <w:spacing w:line="360" w:lineRule="auto"/>
        <w:ind w:firstLine="0"/>
        <w:jc w:val="both"/>
        <w:rPr>
          <w:rFonts w:asciiTheme="minorHAnsi" w:eastAsiaTheme="minorEastAsia" w:hAnsiTheme="minorHAnsi"/>
          <w:sz w:val="22"/>
          <w:szCs w:val="22"/>
        </w:rPr>
      </w:pPr>
      <w:r w:rsidRPr="00027CAF">
        <w:rPr>
          <w:rFonts w:asciiTheme="minorHAnsi" w:eastAsiaTheme="minorEastAsia" w:hAnsiTheme="minorHAnsi"/>
          <w:sz w:val="22"/>
          <w:szCs w:val="22"/>
        </w:rPr>
        <w:t>This test requires prior knowledge of the parameters of the hypothesized distribution. Therefore, to perform the test for an exponential distribution, we first fit the data to an exponential model to estimate its parameters. Then, we use the KS test to compare the empirical distribution of the data with the CDF of the fitted exponential distribution.</w:t>
      </w:r>
    </w:p>
    <w:p w14:paraId="4DC7C0B1" w14:textId="15D6386E" w:rsidR="009932D9" w:rsidRPr="00344786" w:rsidRDefault="009932D9" w:rsidP="00027CAF">
      <w:pPr>
        <w:pStyle w:val="SMText"/>
        <w:spacing w:line="360" w:lineRule="auto"/>
        <w:jc w:val="both"/>
        <w:rPr>
          <w:rFonts w:asciiTheme="minorHAnsi" w:eastAsiaTheme="minorEastAsia" w:hAnsiTheme="minorHAnsi"/>
          <w:sz w:val="22"/>
          <w:szCs w:val="22"/>
        </w:rPr>
      </w:pPr>
      <w:r w:rsidRPr="00344786">
        <w:rPr>
          <w:rFonts w:asciiTheme="minorHAnsi" w:eastAsiaTheme="minorEastAsia" w:hAnsiTheme="minorHAnsi"/>
          <w:sz w:val="22"/>
          <w:szCs w:val="22"/>
        </w:rPr>
        <w:t xml:space="preserve">The Lilliefors (LIL) test (Lilliefors, 1967) is a modified version of the KS test, used when the parameters of the distribution from which data are sampled are unknown and are estimated from the data. The test metric is the maximum of the absolute difference between the sample cumulative distribution </w:t>
      </w:r>
      <m:oMath>
        <m:sSub>
          <m:sSubPr>
            <m:ctrlPr>
              <w:rPr>
                <w:rFonts w:ascii="Cambria Math" w:eastAsiaTheme="minorEastAsia" w:hAnsi="Cambria Math"/>
                <w:i/>
                <w:sz w:val="22"/>
                <w:szCs w:val="22"/>
              </w:rPr>
            </m:ctrlPr>
          </m:sSubPr>
          <m:e>
            <m:r>
              <w:rPr>
                <w:rFonts w:ascii="Cambria Math" w:eastAsiaTheme="minorEastAsia" w:hAnsi="Cambria Math"/>
                <w:sz w:val="22"/>
                <w:szCs w:val="22"/>
              </w:rPr>
              <m:t>S</m:t>
            </m:r>
          </m:e>
          <m:sub>
            <m:r>
              <w:rPr>
                <w:rFonts w:ascii="Cambria Math" w:eastAsiaTheme="minorEastAsia" w:hAnsi="Cambria Math"/>
                <w:sz w:val="22"/>
                <w:szCs w:val="22"/>
              </w:rPr>
              <m:t>n</m:t>
            </m:r>
          </m:sub>
        </m:sSub>
        <m:r>
          <w:rPr>
            <w:rFonts w:ascii="Cambria Math" w:eastAsiaTheme="minorEastAsia" w:hAnsi="Cambria Math"/>
            <w:sz w:val="22"/>
            <w:szCs w:val="22"/>
          </w:rPr>
          <m:t>(X)</m:t>
        </m:r>
      </m:oMath>
      <w:r w:rsidRPr="00344786">
        <w:rPr>
          <w:rFonts w:asciiTheme="minorHAnsi" w:eastAsiaTheme="minorEastAsia" w:hAnsiTheme="minorHAnsi"/>
          <w:sz w:val="22"/>
          <w:szCs w:val="22"/>
        </w:rPr>
        <w:t xml:space="preserve"> and the theoretical distribution, </w:t>
      </w:r>
      <m:oMath>
        <m:r>
          <w:rPr>
            <w:rFonts w:ascii="Cambria Math" w:eastAsiaTheme="minorEastAsia" w:hAnsi="Cambria Math"/>
            <w:sz w:val="22"/>
            <w:szCs w:val="22"/>
          </w:rPr>
          <m:t>F(X)</m:t>
        </m:r>
      </m:oMath>
      <w:r w:rsidRPr="00344786">
        <w:rPr>
          <w:rFonts w:asciiTheme="minorHAnsi" w:eastAsiaTheme="minorEastAsia" w:hAnsiTheme="minorHAnsi"/>
          <w:sz w:val="22"/>
          <w:szCs w:val="22"/>
        </w:rPr>
        <w:t xml:space="preserve"> at each data point,</w:t>
      </w:r>
    </w:p>
    <w:p w14:paraId="03382B4F" w14:textId="77777777" w:rsidR="009932D9" w:rsidRPr="00344786" w:rsidRDefault="00CA1E3F" w:rsidP="00510881">
      <w:pPr>
        <w:pStyle w:val="SMText"/>
        <w:spacing w:line="360" w:lineRule="auto"/>
        <w:jc w:val="right"/>
        <w:rPr>
          <w:rFonts w:asciiTheme="minorHAnsi" w:eastAsiaTheme="minorEastAsia" w:hAnsiTheme="minorHAnsi"/>
          <w:sz w:val="22"/>
          <w:szCs w:val="22"/>
        </w:rPr>
      </w:pPr>
      <m:oMath>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LIL</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max</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n</m:t>
            </m:r>
          </m:sub>
        </m:sSub>
        <m:d>
          <m:dPr>
            <m:ctrlPr>
              <w:rPr>
                <w:rFonts w:ascii="Cambria Math" w:hAnsi="Cambria Math"/>
                <w:i/>
                <w:sz w:val="22"/>
                <w:szCs w:val="22"/>
              </w:rPr>
            </m:ctrlPr>
          </m:dPr>
          <m:e>
            <m:r>
              <w:rPr>
                <w:rFonts w:ascii="Cambria Math" w:hAnsi="Cambria Math"/>
                <w:sz w:val="22"/>
                <w:szCs w:val="22"/>
              </w:rPr>
              <m:t>X</m:t>
            </m:r>
          </m:e>
        </m:d>
        <m:r>
          <w:rPr>
            <w:rFonts w:ascii="Cambria Math" w:hAnsi="Cambria Math"/>
            <w:sz w:val="22"/>
            <w:szCs w:val="22"/>
          </w:rPr>
          <m:t>-F</m:t>
        </m:r>
        <m:d>
          <m:dPr>
            <m:ctrlPr>
              <w:rPr>
                <w:rFonts w:ascii="Cambria Math" w:hAnsi="Cambria Math"/>
                <w:i/>
                <w:sz w:val="22"/>
                <w:szCs w:val="22"/>
              </w:rPr>
            </m:ctrlPr>
          </m:dPr>
          <m:e>
            <m:r>
              <w:rPr>
                <w:rFonts w:ascii="Cambria Math" w:hAnsi="Cambria Math"/>
                <w:sz w:val="22"/>
                <w:szCs w:val="22"/>
              </w:rPr>
              <m:t>X</m:t>
            </m:r>
          </m:e>
        </m:d>
        <m:r>
          <w:rPr>
            <w:rFonts w:ascii="Cambria Math" w:hAnsi="Cambria Math"/>
            <w:sz w:val="22"/>
            <w:szCs w:val="22"/>
          </w:rPr>
          <m:t>|</m:t>
        </m:r>
      </m:oMath>
      <w:r w:rsidR="009932D9" w:rsidRPr="00344786">
        <w:rPr>
          <w:rFonts w:asciiTheme="minorHAnsi" w:eastAsiaTheme="minorEastAsia" w:hAnsiTheme="minorHAnsi"/>
          <w:sz w:val="22"/>
          <w:szCs w:val="22"/>
        </w:rPr>
        <w:t>.                                                              (2)</w:t>
      </w:r>
    </w:p>
    <w:p w14:paraId="1CE2237C" w14:textId="77777777"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The Anderson Darling (AD) test (Anderson &amp; Darling, 1954) is a special case of the Cramer-von Mises test and its test metric is the squared difference between the sample cumulative distribution </w:t>
      </w: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n</m:t>
            </m:r>
          </m:sub>
        </m:sSub>
        <m:d>
          <m:dPr>
            <m:ctrlPr>
              <w:rPr>
                <w:rFonts w:ascii="Cambria Math" w:hAnsi="Cambria Math"/>
                <w:i/>
                <w:sz w:val="22"/>
                <w:szCs w:val="22"/>
              </w:rPr>
            </m:ctrlPr>
          </m:dPr>
          <m:e>
            <m:r>
              <w:rPr>
                <w:rFonts w:ascii="Cambria Math" w:hAnsi="Cambria Math"/>
                <w:sz w:val="22"/>
                <w:szCs w:val="22"/>
              </w:rPr>
              <m:t>x</m:t>
            </m:r>
          </m:e>
        </m:d>
        <m:r>
          <w:rPr>
            <w:rFonts w:ascii="Cambria Math" w:hAnsi="Cambria Math"/>
            <w:sz w:val="22"/>
            <w:szCs w:val="22"/>
          </w:rPr>
          <m:t xml:space="preserve"> </m:t>
        </m:r>
      </m:oMath>
      <w:r w:rsidRPr="00344786">
        <w:rPr>
          <w:rFonts w:asciiTheme="minorHAnsi" w:hAnsiTheme="minorHAnsi"/>
          <w:sz w:val="22"/>
          <w:szCs w:val="22"/>
        </w:rPr>
        <w:t xml:space="preserve">and the theoretical distribution </w:t>
      </w:r>
      <m:oMath>
        <m:r>
          <w:rPr>
            <w:rFonts w:ascii="Cambria Math" w:hAnsi="Cambria Math"/>
            <w:sz w:val="22"/>
            <w:szCs w:val="22"/>
          </w:rPr>
          <m:t>F(x)</m:t>
        </m:r>
      </m:oMath>
      <w:r w:rsidRPr="00344786">
        <w:rPr>
          <w:rFonts w:asciiTheme="minorHAnsi" w:eastAsiaTheme="minorEastAsia" w:hAnsiTheme="minorHAnsi"/>
          <w:sz w:val="22"/>
          <w:szCs w:val="22"/>
        </w:rPr>
        <w:t xml:space="preserve"> in the form of:</w:t>
      </w:r>
    </w:p>
    <w:p w14:paraId="2A77FEDA" w14:textId="77777777" w:rsidR="009932D9" w:rsidRPr="00344786" w:rsidRDefault="00CA1E3F" w:rsidP="00510881">
      <w:pPr>
        <w:pStyle w:val="SMText"/>
        <w:spacing w:line="360" w:lineRule="auto"/>
        <w:jc w:val="right"/>
        <w:rPr>
          <w:rFonts w:asciiTheme="minorHAnsi" w:eastAsiaTheme="minorEastAsia" w:hAnsiTheme="minorHAnsi"/>
          <w:sz w:val="22"/>
          <w:szCs w:val="22"/>
        </w:rPr>
      </w:pPr>
      <m:oMath>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AD</m:t>
            </m:r>
          </m:sub>
        </m:sSub>
        <m:r>
          <w:rPr>
            <w:rFonts w:ascii="Cambria Math" w:hAnsi="Cambria Math"/>
            <w:sz w:val="22"/>
            <w:szCs w:val="22"/>
          </w:rPr>
          <m:t>=</m:t>
        </m:r>
        <m:nary>
          <m:naryPr>
            <m:limLoc m:val="subSup"/>
            <m:ctrlPr>
              <w:rPr>
                <w:rFonts w:ascii="Cambria Math" w:hAnsi="Cambria Math"/>
                <w:i/>
                <w:sz w:val="22"/>
                <w:szCs w:val="22"/>
              </w:rPr>
            </m:ctrlPr>
          </m:naryPr>
          <m:sub>
            <m:r>
              <w:rPr>
                <w:rFonts w:ascii="Cambria Math" w:hAnsi="Cambria Math"/>
                <w:sz w:val="22"/>
                <w:szCs w:val="22"/>
              </w:rPr>
              <m:t>-∞</m:t>
            </m:r>
          </m:sub>
          <m:sup>
            <m:r>
              <w:rPr>
                <w:rFonts w:ascii="Cambria Math" w:hAnsi="Cambria Math"/>
                <w:sz w:val="22"/>
                <w:szCs w:val="22"/>
              </w:rPr>
              <m:t>+∞</m:t>
            </m:r>
          </m:sup>
          <m:e>
            <m:sSup>
              <m:sSupPr>
                <m:ctrlPr>
                  <w:rPr>
                    <w:rFonts w:ascii="Cambria Math" w:hAnsi="Cambria Math"/>
                    <w:i/>
                    <w:sz w:val="22"/>
                    <w:szCs w:val="22"/>
                  </w:rPr>
                </m:ctrlPr>
              </m:sSupPr>
              <m:e>
                <m:d>
                  <m:dPr>
                    <m:begChr m:val="["/>
                    <m:endChr m:val="]"/>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n</m:t>
                        </m:r>
                      </m:sub>
                    </m:sSub>
                    <m:d>
                      <m:dPr>
                        <m:ctrlPr>
                          <w:rPr>
                            <w:rFonts w:ascii="Cambria Math" w:hAnsi="Cambria Math"/>
                            <w:i/>
                            <w:sz w:val="22"/>
                            <w:szCs w:val="22"/>
                          </w:rPr>
                        </m:ctrlPr>
                      </m:dPr>
                      <m:e>
                        <m:r>
                          <w:rPr>
                            <w:rFonts w:ascii="Cambria Math" w:hAnsi="Cambria Math"/>
                            <w:sz w:val="22"/>
                            <w:szCs w:val="22"/>
                          </w:rPr>
                          <m:t>x</m:t>
                        </m:r>
                      </m:e>
                    </m:d>
                    <m:r>
                      <w:rPr>
                        <w:rFonts w:ascii="Cambria Math" w:hAnsi="Cambria Math"/>
                        <w:sz w:val="22"/>
                        <w:szCs w:val="22"/>
                      </w:rPr>
                      <m:t>-F</m:t>
                    </m:r>
                    <m:d>
                      <m:dPr>
                        <m:ctrlPr>
                          <w:rPr>
                            <w:rFonts w:ascii="Cambria Math" w:hAnsi="Cambria Math"/>
                            <w:i/>
                            <w:sz w:val="22"/>
                            <w:szCs w:val="22"/>
                          </w:rPr>
                        </m:ctrlPr>
                      </m:dPr>
                      <m:e>
                        <m:r>
                          <w:rPr>
                            <w:rFonts w:ascii="Cambria Math" w:hAnsi="Cambria Math"/>
                            <w:sz w:val="22"/>
                            <w:szCs w:val="22"/>
                          </w:rPr>
                          <m:t>x</m:t>
                        </m:r>
                      </m:e>
                    </m:d>
                  </m:e>
                </m:d>
              </m:e>
              <m:sup>
                <m:r>
                  <w:rPr>
                    <w:rFonts w:ascii="Cambria Math" w:hAnsi="Cambria Math"/>
                    <w:sz w:val="22"/>
                    <w:szCs w:val="22"/>
                  </w:rPr>
                  <m:t>2</m:t>
                </m:r>
              </m:sup>
            </m:sSup>
            <m:r>
              <w:rPr>
                <w:rFonts w:ascii="Cambria Math" w:hAnsi="Cambria Math"/>
                <w:sz w:val="22"/>
                <w:szCs w:val="22"/>
                <w:lang w:val="el-GR"/>
              </w:rPr>
              <m:t>ψ</m:t>
            </m:r>
            <m:d>
              <m:dPr>
                <m:ctrlPr>
                  <w:rPr>
                    <w:rFonts w:ascii="Cambria Math" w:hAnsi="Cambria Math"/>
                    <w:i/>
                    <w:sz w:val="22"/>
                    <w:szCs w:val="22"/>
                    <w:lang w:val="el-GR"/>
                  </w:rPr>
                </m:ctrlPr>
              </m:dPr>
              <m:e>
                <m:r>
                  <w:rPr>
                    <w:rFonts w:ascii="Cambria Math" w:hAnsi="Cambria Math"/>
                    <w:sz w:val="22"/>
                    <w:szCs w:val="22"/>
                  </w:rPr>
                  <m:t>t</m:t>
                </m:r>
                <m:ctrlPr>
                  <w:rPr>
                    <w:rFonts w:ascii="Cambria Math" w:hAnsi="Cambria Math"/>
                    <w:i/>
                    <w:sz w:val="22"/>
                    <w:szCs w:val="22"/>
                  </w:rPr>
                </m:ctrlPr>
              </m:e>
            </m:d>
            <m:r>
              <w:rPr>
                <w:rFonts w:ascii="Cambria Math" w:hAnsi="Cambria Math"/>
                <w:sz w:val="22"/>
                <w:szCs w:val="22"/>
              </w:rPr>
              <m:t>dt</m:t>
            </m:r>
          </m:e>
        </m:nary>
        <m:r>
          <w:rPr>
            <w:rFonts w:ascii="Cambria Math" w:hAnsi="Cambria Math"/>
            <w:sz w:val="22"/>
            <w:szCs w:val="22"/>
          </w:rPr>
          <m:t>,</m:t>
        </m:r>
      </m:oMath>
      <w:r w:rsidR="009932D9" w:rsidRPr="00344786">
        <w:rPr>
          <w:rFonts w:asciiTheme="minorHAnsi" w:eastAsiaTheme="minorEastAsia" w:hAnsiTheme="minorHAnsi"/>
          <w:sz w:val="22"/>
          <w:szCs w:val="22"/>
        </w:rPr>
        <w:t xml:space="preserve">                                                       (3) </w:t>
      </w:r>
    </w:p>
    <w:p w14:paraId="5878C184" w14:textId="77777777" w:rsidR="009932D9" w:rsidRPr="00344786" w:rsidRDefault="009932D9" w:rsidP="00E97234">
      <w:pPr>
        <w:pStyle w:val="SMText"/>
        <w:spacing w:line="360" w:lineRule="auto"/>
        <w:jc w:val="both"/>
        <w:rPr>
          <w:rFonts w:asciiTheme="minorHAnsi" w:eastAsiaTheme="minorEastAsia" w:hAnsiTheme="minorHAnsi"/>
          <w:sz w:val="22"/>
          <w:szCs w:val="22"/>
        </w:rPr>
      </w:pPr>
      <w:r w:rsidRPr="00344786">
        <w:rPr>
          <w:rFonts w:asciiTheme="minorHAnsi" w:eastAsiaTheme="minorEastAsia" w:hAnsiTheme="minorHAnsi"/>
          <w:sz w:val="22"/>
          <w:szCs w:val="22"/>
        </w:rPr>
        <w:t xml:space="preserve">where </w:t>
      </w:r>
      <m:oMath>
        <m:r>
          <w:rPr>
            <w:rFonts w:ascii="Cambria Math" w:eastAsiaTheme="minorEastAsia" w:hAnsi="Cambria Math"/>
            <w:sz w:val="22"/>
            <w:szCs w:val="22"/>
          </w:rPr>
          <m:t>ψ</m:t>
        </m:r>
        <m:d>
          <m:dPr>
            <m:ctrlPr>
              <w:rPr>
                <w:rFonts w:ascii="Cambria Math" w:eastAsiaTheme="minorEastAsia" w:hAnsi="Cambria Math"/>
                <w:i/>
                <w:sz w:val="22"/>
                <w:szCs w:val="22"/>
              </w:rPr>
            </m:ctrlPr>
          </m:dPr>
          <m:e>
            <m:r>
              <w:rPr>
                <w:rFonts w:ascii="Cambria Math" w:eastAsiaTheme="minorEastAsia" w:hAnsi="Cambria Math"/>
                <w:sz w:val="22"/>
                <w:szCs w:val="22"/>
              </w:rPr>
              <m:t>t</m:t>
            </m:r>
          </m:e>
        </m:d>
        <m:r>
          <w:rPr>
            <w:rFonts w:ascii="Cambria Math" w:eastAsiaTheme="minorEastAsia" w:hAnsi="Cambria Math"/>
            <w:sz w:val="22"/>
            <w:szCs w:val="22"/>
          </w:rPr>
          <m:t>=</m:t>
        </m:r>
        <m:sSup>
          <m:sSupPr>
            <m:ctrlPr>
              <w:rPr>
                <w:rFonts w:ascii="Cambria Math" w:eastAsiaTheme="minorEastAsia" w:hAnsi="Cambria Math"/>
                <w:i/>
                <w:sz w:val="22"/>
                <w:szCs w:val="22"/>
              </w:rPr>
            </m:ctrlPr>
          </m:sSupPr>
          <m:e>
            <m:r>
              <w:rPr>
                <w:rFonts w:ascii="Cambria Math" w:eastAsiaTheme="minorEastAsia" w:hAnsi="Cambria Math"/>
                <w:sz w:val="22"/>
                <w:szCs w:val="22"/>
              </w:rPr>
              <m:t>[(F</m:t>
            </m:r>
            <m:d>
              <m:dPr>
                <m:ctrlPr>
                  <w:rPr>
                    <w:rFonts w:ascii="Cambria Math" w:eastAsiaTheme="minorEastAsia" w:hAnsi="Cambria Math"/>
                    <w:i/>
                    <w:sz w:val="22"/>
                    <w:szCs w:val="22"/>
                  </w:rPr>
                </m:ctrlPr>
              </m:dPr>
              <m:e>
                <m:r>
                  <w:rPr>
                    <w:rFonts w:ascii="Cambria Math" w:eastAsiaTheme="minorEastAsia" w:hAnsi="Cambria Math"/>
                    <w:sz w:val="22"/>
                    <w:szCs w:val="22"/>
                  </w:rPr>
                  <m:t>x</m:t>
                </m:r>
              </m:e>
            </m:d>
            <m:d>
              <m:dPr>
                <m:ctrlPr>
                  <w:rPr>
                    <w:rFonts w:ascii="Cambria Math" w:eastAsiaTheme="minorEastAsia" w:hAnsi="Cambria Math"/>
                    <w:i/>
                    <w:sz w:val="22"/>
                    <w:szCs w:val="22"/>
                  </w:rPr>
                </m:ctrlPr>
              </m:dPr>
              <m:e>
                <m:r>
                  <w:rPr>
                    <w:rFonts w:ascii="Cambria Math" w:eastAsiaTheme="minorEastAsia" w:hAnsi="Cambria Math"/>
                    <w:sz w:val="22"/>
                    <w:szCs w:val="22"/>
                  </w:rPr>
                  <m:t>1-F</m:t>
                </m:r>
                <m:d>
                  <m:dPr>
                    <m:ctrlPr>
                      <w:rPr>
                        <w:rFonts w:ascii="Cambria Math" w:eastAsiaTheme="minorEastAsia" w:hAnsi="Cambria Math"/>
                        <w:i/>
                        <w:sz w:val="22"/>
                        <w:szCs w:val="22"/>
                      </w:rPr>
                    </m:ctrlPr>
                  </m:dPr>
                  <m:e>
                    <m:r>
                      <w:rPr>
                        <w:rFonts w:ascii="Cambria Math" w:eastAsiaTheme="minorEastAsia" w:hAnsi="Cambria Math"/>
                        <w:sz w:val="22"/>
                        <w:szCs w:val="22"/>
                      </w:rPr>
                      <m:t>x</m:t>
                    </m:r>
                  </m:e>
                </m:d>
              </m:e>
            </m:d>
            <m:r>
              <w:rPr>
                <w:rFonts w:ascii="Cambria Math" w:eastAsiaTheme="minorEastAsia" w:hAnsi="Cambria Math"/>
                <w:sz w:val="22"/>
                <w:szCs w:val="22"/>
              </w:rPr>
              <m:t>]</m:t>
            </m:r>
          </m:e>
          <m:sup>
            <m:r>
              <w:rPr>
                <w:rFonts w:ascii="Cambria Math" w:eastAsiaTheme="minorEastAsia" w:hAnsi="Cambria Math"/>
                <w:sz w:val="22"/>
                <w:szCs w:val="22"/>
              </w:rPr>
              <m:t>-1</m:t>
            </m:r>
          </m:sup>
        </m:sSup>
      </m:oMath>
      <w:r w:rsidRPr="00344786">
        <w:rPr>
          <w:rFonts w:asciiTheme="minorHAnsi" w:eastAsiaTheme="minorEastAsia" w:hAnsiTheme="minorHAnsi"/>
          <w:sz w:val="22"/>
          <w:szCs w:val="22"/>
        </w:rPr>
        <w:t xml:space="preserve"> is a weight function that adds more weight to the tails of the distribution. Comparisons between the aforementioned tests have shown that the one </w:t>
      </w:r>
      <w:r w:rsidRPr="00344786">
        <w:rPr>
          <w:rFonts w:asciiTheme="minorHAnsi" w:eastAsiaTheme="minorEastAsia" w:hAnsiTheme="minorHAnsi"/>
          <w:sz w:val="22"/>
          <w:szCs w:val="22"/>
        </w:rPr>
        <w:lastRenderedPageBreak/>
        <w:t>sample KS test is the least powerful while the performance between the AD and LIL tests is similar (Mohd Razali &amp; Bee Wah, 2011; Saculinggan &amp; Balase, 2013). Similar results are obtained for the two-sample KS test against the two-sample AD test showing the superiority of the latter (Engmann &amp; Cousineau, 2011).</w:t>
      </w:r>
    </w:p>
    <w:p w14:paraId="2BA4DA5E" w14:textId="7F619C95"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We evaluated the ability of those three tests to identify deviations from an exponential distribution at the 0.05 significance level by drawing a progressively higher number of samples (</w:t>
      </w:r>
      <w:r w:rsidRPr="00344786">
        <w:rPr>
          <w:rFonts w:asciiTheme="minorHAnsi" w:hAnsiTheme="minorHAnsi"/>
          <w:i/>
          <w:iCs/>
          <w:sz w:val="22"/>
          <w:szCs w:val="22"/>
        </w:rPr>
        <w:t>n</w:t>
      </w:r>
      <w:r w:rsidRPr="00344786">
        <w:rPr>
          <w:rFonts w:asciiTheme="minorHAnsi" w:hAnsiTheme="minorHAnsi"/>
          <w:sz w:val="22"/>
          <w:szCs w:val="22"/>
        </w:rPr>
        <w:t>=20, 30, 40, 50, 60, 70, 80, 90, 100, 200, 300, 400, 500, 600, 700, 800, 900, 1000, 2000, 3000, 4000, 5000, 6000, 7000, 8000, 9000 and 10000) from four cumulative distribution functions (CDFs). The CDFs used to draw samples for testing were calculated from a) a left-truncated exponential PDF with b=1.0, M</w:t>
      </w:r>
      <w:r w:rsidRPr="00344786">
        <w:rPr>
          <w:rFonts w:asciiTheme="minorHAnsi" w:hAnsiTheme="minorHAnsi"/>
          <w:sz w:val="22"/>
          <w:szCs w:val="22"/>
          <w:vertAlign w:val="subscript"/>
        </w:rPr>
        <w:t>min</w:t>
      </w:r>
      <w:r w:rsidRPr="00344786">
        <w:rPr>
          <w:rFonts w:asciiTheme="minorHAnsi" w:hAnsiTheme="minorHAnsi"/>
          <w:sz w:val="22"/>
          <w:szCs w:val="22"/>
        </w:rPr>
        <w:t>=1.0 (Fig. S</w:t>
      </w:r>
      <w:r w:rsidR="00192243">
        <w:rPr>
          <w:rFonts w:asciiTheme="minorHAnsi" w:hAnsiTheme="minorHAnsi"/>
          <w:sz w:val="22"/>
          <w:szCs w:val="22"/>
        </w:rPr>
        <w:t>87</w:t>
      </w:r>
      <w:r w:rsidRPr="00344786">
        <w:rPr>
          <w:rFonts w:asciiTheme="minorHAnsi" w:hAnsiTheme="minorHAnsi"/>
          <w:sz w:val="22"/>
          <w:szCs w:val="22"/>
        </w:rPr>
        <w:t>a), M</w:t>
      </w:r>
      <w:r w:rsidRPr="00344786">
        <w:rPr>
          <w:rFonts w:asciiTheme="minorHAnsi" w:hAnsiTheme="minorHAnsi"/>
          <w:sz w:val="22"/>
          <w:szCs w:val="22"/>
          <w:vertAlign w:val="subscript"/>
        </w:rPr>
        <w:t>max</w:t>
      </w:r>
      <w:r w:rsidRPr="00344786">
        <w:rPr>
          <w:rFonts w:asciiTheme="minorHAnsi" w:hAnsiTheme="minorHAnsi"/>
          <w:sz w:val="22"/>
          <w:szCs w:val="22"/>
        </w:rPr>
        <w:t>=6.0, which represents a perfect exponential FMD for M≥M</w:t>
      </w:r>
      <w:r w:rsidRPr="00344786">
        <w:rPr>
          <w:rFonts w:asciiTheme="minorHAnsi" w:hAnsiTheme="minorHAnsi"/>
          <w:sz w:val="22"/>
          <w:szCs w:val="22"/>
          <w:vertAlign w:val="subscript"/>
        </w:rPr>
        <w:t>C</w:t>
      </w:r>
      <w:r w:rsidRPr="00344786">
        <w:rPr>
          <w:rFonts w:asciiTheme="minorHAnsi" w:hAnsiTheme="minorHAnsi"/>
          <w:sz w:val="22"/>
          <w:szCs w:val="22"/>
        </w:rPr>
        <w:t>(=M</w:t>
      </w:r>
      <w:r w:rsidRPr="00344786">
        <w:rPr>
          <w:rFonts w:asciiTheme="minorHAnsi" w:hAnsiTheme="minorHAnsi"/>
          <w:sz w:val="22"/>
          <w:szCs w:val="22"/>
          <w:vertAlign w:val="subscript"/>
        </w:rPr>
        <w:t>min</w:t>
      </w:r>
      <w:r w:rsidRPr="00344786">
        <w:rPr>
          <w:rFonts w:asciiTheme="minorHAnsi" w:hAnsiTheme="minorHAnsi"/>
          <w:sz w:val="22"/>
          <w:szCs w:val="22"/>
        </w:rPr>
        <w:t>), b) a concave composite PDF of two exponential distributions with b</w:t>
      </w:r>
      <w:r w:rsidRPr="00344786">
        <w:rPr>
          <w:rFonts w:asciiTheme="minorHAnsi" w:hAnsiTheme="minorHAnsi"/>
          <w:sz w:val="22"/>
          <w:szCs w:val="22"/>
          <w:vertAlign w:val="subscript"/>
        </w:rPr>
        <w:t>1</w:t>
      </w:r>
      <w:r w:rsidRPr="00344786">
        <w:rPr>
          <w:rFonts w:asciiTheme="minorHAnsi" w:hAnsiTheme="minorHAnsi"/>
          <w:sz w:val="22"/>
          <w:szCs w:val="22"/>
        </w:rPr>
        <w:t xml:space="preserve"> = 1.0 and b</w:t>
      </w:r>
      <w:r w:rsidRPr="00344786">
        <w:rPr>
          <w:rFonts w:asciiTheme="minorHAnsi" w:hAnsiTheme="minorHAnsi"/>
          <w:sz w:val="22"/>
          <w:szCs w:val="22"/>
          <w:vertAlign w:val="subscript"/>
        </w:rPr>
        <w:t>2</w:t>
      </w:r>
      <w:r w:rsidRPr="00344786">
        <w:rPr>
          <w:rFonts w:asciiTheme="minorHAnsi" w:hAnsiTheme="minorHAnsi"/>
          <w:sz w:val="22"/>
          <w:szCs w:val="22"/>
        </w:rPr>
        <w:t xml:space="preserve"> = 1.3, M</w:t>
      </w:r>
      <w:r w:rsidRPr="00344786">
        <w:rPr>
          <w:rFonts w:asciiTheme="minorHAnsi" w:hAnsiTheme="minorHAnsi"/>
          <w:sz w:val="22"/>
          <w:szCs w:val="22"/>
          <w:vertAlign w:val="subscript"/>
        </w:rPr>
        <w:t>C</w:t>
      </w:r>
      <w:r w:rsidRPr="00344786">
        <w:rPr>
          <w:rFonts w:asciiTheme="minorHAnsi" w:hAnsiTheme="minorHAnsi"/>
          <w:sz w:val="22"/>
          <w:szCs w:val="22"/>
        </w:rPr>
        <w:t>=1.5, M</w:t>
      </w:r>
      <w:r w:rsidRPr="00344786">
        <w:rPr>
          <w:rFonts w:asciiTheme="minorHAnsi" w:hAnsiTheme="minorHAnsi"/>
          <w:sz w:val="22"/>
          <w:szCs w:val="22"/>
          <w:vertAlign w:val="subscript"/>
        </w:rPr>
        <w:t>min</w:t>
      </w:r>
      <w:r w:rsidRPr="00344786">
        <w:rPr>
          <w:rFonts w:asciiTheme="minorHAnsi" w:hAnsiTheme="minorHAnsi"/>
          <w:sz w:val="22"/>
          <w:szCs w:val="22"/>
        </w:rPr>
        <w:t>=1.0 and M</w:t>
      </w:r>
      <w:r w:rsidRPr="00344786">
        <w:rPr>
          <w:rFonts w:asciiTheme="minorHAnsi" w:hAnsiTheme="minorHAnsi"/>
          <w:sz w:val="22"/>
          <w:szCs w:val="22"/>
          <w:vertAlign w:val="subscript"/>
        </w:rPr>
        <w:t>max</w:t>
      </w:r>
      <w:r w:rsidRPr="00344786">
        <w:rPr>
          <w:rFonts w:asciiTheme="minorHAnsi" w:hAnsiTheme="minorHAnsi"/>
          <w:sz w:val="22"/>
          <w:szCs w:val="22"/>
        </w:rPr>
        <w:t>=6.0 (Fig. S</w:t>
      </w:r>
      <w:r w:rsidR="00192243">
        <w:rPr>
          <w:rFonts w:asciiTheme="minorHAnsi" w:hAnsiTheme="minorHAnsi"/>
          <w:sz w:val="22"/>
          <w:szCs w:val="22"/>
        </w:rPr>
        <w:t>87</w:t>
      </w:r>
      <w:r w:rsidRPr="00344786">
        <w:rPr>
          <w:rFonts w:asciiTheme="minorHAnsi" w:hAnsiTheme="minorHAnsi"/>
          <w:sz w:val="22"/>
          <w:szCs w:val="22"/>
        </w:rPr>
        <w:t>b), c) a convex composite PDF of two exponential distributions with b</w:t>
      </w:r>
      <w:r w:rsidRPr="00344786">
        <w:rPr>
          <w:rFonts w:asciiTheme="minorHAnsi" w:hAnsiTheme="minorHAnsi"/>
          <w:sz w:val="22"/>
          <w:szCs w:val="22"/>
          <w:vertAlign w:val="subscript"/>
        </w:rPr>
        <w:t>1</w:t>
      </w:r>
      <w:r w:rsidRPr="00344786">
        <w:rPr>
          <w:rFonts w:asciiTheme="minorHAnsi" w:hAnsiTheme="minorHAnsi"/>
          <w:sz w:val="22"/>
          <w:szCs w:val="22"/>
        </w:rPr>
        <w:t xml:space="preserve"> = 1.3 and b</w:t>
      </w:r>
      <w:r w:rsidRPr="00344786">
        <w:rPr>
          <w:rFonts w:asciiTheme="minorHAnsi" w:hAnsiTheme="minorHAnsi"/>
          <w:sz w:val="22"/>
          <w:szCs w:val="22"/>
          <w:vertAlign w:val="subscript"/>
        </w:rPr>
        <w:t>2</w:t>
      </w:r>
      <w:r w:rsidRPr="00344786">
        <w:rPr>
          <w:rFonts w:asciiTheme="minorHAnsi" w:hAnsiTheme="minorHAnsi"/>
          <w:sz w:val="22"/>
          <w:szCs w:val="22"/>
        </w:rPr>
        <w:t xml:space="preserve"> = 1.0, M</w:t>
      </w:r>
      <w:r w:rsidRPr="00344786">
        <w:rPr>
          <w:rFonts w:asciiTheme="minorHAnsi" w:hAnsiTheme="minorHAnsi"/>
          <w:sz w:val="22"/>
          <w:szCs w:val="22"/>
          <w:vertAlign w:val="subscript"/>
        </w:rPr>
        <w:t>C</w:t>
      </w:r>
      <w:r w:rsidRPr="00344786">
        <w:rPr>
          <w:rFonts w:asciiTheme="minorHAnsi" w:hAnsiTheme="minorHAnsi"/>
          <w:sz w:val="22"/>
          <w:szCs w:val="22"/>
        </w:rPr>
        <w:t>=1.5, M</w:t>
      </w:r>
      <w:r w:rsidRPr="00344786">
        <w:rPr>
          <w:rFonts w:asciiTheme="minorHAnsi" w:hAnsiTheme="minorHAnsi"/>
          <w:sz w:val="22"/>
          <w:szCs w:val="22"/>
          <w:vertAlign w:val="subscript"/>
        </w:rPr>
        <w:t>min</w:t>
      </w:r>
      <w:r w:rsidRPr="00344786">
        <w:rPr>
          <w:rFonts w:asciiTheme="minorHAnsi" w:hAnsiTheme="minorHAnsi"/>
          <w:sz w:val="22"/>
          <w:szCs w:val="22"/>
        </w:rPr>
        <w:t>=1.0 and M</w:t>
      </w:r>
      <w:r w:rsidRPr="00344786">
        <w:rPr>
          <w:rFonts w:asciiTheme="minorHAnsi" w:hAnsiTheme="minorHAnsi"/>
          <w:sz w:val="22"/>
          <w:szCs w:val="22"/>
          <w:vertAlign w:val="subscript"/>
        </w:rPr>
        <w:t>max</w:t>
      </w:r>
      <w:r w:rsidRPr="00344786">
        <w:rPr>
          <w:rFonts w:asciiTheme="minorHAnsi" w:hAnsiTheme="minorHAnsi"/>
          <w:sz w:val="22"/>
          <w:szCs w:val="22"/>
        </w:rPr>
        <w:t>=6.0 (Fig. S</w:t>
      </w:r>
      <w:r w:rsidR="00192243">
        <w:rPr>
          <w:rFonts w:asciiTheme="minorHAnsi" w:hAnsiTheme="minorHAnsi"/>
          <w:sz w:val="22"/>
          <w:szCs w:val="22"/>
        </w:rPr>
        <w:t>87</w:t>
      </w:r>
      <w:r w:rsidRPr="00344786">
        <w:rPr>
          <w:rFonts w:asciiTheme="minorHAnsi" w:hAnsiTheme="minorHAnsi"/>
          <w:sz w:val="22"/>
          <w:szCs w:val="22"/>
        </w:rPr>
        <w:t>c), and d) a PDF that is a combination of exponential and normal distributions with b=1.0, M</w:t>
      </w:r>
      <w:r w:rsidRPr="00344786">
        <w:rPr>
          <w:rFonts w:asciiTheme="minorHAnsi" w:hAnsiTheme="minorHAnsi"/>
          <w:sz w:val="22"/>
          <w:szCs w:val="22"/>
          <w:vertAlign w:val="subscript"/>
        </w:rPr>
        <w:t>min</w:t>
      </w:r>
      <w:r w:rsidRPr="00344786">
        <w:rPr>
          <w:rFonts w:asciiTheme="minorHAnsi" w:hAnsiTheme="minorHAnsi"/>
          <w:sz w:val="22"/>
          <w:szCs w:val="22"/>
        </w:rPr>
        <w:t>=1.0, M</w:t>
      </w:r>
      <w:r w:rsidRPr="00344786">
        <w:rPr>
          <w:rFonts w:asciiTheme="minorHAnsi" w:hAnsiTheme="minorHAnsi"/>
          <w:sz w:val="22"/>
          <w:szCs w:val="22"/>
          <w:vertAlign w:val="subscript"/>
        </w:rPr>
        <w:t>max</w:t>
      </w:r>
      <w:r w:rsidRPr="00344786">
        <w:rPr>
          <w:rFonts w:asciiTheme="minorHAnsi" w:hAnsiTheme="minorHAnsi"/>
          <w:sz w:val="22"/>
          <w:szCs w:val="22"/>
        </w:rPr>
        <w:t xml:space="preserve">=6.0, </w:t>
      </w:r>
      <w:r w:rsidRPr="00344786">
        <w:rPr>
          <w:rFonts w:asciiTheme="minorHAnsi" w:hAnsiTheme="minorHAnsi"/>
          <w:sz w:val="22"/>
          <w:szCs w:val="22"/>
          <w:lang w:val="el-GR"/>
        </w:rPr>
        <w:t>μ</w:t>
      </w:r>
      <w:r w:rsidRPr="00344786">
        <w:rPr>
          <w:rFonts w:asciiTheme="minorHAnsi" w:hAnsiTheme="minorHAnsi"/>
          <w:sz w:val="22"/>
          <w:szCs w:val="22"/>
        </w:rPr>
        <w:t xml:space="preserve">=3.5 and </w:t>
      </w:r>
      <w:r w:rsidRPr="00344786">
        <w:rPr>
          <w:rFonts w:asciiTheme="minorHAnsi" w:hAnsiTheme="minorHAnsi"/>
          <w:sz w:val="22"/>
          <w:szCs w:val="22"/>
          <w:lang w:val="el-GR"/>
        </w:rPr>
        <w:t>σ</w:t>
      </w:r>
      <w:r w:rsidRPr="00344786">
        <w:rPr>
          <w:rFonts w:asciiTheme="minorHAnsi" w:hAnsiTheme="minorHAnsi"/>
          <w:sz w:val="22"/>
          <w:szCs w:val="22"/>
        </w:rPr>
        <w:t>=0.3 (Fig. S</w:t>
      </w:r>
      <w:r w:rsidR="00192243">
        <w:rPr>
          <w:rFonts w:asciiTheme="minorHAnsi" w:hAnsiTheme="minorHAnsi"/>
          <w:sz w:val="22"/>
          <w:szCs w:val="22"/>
        </w:rPr>
        <w:t>87</w:t>
      </w:r>
      <w:r w:rsidRPr="00344786">
        <w:rPr>
          <w:rFonts w:asciiTheme="minorHAnsi" w:hAnsiTheme="minorHAnsi"/>
          <w:sz w:val="22"/>
          <w:szCs w:val="22"/>
        </w:rPr>
        <w:t xml:space="preserve">d). </w:t>
      </w:r>
      <w:r w:rsidR="00AC1CA0" w:rsidRPr="00AC1CA0">
        <w:rPr>
          <w:rFonts w:asciiTheme="minorHAnsi" w:hAnsiTheme="minorHAnsi"/>
          <w:sz w:val="22"/>
          <w:szCs w:val="22"/>
        </w:rPr>
        <w:t xml:space="preserve">To further evaluate the sensitivity of the AD test to deviations in the distribution tail we included a test case with a small admixture of a normal distribution centred at μ = 5.0 and σ = 0. </w:t>
      </w:r>
      <w:r w:rsidR="00AC1CA0" w:rsidRPr="00344786">
        <w:rPr>
          <w:rFonts w:asciiTheme="minorHAnsi" w:hAnsiTheme="minorHAnsi"/>
          <w:sz w:val="22"/>
          <w:szCs w:val="22"/>
        </w:rPr>
        <w:t>3 (Fig. S</w:t>
      </w:r>
      <w:r w:rsidR="00AC1CA0">
        <w:rPr>
          <w:rFonts w:asciiTheme="minorHAnsi" w:hAnsiTheme="minorHAnsi"/>
          <w:sz w:val="22"/>
          <w:szCs w:val="22"/>
        </w:rPr>
        <w:t>87e</w:t>
      </w:r>
      <w:r w:rsidR="00AC1CA0" w:rsidRPr="00344786">
        <w:rPr>
          <w:rFonts w:asciiTheme="minorHAnsi" w:hAnsiTheme="minorHAnsi"/>
          <w:sz w:val="22"/>
          <w:szCs w:val="22"/>
        </w:rPr>
        <w:t>)</w:t>
      </w:r>
      <w:r w:rsidR="00AC1CA0">
        <w:rPr>
          <w:rFonts w:asciiTheme="minorHAnsi" w:hAnsiTheme="minorHAnsi"/>
          <w:sz w:val="22"/>
          <w:szCs w:val="22"/>
        </w:rPr>
        <w:t>.</w:t>
      </w:r>
      <w:r w:rsidR="00AC1CA0" w:rsidRPr="00AC1CA0">
        <w:rPr>
          <w:rFonts w:asciiTheme="minorHAnsi" w:hAnsiTheme="minorHAnsi"/>
          <w:sz w:val="22"/>
          <w:szCs w:val="22"/>
        </w:rPr>
        <w:t xml:space="preserve"> </w:t>
      </w:r>
      <w:r w:rsidRPr="00344786">
        <w:rPr>
          <w:rFonts w:asciiTheme="minorHAnsi" w:hAnsiTheme="minorHAnsi"/>
          <w:sz w:val="22"/>
          <w:szCs w:val="22"/>
        </w:rPr>
        <w:t>The functions that describe the concave and convex PDFs, i.e., a log-linear distribution with a breakdown at M=M</w:t>
      </w:r>
      <w:r w:rsidRPr="00344786">
        <w:rPr>
          <w:rFonts w:asciiTheme="minorHAnsi" w:hAnsiTheme="minorHAnsi"/>
          <w:sz w:val="22"/>
          <w:szCs w:val="22"/>
          <w:vertAlign w:val="subscript"/>
        </w:rPr>
        <w:t>C</w:t>
      </w:r>
      <w:r w:rsidRPr="00344786">
        <w:rPr>
          <w:rFonts w:asciiTheme="minorHAnsi" w:hAnsiTheme="minorHAnsi"/>
          <w:sz w:val="22"/>
          <w:szCs w:val="22"/>
        </w:rPr>
        <w:t>, are described by Utsu et al. (1999)</w:t>
      </w:r>
      <w:r w:rsidRPr="00344786">
        <w:rPr>
          <w:rFonts w:asciiTheme="minorHAnsi" w:hAnsiTheme="minorHAnsi"/>
          <w:color w:val="000000"/>
          <w:sz w:val="22"/>
          <w:szCs w:val="22"/>
        </w:rPr>
        <w:t>.</w:t>
      </w:r>
      <w:r w:rsidRPr="00344786">
        <w:rPr>
          <w:rFonts w:asciiTheme="minorHAnsi" w:hAnsiTheme="minorHAnsi"/>
          <w:sz w:val="22"/>
          <w:szCs w:val="22"/>
        </w:rPr>
        <w:t xml:space="preserve"> For every sample size, </w:t>
      </w:r>
      <w:r w:rsidRPr="00344786">
        <w:rPr>
          <w:rFonts w:asciiTheme="minorHAnsi" w:hAnsiTheme="minorHAnsi"/>
          <w:i/>
          <w:iCs/>
          <w:sz w:val="22"/>
          <w:szCs w:val="22"/>
        </w:rPr>
        <w:t>n</w:t>
      </w:r>
      <w:r w:rsidRPr="00344786">
        <w:rPr>
          <w:rFonts w:asciiTheme="minorHAnsi" w:hAnsiTheme="minorHAnsi"/>
          <w:sz w:val="22"/>
          <w:szCs w:val="22"/>
        </w:rPr>
        <w:t>, we performed the AD, LIL and KS tests 100000 times and then we calculated the median of the p-values for each test. We chose the median instead of the mean value because the distribution of p-values is not necessarily normally distributed. The tests were performed by randomly drawing samples between M</w:t>
      </w:r>
      <w:r w:rsidRPr="00344786">
        <w:rPr>
          <w:rFonts w:asciiTheme="minorHAnsi" w:hAnsiTheme="minorHAnsi"/>
          <w:sz w:val="22"/>
          <w:szCs w:val="22"/>
          <w:vertAlign w:val="subscript"/>
        </w:rPr>
        <w:t>min</w:t>
      </w:r>
      <w:r w:rsidRPr="00344786">
        <w:rPr>
          <w:rFonts w:asciiTheme="minorHAnsi" w:hAnsiTheme="minorHAnsi"/>
          <w:sz w:val="22"/>
          <w:szCs w:val="22"/>
        </w:rPr>
        <w:t xml:space="preserve"> and M</w:t>
      </w:r>
      <w:r w:rsidRPr="00344786">
        <w:rPr>
          <w:rFonts w:asciiTheme="minorHAnsi" w:hAnsiTheme="minorHAnsi"/>
          <w:sz w:val="22"/>
          <w:szCs w:val="22"/>
          <w:vertAlign w:val="subscript"/>
        </w:rPr>
        <w:t>max</w:t>
      </w:r>
      <w:r w:rsidRPr="00344786">
        <w:rPr>
          <w:rFonts w:asciiTheme="minorHAnsi" w:hAnsiTheme="minorHAnsi"/>
          <w:sz w:val="22"/>
          <w:szCs w:val="22"/>
        </w:rPr>
        <w:t xml:space="preserve"> for each sample size.</w:t>
      </w:r>
    </w:p>
    <w:p w14:paraId="6E5A13D3" w14:textId="093F900D"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results reveal that the AD and LIL tests perform better for the simple exponential distribution and that none of the two outperforms the other consistently (Fig. S</w:t>
      </w:r>
      <w:r w:rsidR="00390D02">
        <w:rPr>
          <w:rFonts w:asciiTheme="minorHAnsi" w:hAnsiTheme="minorHAnsi"/>
          <w:sz w:val="22"/>
          <w:szCs w:val="22"/>
        </w:rPr>
        <w:t>88</w:t>
      </w:r>
      <w:r w:rsidRPr="00344786">
        <w:rPr>
          <w:rFonts w:asciiTheme="minorHAnsi" w:hAnsiTheme="minorHAnsi"/>
          <w:sz w:val="22"/>
          <w:szCs w:val="22"/>
        </w:rPr>
        <w:t>a). The concave composite CDF requires at least 2000 samples for the AD test to reject the null hypothesis and 3000 samples for the KS and LIL tests (Fig. S</w:t>
      </w:r>
      <w:r w:rsidR="00390D02">
        <w:rPr>
          <w:rFonts w:asciiTheme="minorHAnsi" w:hAnsiTheme="minorHAnsi"/>
          <w:sz w:val="22"/>
          <w:szCs w:val="22"/>
        </w:rPr>
        <w:t>88</w:t>
      </w:r>
      <w:r w:rsidRPr="00344786">
        <w:rPr>
          <w:rFonts w:asciiTheme="minorHAnsi" w:hAnsiTheme="minorHAnsi"/>
          <w:sz w:val="22"/>
          <w:szCs w:val="22"/>
        </w:rPr>
        <w:t>b). The results for the convex composite PDF are similar to those of the concave but with 1000 samples needed for the AD test and 2000 for the KS and LIL tests(Fig. S</w:t>
      </w:r>
      <w:r w:rsidR="00390D02">
        <w:rPr>
          <w:rFonts w:asciiTheme="minorHAnsi" w:hAnsiTheme="minorHAnsi"/>
          <w:sz w:val="22"/>
          <w:szCs w:val="22"/>
        </w:rPr>
        <w:t>88</w:t>
      </w:r>
      <w:r w:rsidRPr="00344786">
        <w:rPr>
          <w:rFonts w:asciiTheme="minorHAnsi" w:hAnsiTheme="minorHAnsi"/>
          <w:sz w:val="22"/>
          <w:szCs w:val="22"/>
        </w:rPr>
        <w:t>c). Finally, the mix of exponential and normal distributions</w:t>
      </w:r>
      <w:r w:rsidR="00AC1CA0">
        <w:rPr>
          <w:rFonts w:asciiTheme="minorHAnsi" w:hAnsiTheme="minorHAnsi"/>
          <w:sz w:val="22"/>
          <w:szCs w:val="22"/>
        </w:rPr>
        <w:t xml:space="preserve"> with </w:t>
      </w:r>
      <w:r w:rsidR="00AC1CA0">
        <w:rPr>
          <w:rFonts w:asciiTheme="minorHAnsi" w:hAnsiTheme="minorHAnsi"/>
          <w:sz w:val="22"/>
          <w:szCs w:val="22"/>
          <w:lang w:val="el-GR"/>
        </w:rPr>
        <w:t>μ</w:t>
      </w:r>
      <w:r w:rsidR="00AC1CA0" w:rsidRPr="00AC1CA0">
        <w:rPr>
          <w:rFonts w:asciiTheme="minorHAnsi" w:hAnsiTheme="minorHAnsi"/>
          <w:sz w:val="22"/>
          <w:szCs w:val="22"/>
        </w:rPr>
        <w:t xml:space="preserve">=3.5 </w:t>
      </w:r>
      <w:r w:rsidR="00AC1CA0">
        <w:rPr>
          <w:rFonts w:asciiTheme="minorHAnsi" w:hAnsiTheme="minorHAnsi"/>
          <w:sz w:val="22"/>
          <w:szCs w:val="22"/>
        </w:rPr>
        <w:t xml:space="preserve">and </w:t>
      </w:r>
      <w:r w:rsidR="00AC1CA0">
        <w:rPr>
          <w:rFonts w:asciiTheme="minorHAnsi" w:hAnsiTheme="minorHAnsi"/>
          <w:sz w:val="22"/>
          <w:szCs w:val="22"/>
          <w:lang w:val="el-GR"/>
        </w:rPr>
        <w:t>σ</w:t>
      </w:r>
      <w:r w:rsidR="00AC1CA0" w:rsidRPr="00AC1CA0">
        <w:rPr>
          <w:rFonts w:asciiTheme="minorHAnsi" w:hAnsiTheme="minorHAnsi"/>
          <w:sz w:val="22"/>
          <w:szCs w:val="22"/>
        </w:rPr>
        <w:t>=0.</w:t>
      </w:r>
      <w:r w:rsidR="00AC1CA0" w:rsidRPr="00021972">
        <w:rPr>
          <w:rFonts w:asciiTheme="minorHAnsi" w:hAnsiTheme="minorHAnsi"/>
          <w:sz w:val="22"/>
          <w:szCs w:val="22"/>
        </w:rPr>
        <w:t>3</w:t>
      </w:r>
      <w:r w:rsidRPr="00344786">
        <w:rPr>
          <w:rFonts w:asciiTheme="minorHAnsi" w:hAnsiTheme="minorHAnsi"/>
          <w:sz w:val="22"/>
          <w:szCs w:val="22"/>
        </w:rPr>
        <w:t xml:space="preserve"> requires at least 60 samples for the AD test to reject the null hypothesis and 90 samples for the KS and LIL tests (Fig. S</w:t>
      </w:r>
      <w:r w:rsidR="00390D02">
        <w:rPr>
          <w:rFonts w:asciiTheme="minorHAnsi" w:hAnsiTheme="minorHAnsi"/>
          <w:sz w:val="22"/>
          <w:szCs w:val="22"/>
        </w:rPr>
        <w:t>88</w:t>
      </w:r>
      <w:r w:rsidRPr="00344786">
        <w:rPr>
          <w:rFonts w:asciiTheme="minorHAnsi" w:hAnsiTheme="minorHAnsi"/>
          <w:sz w:val="22"/>
          <w:szCs w:val="22"/>
        </w:rPr>
        <w:t xml:space="preserve">d). </w:t>
      </w:r>
      <w:r w:rsidR="00021972">
        <w:rPr>
          <w:rFonts w:asciiTheme="minorHAnsi" w:hAnsiTheme="minorHAnsi"/>
          <w:sz w:val="22"/>
          <w:szCs w:val="22"/>
        </w:rPr>
        <w:t xml:space="preserve">The mix of exponential distribution </w:t>
      </w:r>
      <w:r w:rsidR="000978EB">
        <w:rPr>
          <w:rFonts w:asciiTheme="minorHAnsi" w:hAnsiTheme="minorHAnsi"/>
          <w:sz w:val="22"/>
          <w:szCs w:val="22"/>
        </w:rPr>
        <w:t xml:space="preserve">and normal with </w:t>
      </w:r>
      <w:r w:rsidR="000978EB">
        <w:rPr>
          <w:rFonts w:asciiTheme="minorHAnsi" w:hAnsiTheme="minorHAnsi"/>
          <w:sz w:val="22"/>
          <w:szCs w:val="22"/>
          <w:lang w:val="el-GR"/>
        </w:rPr>
        <w:t>μ</w:t>
      </w:r>
      <w:r w:rsidR="000978EB" w:rsidRPr="000978EB">
        <w:rPr>
          <w:rFonts w:asciiTheme="minorHAnsi" w:hAnsiTheme="minorHAnsi"/>
          <w:sz w:val="22"/>
          <w:szCs w:val="22"/>
        </w:rPr>
        <w:t xml:space="preserve">=0.5 </w:t>
      </w:r>
      <w:r w:rsidR="000978EB">
        <w:rPr>
          <w:rFonts w:asciiTheme="minorHAnsi" w:hAnsiTheme="minorHAnsi"/>
          <w:sz w:val="22"/>
          <w:szCs w:val="22"/>
        </w:rPr>
        <w:t xml:space="preserve">and </w:t>
      </w:r>
      <w:r w:rsidR="000978EB">
        <w:rPr>
          <w:rFonts w:asciiTheme="minorHAnsi" w:hAnsiTheme="minorHAnsi"/>
          <w:sz w:val="22"/>
          <w:szCs w:val="22"/>
          <w:lang w:val="el-GR"/>
        </w:rPr>
        <w:t>σ</w:t>
      </w:r>
      <w:r w:rsidR="000978EB" w:rsidRPr="000978EB">
        <w:rPr>
          <w:rFonts w:asciiTheme="minorHAnsi" w:hAnsiTheme="minorHAnsi"/>
          <w:sz w:val="22"/>
          <w:szCs w:val="22"/>
        </w:rPr>
        <w:t xml:space="preserve">=0.3 </w:t>
      </w:r>
      <w:r w:rsidR="000978EB">
        <w:rPr>
          <w:rFonts w:asciiTheme="minorHAnsi" w:hAnsiTheme="minorHAnsi"/>
          <w:sz w:val="22"/>
          <w:szCs w:val="22"/>
        </w:rPr>
        <w:t>requires as few as 20 samples for the AD test</w:t>
      </w:r>
      <w:r w:rsidR="001E007E">
        <w:rPr>
          <w:rFonts w:asciiTheme="minorHAnsi" w:hAnsiTheme="minorHAnsi"/>
          <w:sz w:val="22"/>
          <w:szCs w:val="22"/>
        </w:rPr>
        <w:t xml:space="preserve"> and 30 for the Lilliefors and KS test</w:t>
      </w:r>
      <w:r w:rsidR="00C518CE">
        <w:rPr>
          <w:rFonts w:asciiTheme="minorHAnsi" w:hAnsiTheme="minorHAnsi"/>
          <w:sz w:val="22"/>
          <w:szCs w:val="22"/>
        </w:rPr>
        <w:t>s</w:t>
      </w:r>
      <w:r w:rsidR="0034632F">
        <w:rPr>
          <w:rFonts w:asciiTheme="minorHAnsi" w:hAnsiTheme="minorHAnsi"/>
          <w:sz w:val="22"/>
          <w:szCs w:val="22"/>
        </w:rPr>
        <w:t xml:space="preserve"> (Fig. S88e),</w:t>
      </w:r>
      <w:r w:rsidR="00C518CE">
        <w:rPr>
          <w:rFonts w:asciiTheme="minorHAnsi" w:hAnsiTheme="minorHAnsi"/>
          <w:sz w:val="22"/>
          <w:szCs w:val="22"/>
        </w:rPr>
        <w:t xml:space="preserve"> </w:t>
      </w:r>
      <w:r w:rsidR="0034632F">
        <w:rPr>
          <w:rFonts w:asciiTheme="minorHAnsi" w:hAnsiTheme="minorHAnsi"/>
          <w:sz w:val="22"/>
          <w:szCs w:val="22"/>
        </w:rPr>
        <w:t xml:space="preserve">further </w:t>
      </w:r>
      <w:r w:rsidR="00C518CE">
        <w:rPr>
          <w:rFonts w:asciiTheme="minorHAnsi" w:hAnsiTheme="minorHAnsi"/>
          <w:sz w:val="22"/>
          <w:szCs w:val="22"/>
        </w:rPr>
        <w:t xml:space="preserve">showcasing the sensitivity of the AD test </w:t>
      </w:r>
      <w:r w:rsidR="0034632F">
        <w:rPr>
          <w:rFonts w:asciiTheme="minorHAnsi" w:hAnsiTheme="minorHAnsi"/>
          <w:sz w:val="22"/>
          <w:szCs w:val="22"/>
        </w:rPr>
        <w:t xml:space="preserve">at the distribution tail. </w:t>
      </w:r>
      <w:r w:rsidR="00C518CE">
        <w:rPr>
          <w:rFonts w:asciiTheme="minorHAnsi" w:hAnsiTheme="minorHAnsi"/>
          <w:sz w:val="22"/>
          <w:szCs w:val="22"/>
        </w:rPr>
        <w:t xml:space="preserve">for </w:t>
      </w:r>
      <w:r w:rsidRPr="00344786">
        <w:rPr>
          <w:rFonts w:asciiTheme="minorHAnsi" w:hAnsiTheme="minorHAnsi"/>
          <w:sz w:val="22"/>
          <w:szCs w:val="22"/>
        </w:rPr>
        <w:t xml:space="preserve">The AD test </w:t>
      </w:r>
      <w:r w:rsidRPr="00344786">
        <w:rPr>
          <w:rFonts w:asciiTheme="minorHAnsi" w:hAnsiTheme="minorHAnsi"/>
          <w:sz w:val="22"/>
          <w:szCs w:val="22"/>
        </w:rPr>
        <w:lastRenderedPageBreak/>
        <w:t>generally performs better samples drawn from a concave and convex composite CDFs as well as for exponential with normal composite CDF which is the reason behind our choice to apply the AD test for the selected subcatalogs of this study. Furthermore, the minimum of 60 samples needed to reject the null hypothesis in the composite exponential and normal distribution lead us to consider a minimum of 60 earthquake minimum for the examined subclusters.</w:t>
      </w:r>
    </w:p>
    <w:p w14:paraId="10B77107" w14:textId="77777777" w:rsidR="009932D9" w:rsidRPr="00344786" w:rsidRDefault="009932D9" w:rsidP="00E97234">
      <w:pPr>
        <w:spacing w:line="360" w:lineRule="auto"/>
        <w:jc w:val="both"/>
        <w:rPr>
          <w:rFonts w:asciiTheme="minorHAnsi" w:hAnsiTheme="minorHAnsi"/>
          <w:sz w:val="22"/>
          <w:szCs w:val="22"/>
        </w:rPr>
      </w:pPr>
    </w:p>
    <w:p w14:paraId="6877D841" w14:textId="77777777" w:rsidR="009932D9" w:rsidRPr="00344786" w:rsidRDefault="009932D9" w:rsidP="00E97234">
      <w:pPr>
        <w:pStyle w:val="Heading2"/>
        <w:spacing w:line="360" w:lineRule="auto"/>
        <w:jc w:val="both"/>
        <w:rPr>
          <w:rFonts w:asciiTheme="minorHAnsi" w:hAnsiTheme="minorHAnsi"/>
          <w:sz w:val="22"/>
          <w:szCs w:val="22"/>
        </w:rPr>
      </w:pPr>
      <w:bookmarkStart w:id="25" w:name="_Toc162436016"/>
      <w:r w:rsidRPr="00344786">
        <w:rPr>
          <w:rFonts w:asciiTheme="minorHAnsi" w:hAnsiTheme="minorHAnsi"/>
          <w:sz w:val="22"/>
          <w:szCs w:val="22"/>
        </w:rPr>
        <w:t>2.2 – Applied statistical tests for the exponentiality and complexity of the frequency–magnitude distribution of the anthropogenic earthquakes</w:t>
      </w:r>
      <w:bookmarkEnd w:id="25"/>
    </w:p>
    <w:p w14:paraId="58B03717" w14:textId="77777777" w:rsidR="009932D9" w:rsidRPr="00344786" w:rsidRDefault="009932D9"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The Anderson–Darling test for exponential distribution</w:t>
      </w:r>
    </w:p>
    <w:p w14:paraId="7B3E4265" w14:textId="58E0B1CB" w:rsidR="009932D9" w:rsidRPr="00344786" w:rsidRDefault="00453E32" w:rsidP="00E97234">
      <w:pPr>
        <w:pStyle w:val="SMText"/>
        <w:spacing w:line="360" w:lineRule="auto"/>
        <w:jc w:val="both"/>
        <w:rPr>
          <w:rFonts w:asciiTheme="minorHAnsi" w:hAnsiTheme="minorHAnsi"/>
          <w:sz w:val="22"/>
          <w:szCs w:val="22"/>
        </w:rPr>
      </w:pPr>
      <w:r w:rsidRPr="00453E32">
        <w:rPr>
          <w:rFonts w:asciiTheme="minorHAnsi" w:hAnsiTheme="minorHAnsi"/>
          <w:sz w:val="22"/>
          <w:szCs w:val="22"/>
        </w:rPr>
        <w:t>The Anderson–Darling (AD) test is a statistical test commonly used to evaluate whether a given magnitude distribution—or any sample of a random variable—conforms to a specified theoretical distribution, such as the exponential (Anderson &amp; Darling, 1954; Marsaglia &amp; Marsaglia, 2004).</w:t>
      </w:r>
      <w:r>
        <w:rPr>
          <w:rFonts w:asciiTheme="minorHAnsi" w:hAnsiTheme="minorHAnsi"/>
          <w:sz w:val="22"/>
          <w:szCs w:val="22"/>
        </w:rPr>
        <w:t xml:space="preserve"> </w:t>
      </w:r>
      <w:r w:rsidR="009932D9" w:rsidRPr="00344786">
        <w:rPr>
          <w:rFonts w:asciiTheme="minorHAnsi" w:hAnsiTheme="minorHAnsi"/>
          <w:sz w:val="22"/>
          <w:szCs w:val="22"/>
        </w:rPr>
        <w:t xml:space="preserve">In the context of earthquake frequency magnitude distribution analysis, the </w:t>
      </w:r>
      <w:r w:rsidR="009932D9" w:rsidRPr="00344786">
        <w:rPr>
          <w:rFonts w:asciiTheme="minorHAnsi" w:hAnsiTheme="minorHAnsi"/>
          <w:i/>
          <w:iCs/>
          <w:sz w:val="22"/>
          <w:szCs w:val="22"/>
        </w:rPr>
        <w:t>b</w:t>
      </w:r>
      <w:r w:rsidR="009932D9" w:rsidRPr="00344786">
        <w:rPr>
          <w:rFonts w:asciiTheme="minorHAnsi" w:hAnsiTheme="minorHAnsi"/>
          <w:sz w:val="22"/>
          <w:szCs w:val="22"/>
        </w:rPr>
        <w:t xml:space="preserve"> parameter of the Gutenberg–Richter (G–R) law is typically estimated through maximum likelihood estimation (Bender et al., 1983). Subsequently, with the use of (3), the CDF of the magnitude distribution </w:t>
      </w: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n</m:t>
            </m:r>
          </m:sub>
        </m:sSub>
        <m:d>
          <m:dPr>
            <m:ctrlPr>
              <w:rPr>
                <w:rFonts w:ascii="Cambria Math" w:hAnsi="Cambria Math"/>
                <w:i/>
                <w:sz w:val="22"/>
                <w:szCs w:val="22"/>
              </w:rPr>
            </m:ctrlPr>
          </m:dPr>
          <m:e>
            <m:r>
              <w:rPr>
                <w:rFonts w:ascii="Cambria Math" w:hAnsi="Cambria Math"/>
                <w:sz w:val="22"/>
                <w:szCs w:val="22"/>
              </w:rPr>
              <m:t>M</m:t>
            </m:r>
          </m:e>
        </m:d>
      </m:oMath>
      <w:r w:rsidR="009932D9" w:rsidRPr="00344786">
        <w:rPr>
          <w:rFonts w:asciiTheme="minorHAnsi" w:eastAsiaTheme="minorEastAsia" w:hAnsiTheme="minorHAnsi"/>
          <w:sz w:val="22"/>
          <w:szCs w:val="22"/>
        </w:rPr>
        <w:t xml:space="preserve"> </w:t>
      </w:r>
      <w:r w:rsidR="009932D9" w:rsidRPr="00344786">
        <w:rPr>
          <w:rFonts w:asciiTheme="minorHAnsi" w:hAnsiTheme="minorHAnsi"/>
          <w:sz w:val="22"/>
          <w:szCs w:val="22"/>
        </w:rPr>
        <w:t>is compared to the CDF of a theoretical exponential distribution that is generated with the b-value that was estimated from the data, expressed as:</w:t>
      </w:r>
    </w:p>
    <w:p w14:paraId="1E86231D" w14:textId="77777777" w:rsidR="009932D9" w:rsidRPr="00344786" w:rsidRDefault="009932D9" w:rsidP="00667C07">
      <w:pPr>
        <w:pStyle w:val="SMText"/>
        <w:spacing w:line="360" w:lineRule="auto"/>
        <w:jc w:val="right"/>
        <w:rPr>
          <w:rFonts w:asciiTheme="minorHAnsi" w:eastAsiaTheme="minorEastAsia" w:hAnsiTheme="minorHAnsi"/>
          <w:i/>
          <w:sz w:val="22"/>
          <w:szCs w:val="22"/>
        </w:rPr>
      </w:pPr>
      <m:oMath>
        <m:r>
          <w:rPr>
            <w:rFonts w:ascii="Cambria Math" w:hAnsi="Cambria Math"/>
            <w:sz w:val="22"/>
            <w:szCs w:val="22"/>
          </w:rPr>
          <m:t>F</m:t>
        </m:r>
        <m:d>
          <m:dPr>
            <m:ctrlPr>
              <w:rPr>
                <w:rFonts w:ascii="Cambria Math" w:hAnsi="Cambria Math"/>
                <w:i/>
                <w:sz w:val="22"/>
                <w:szCs w:val="22"/>
              </w:rPr>
            </m:ctrlPr>
          </m:dPr>
          <m:e>
            <m:r>
              <w:rPr>
                <w:rFonts w:ascii="Cambria Math" w:hAnsi="Cambria Math"/>
                <w:sz w:val="22"/>
                <w:szCs w:val="22"/>
              </w:rPr>
              <m:t>M</m:t>
            </m:r>
          </m:e>
        </m:d>
        <m:r>
          <w:rPr>
            <w:rFonts w:ascii="Cambria Math" w:hAnsi="Cambria Math"/>
            <w:sz w:val="22"/>
            <w:szCs w:val="22"/>
          </w:rPr>
          <m:t>=1-</m:t>
        </m:r>
        <m:sSup>
          <m:sSupPr>
            <m:ctrlPr>
              <w:rPr>
                <w:rFonts w:ascii="Cambria Math" w:hAnsi="Cambria Math"/>
                <w:i/>
                <w:sz w:val="22"/>
                <w:szCs w:val="22"/>
              </w:rPr>
            </m:ctrlPr>
          </m:sSupPr>
          <m:e>
            <m:r>
              <w:rPr>
                <w:rFonts w:ascii="Cambria Math" w:hAnsi="Cambria Math"/>
                <w:sz w:val="22"/>
                <w:szCs w:val="22"/>
              </w:rPr>
              <m:t>e</m:t>
            </m:r>
          </m:e>
          <m:sup>
            <m:r>
              <w:rPr>
                <w:rFonts w:ascii="Cambria Math" w:hAnsi="Cambria Math"/>
                <w:sz w:val="22"/>
                <w:szCs w:val="22"/>
              </w:rPr>
              <m:t>-b∙ln10(M-</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C</m:t>
                </m:r>
              </m:sub>
            </m:sSub>
            <m:r>
              <w:rPr>
                <w:rFonts w:ascii="Cambria Math" w:hAnsi="Cambria Math"/>
                <w:sz w:val="22"/>
                <w:szCs w:val="22"/>
              </w:rPr>
              <m:t>)</m:t>
            </m:r>
          </m:sup>
        </m:sSup>
      </m:oMath>
      <w:r w:rsidRPr="00344786">
        <w:rPr>
          <w:rFonts w:asciiTheme="minorHAnsi" w:eastAsiaTheme="minorEastAsia" w:hAnsiTheme="minorHAnsi"/>
          <w:i/>
          <w:sz w:val="22"/>
          <w:szCs w:val="22"/>
        </w:rPr>
        <w:t>,</w:t>
      </w:r>
      <w:r w:rsidRPr="00344786">
        <w:rPr>
          <w:rFonts w:asciiTheme="minorHAnsi" w:eastAsiaTheme="minorEastAsia" w:hAnsiTheme="minorHAnsi"/>
          <w:iCs/>
          <w:sz w:val="22"/>
          <w:szCs w:val="22"/>
        </w:rPr>
        <w:t xml:space="preserve">                                                             (4)</w:t>
      </w:r>
    </w:p>
    <w:p w14:paraId="1AFDE448" w14:textId="77777777" w:rsidR="009932D9" w:rsidRPr="00344786" w:rsidRDefault="009932D9" w:rsidP="00E97234">
      <w:pPr>
        <w:pStyle w:val="SMText"/>
        <w:spacing w:line="360" w:lineRule="auto"/>
        <w:ind w:firstLine="0"/>
        <w:jc w:val="both"/>
        <w:rPr>
          <w:rFonts w:asciiTheme="minorHAnsi" w:hAnsiTheme="minorHAnsi"/>
          <w:sz w:val="22"/>
          <w:szCs w:val="22"/>
        </w:rPr>
      </w:pPr>
      <w:r w:rsidRPr="00344786">
        <w:rPr>
          <w:rFonts w:asciiTheme="minorHAnsi" w:eastAsiaTheme="minorEastAsia" w:hAnsiTheme="minorHAnsi" w:cstheme="minorHAnsi"/>
          <w:iCs/>
          <w:sz w:val="22"/>
          <w:szCs w:val="22"/>
        </w:rPr>
        <w:t xml:space="preserve">with Mc being the magnitude of completeness. </w:t>
      </w:r>
      <w:r w:rsidRPr="00344786">
        <w:rPr>
          <w:rFonts w:asciiTheme="minorHAnsi" w:hAnsiTheme="minorHAnsi"/>
          <w:sz w:val="22"/>
          <w:szCs w:val="22"/>
        </w:rPr>
        <w:t>The null hypothesis under the AD test is:</w:t>
      </w:r>
    </w:p>
    <w:p w14:paraId="192B6258" w14:textId="77777777" w:rsidR="009932D9" w:rsidRPr="00344786" w:rsidRDefault="009932D9" w:rsidP="00E97234">
      <w:pPr>
        <w:pStyle w:val="SMText"/>
        <w:spacing w:line="360" w:lineRule="auto"/>
        <w:ind w:firstLine="0"/>
        <w:jc w:val="both"/>
        <w:rPr>
          <w:rFonts w:asciiTheme="minorHAnsi" w:eastAsiaTheme="minorEastAsia" w:hAnsiTheme="minorHAnsi" w:cstheme="minorHAnsi"/>
          <w:iCs/>
          <w:sz w:val="22"/>
          <w:szCs w:val="22"/>
        </w:rPr>
      </w:pPr>
    </w:p>
    <w:p w14:paraId="306888AF" w14:textId="77777777" w:rsidR="009932D9" w:rsidRPr="00344786" w:rsidRDefault="009932D9" w:rsidP="00E97234">
      <w:pPr>
        <w:pStyle w:val="SMText"/>
        <w:spacing w:line="360" w:lineRule="auto"/>
        <w:ind w:firstLine="0"/>
        <w:jc w:val="both"/>
        <w:rPr>
          <w:rFonts w:asciiTheme="minorHAnsi" w:hAnsiTheme="minorHAnsi"/>
          <w:i/>
          <w:iCs/>
          <w:sz w:val="22"/>
          <w:szCs w:val="22"/>
        </w:rPr>
      </w:pPr>
      <w:r w:rsidRPr="00344786">
        <w:rPr>
          <w:rFonts w:asciiTheme="minorHAnsi" w:hAnsiTheme="minorHAnsi"/>
          <w:i/>
          <w:iCs/>
          <w:sz w:val="22"/>
          <w:szCs w:val="22"/>
        </w:rPr>
        <w:t>AD test null hypothesis (H</w:t>
      </w:r>
      <w:r w:rsidRPr="00344786">
        <w:rPr>
          <w:rFonts w:asciiTheme="minorHAnsi" w:hAnsiTheme="minorHAnsi"/>
          <w:i/>
          <w:iCs/>
          <w:sz w:val="22"/>
          <w:szCs w:val="22"/>
          <w:vertAlign w:val="subscript"/>
        </w:rPr>
        <w:t>0</w:t>
      </w:r>
      <w:r w:rsidRPr="00344786">
        <w:rPr>
          <w:rFonts w:asciiTheme="minorHAnsi" w:hAnsiTheme="minorHAnsi"/>
          <w:i/>
          <w:iCs/>
          <w:sz w:val="22"/>
          <w:szCs w:val="22"/>
          <w:vertAlign w:val="superscript"/>
        </w:rPr>
        <w:t>1</w:t>
      </w:r>
      <w:r w:rsidRPr="00344786">
        <w:rPr>
          <w:rFonts w:asciiTheme="minorHAnsi" w:hAnsiTheme="minorHAnsi"/>
          <w:i/>
          <w:iCs/>
          <w:sz w:val="22"/>
          <w:szCs w:val="22"/>
        </w:rPr>
        <w:t>): A magnitude distribution is exponential.</w:t>
      </w:r>
    </w:p>
    <w:p w14:paraId="35507CB0" w14:textId="77777777" w:rsidR="009932D9" w:rsidRPr="00344786" w:rsidRDefault="009932D9" w:rsidP="00E97234">
      <w:pPr>
        <w:pStyle w:val="SMText"/>
        <w:spacing w:line="360" w:lineRule="auto"/>
        <w:jc w:val="both"/>
        <w:rPr>
          <w:rFonts w:asciiTheme="minorHAnsi" w:hAnsiTheme="minorHAnsi"/>
          <w:sz w:val="22"/>
          <w:szCs w:val="22"/>
        </w:rPr>
      </w:pPr>
    </w:p>
    <w:p w14:paraId="6BCC40FB" w14:textId="77777777"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The null hypothesis was tested at the 0.05 significance level. In the cases where </w:t>
      </w:r>
      <w:r w:rsidRPr="00344786">
        <w:rPr>
          <w:rFonts w:asciiTheme="minorHAnsi" w:hAnsiTheme="minorHAnsi"/>
          <w:i/>
          <w:iCs/>
          <w:sz w:val="22"/>
          <w:szCs w:val="22"/>
        </w:rPr>
        <w:t>H</w:t>
      </w:r>
      <w:r w:rsidRPr="00344786">
        <w:rPr>
          <w:rFonts w:asciiTheme="minorHAnsi" w:hAnsiTheme="minorHAnsi"/>
          <w:i/>
          <w:iCs/>
          <w:sz w:val="22"/>
          <w:szCs w:val="22"/>
          <w:vertAlign w:val="subscript"/>
        </w:rPr>
        <w:t>0</w:t>
      </w:r>
      <w:r w:rsidRPr="00344786">
        <w:rPr>
          <w:rFonts w:asciiTheme="minorHAnsi" w:hAnsiTheme="minorHAnsi"/>
          <w:i/>
          <w:iCs/>
          <w:sz w:val="22"/>
          <w:szCs w:val="22"/>
          <w:vertAlign w:val="superscript"/>
        </w:rPr>
        <w:t>1</w:t>
      </w:r>
      <w:r w:rsidRPr="00344786">
        <w:rPr>
          <w:rFonts w:asciiTheme="minorHAnsi" w:hAnsiTheme="minorHAnsi"/>
          <w:sz w:val="22"/>
          <w:szCs w:val="22"/>
          <w:vertAlign w:val="superscript"/>
        </w:rPr>
        <w:t xml:space="preserve"> </w:t>
      </w:r>
      <w:r w:rsidRPr="00344786">
        <w:rPr>
          <w:rFonts w:asciiTheme="minorHAnsi" w:hAnsiTheme="minorHAnsi"/>
          <w:sz w:val="22"/>
          <w:szCs w:val="22"/>
        </w:rPr>
        <w:t>&lt; 0.05 the null hypothesis is rejected with the probability of error at less than 0.05.</w:t>
      </w:r>
    </w:p>
    <w:p w14:paraId="15E5BD3F" w14:textId="77777777" w:rsidR="009932D9" w:rsidRPr="00344786" w:rsidRDefault="009932D9" w:rsidP="00E97234">
      <w:pPr>
        <w:pStyle w:val="SMText"/>
        <w:spacing w:line="360" w:lineRule="auto"/>
        <w:jc w:val="both"/>
        <w:rPr>
          <w:rFonts w:asciiTheme="minorHAnsi" w:hAnsiTheme="minorHAnsi"/>
          <w:sz w:val="22"/>
          <w:szCs w:val="22"/>
        </w:rPr>
      </w:pPr>
    </w:p>
    <w:p w14:paraId="2999C845" w14:textId="77777777" w:rsidR="009932D9" w:rsidRPr="00344786" w:rsidRDefault="009932D9"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The multimodality and multibump tests</w:t>
      </w:r>
    </w:p>
    <w:p w14:paraId="0BA4C341" w14:textId="1A836820"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The smoothed bootstrap multimodality and multibump tests (Silverman, 1986; Efron &amp; Tibshirani, 1998) comprise the non-parametric approach to examine magnitude distributions and were used for subcatalogs where the AD test would reject the null hypothesis of exponentiality. </w:t>
      </w:r>
      <w:r w:rsidR="003100F2" w:rsidRPr="003100F2">
        <w:rPr>
          <w:rFonts w:asciiTheme="minorHAnsi" w:hAnsiTheme="minorHAnsi"/>
          <w:sz w:val="22"/>
          <w:szCs w:val="22"/>
        </w:rPr>
        <w:t>In the context of exponential mixture models, additional modes may appear as local maxima to the right of the global maximum.</w:t>
      </w:r>
      <w:r w:rsidR="003100F2">
        <w:rPr>
          <w:rFonts w:asciiTheme="minorHAnsi" w:hAnsiTheme="minorHAnsi"/>
          <w:sz w:val="22"/>
          <w:szCs w:val="22"/>
        </w:rPr>
        <w:t xml:space="preserve"> A</w:t>
      </w:r>
      <w:r w:rsidRPr="00344786">
        <w:rPr>
          <w:rFonts w:asciiTheme="minorHAnsi" w:hAnsiTheme="minorHAnsi"/>
          <w:sz w:val="22"/>
          <w:szCs w:val="22"/>
        </w:rPr>
        <w:t xml:space="preserve"> bump is an interval [a, b] for which the PDF is concave while </w:t>
      </w:r>
      <w:r w:rsidRPr="00344786">
        <w:rPr>
          <w:rFonts w:asciiTheme="minorHAnsi" w:hAnsiTheme="minorHAnsi"/>
          <w:sz w:val="22"/>
          <w:szCs w:val="22"/>
        </w:rPr>
        <w:lastRenderedPageBreak/>
        <w:t xml:space="preserve">outside of this interval it is </w:t>
      </w:r>
      <w:r w:rsidRPr="00885223">
        <w:rPr>
          <w:rFonts w:asciiTheme="minorHAnsi" w:hAnsiTheme="minorHAnsi"/>
          <w:sz w:val="22"/>
          <w:szCs w:val="22"/>
        </w:rPr>
        <w:t xml:space="preserve">convex </w:t>
      </w:r>
      <w:r w:rsidR="00885223" w:rsidRPr="00885223">
        <w:rPr>
          <w:rFonts w:asciiTheme="minorHAnsi" w:hAnsiTheme="minorHAnsi"/>
          <w:sz w:val="22"/>
          <w:szCs w:val="22"/>
        </w:rPr>
        <w:t xml:space="preserve">(Fig. S89) </w:t>
      </w:r>
      <w:r w:rsidRPr="00885223">
        <w:rPr>
          <w:rFonts w:asciiTheme="minorHAnsi" w:hAnsiTheme="minorHAnsi"/>
          <w:sz w:val="22"/>
          <w:szCs w:val="22"/>
        </w:rPr>
        <w:t xml:space="preserve">(Lasocki </w:t>
      </w:r>
      <w:r w:rsidRPr="00344786">
        <w:rPr>
          <w:rFonts w:asciiTheme="minorHAnsi" w:hAnsiTheme="minorHAnsi"/>
          <w:sz w:val="22"/>
          <w:szCs w:val="22"/>
        </w:rPr>
        <w:t>&amp; Papadimitriou, 2006). The earthquake magnitude PDF is modeless, except for an artificial mode which is a global maximum corresponding to the magnitude of completeness (Leptokaropoulos et al., 2020). The null hypotheses of the two tests are formed as follows:</w:t>
      </w:r>
    </w:p>
    <w:p w14:paraId="4AE35354" w14:textId="77777777"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i/>
          <w:iCs/>
          <w:sz w:val="22"/>
          <w:szCs w:val="22"/>
        </w:rPr>
        <w:t>Multimodality test null hypothesis (H</w:t>
      </w:r>
      <w:r w:rsidRPr="00344786">
        <w:rPr>
          <w:rFonts w:asciiTheme="minorHAnsi" w:hAnsiTheme="minorHAnsi"/>
          <w:i/>
          <w:iCs/>
          <w:sz w:val="22"/>
          <w:szCs w:val="22"/>
          <w:vertAlign w:val="subscript"/>
        </w:rPr>
        <w:t>0</w:t>
      </w:r>
      <w:r w:rsidRPr="00344786">
        <w:rPr>
          <w:rFonts w:asciiTheme="minorHAnsi" w:hAnsiTheme="minorHAnsi"/>
          <w:i/>
          <w:iCs/>
          <w:sz w:val="22"/>
          <w:szCs w:val="22"/>
          <w:vertAlign w:val="superscript"/>
        </w:rPr>
        <w:t>2</w:t>
      </w:r>
      <w:r w:rsidRPr="00344786">
        <w:rPr>
          <w:rFonts w:asciiTheme="minorHAnsi" w:hAnsiTheme="minorHAnsi"/>
          <w:i/>
          <w:iCs/>
          <w:sz w:val="22"/>
          <w:szCs w:val="22"/>
        </w:rPr>
        <w:t>): The PDF of a magnitude distribution contains only one mode</w:t>
      </w:r>
      <w:r w:rsidRPr="00344786">
        <w:rPr>
          <w:rFonts w:asciiTheme="minorHAnsi" w:hAnsiTheme="minorHAnsi"/>
          <w:sz w:val="22"/>
          <w:szCs w:val="22"/>
        </w:rPr>
        <w:t>, and</w:t>
      </w:r>
    </w:p>
    <w:p w14:paraId="0E0098A2" w14:textId="77777777" w:rsidR="009932D9" w:rsidRPr="00344786" w:rsidRDefault="009932D9" w:rsidP="00E97234">
      <w:pPr>
        <w:pStyle w:val="SMText"/>
        <w:spacing w:line="360" w:lineRule="auto"/>
        <w:jc w:val="both"/>
        <w:rPr>
          <w:rFonts w:asciiTheme="minorHAnsi" w:hAnsiTheme="minorHAnsi"/>
          <w:i/>
          <w:iCs/>
          <w:sz w:val="22"/>
          <w:szCs w:val="22"/>
        </w:rPr>
      </w:pPr>
      <w:r w:rsidRPr="00344786">
        <w:rPr>
          <w:rFonts w:asciiTheme="minorHAnsi" w:hAnsiTheme="minorHAnsi"/>
          <w:i/>
          <w:iCs/>
          <w:sz w:val="22"/>
          <w:szCs w:val="22"/>
        </w:rPr>
        <w:t>Multibump test null hypothesis (H</w:t>
      </w:r>
      <w:r w:rsidRPr="00344786">
        <w:rPr>
          <w:rFonts w:asciiTheme="minorHAnsi" w:hAnsiTheme="minorHAnsi"/>
          <w:i/>
          <w:iCs/>
          <w:sz w:val="22"/>
          <w:szCs w:val="22"/>
          <w:vertAlign w:val="subscript"/>
        </w:rPr>
        <w:t>0</w:t>
      </w:r>
      <w:r w:rsidRPr="00344786">
        <w:rPr>
          <w:rFonts w:asciiTheme="minorHAnsi" w:hAnsiTheme="minorHAnsi"/>
          <w:i/>
          <w:iCs/>
          <w:sz w:val="22"/>
          <w:szCs w:val="22"/>
          <w:vertAlign w:val="superscript"/>
        </w:rPr>
        <w:t>3</w:t>
      </w:r>
      <w:r w:rsidRPr="00344786">
        <w:rPr>
          <w:rFonts w:asciiTheme="minorHAnsi" w:hAnsiTheme="minorHAnsi"/>
          <w:i/>
          <w:iCs/>
          <w:sz w:val="22"/>
          <w:szCs w:val="22"/>
        </w:rPr>
        <w:t>): The PDF of a magnitude distribution contains no more than one bumps to the right of the global maximum.</w:t>
      </w:r>
    </w:p>
    <w:p w14:paraId="38A2E576" w14:textId="4D194570" w:rsidR="00EB2BA1" w:rsidRDefault="00EB2BA1" w:rsidP="00E97234">
      <w:pPr>
        <w:pStyle w:val="SMText"/>
        <w:spacing w:line="360" w:lineRule="auto"/>
        <w:jc w:val="both"/>
        <w:rPr>
          <w:rFonts w:asciiTheme="minorHAnsi" w:hAnsiTheme="minorHAnsi"/>
          <w:sz w:val="22"/>
          <w:szCs w:val="22"/>
        </w:rPr>
      </w:pPr>
      <w:r w:rsidRPr="00EB2BA1">
        <w:rPr>
          <w:rFonts w:asciiTheme="minorHAnsi" w:hAnsiTheme="minorHAnsi"/>
          <w:sz w:val="22"/>
          <w:szCs w:val="22"/>
        </w:rPr>
        <w:t xml:space="preserve">The smoothed bootstrap test for multimodality (Silverman, 1986; Efron &amp; Tibshirani, 1993) </w:t>
      </w:r>
      <w:r>
        <w:rPr>
          <w:rFonts w:asciiTheme="minorHAnsi" w:hAnsiTheme="minorHAnsi"/>
          <w:sz w:val="22"/>
          <w:szCs w:val="22"/>
        </w:rPr>
        <w:t xml:space="preserve">for a sample data </w:t>
      </w:r>
      <m:oMath>
        <m:d>
          <m:dPr>
            <m:begChr m:val="{"/>
            <m:endChr m:val="}"/>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i</m:t>
                </m:r>
              </m:sub>
            </m:sSub>
          </m:e>
        </m:d>
      </m:oMath>
      <w:r>
        <w:rPr>
          <w:rFonts w:asciiTheme="minorHAnsi" w:hAnsiTheme="minorHAnsi"/>
          <w:sz w:val="22"/>
          <w:szCs w:val="22"/>
        </w:rPr>
        <w:t xml:space="preserve">, </w:t>
      </w:r>
      <m:oMath>
        <m:r>
          <w:rPr>
            <w:rFonts w:ascii="Cambria Math" w:hAnsi="Cambria Math"/>
            <w:sz w:val="22"/>
            <w:szCs w:val="22"/>
          </w:rPr>
          <m:t>i=1,2,3…</m:t>
        </m:r>
      </m:oMath>
      <w:r w:rsidR="001366FD" w:rsidRPr="00885223">
        <w:rPr>
          <w:rFonts w:asciiTheme="minorHAnsi" w:hAnsiTheme="minorHAnsi"/>
          <w:sz w:val="22"/>
          <w:szCs w:val="22"/>
        </w:rPr>
        <w:t>,</w:t>
      </w:r>
      <w:r>
        <w:rPr>
          <w:rFonts w:asciiTheme="minorHAnsi" w:hAnsiTheme="minorHAnsi"/>
          <w:sz w:val="22"/>
          <w:szCs w:val="22"/>
        </w:rPr>
        <w:t xml:space="preserve"> </w:t>
      </w:r>
      <w:r w:rsidRPr="00EB2BA1">
        <w:rPr>
          <w:rFonts w:asciiTheme="minorHAnsi" w:hAnsiTheme="minorHAnsi"/>
          <w:sz w:val="22"/>
          <w:szCs w:val="22"/>
        </w:rPr>
        <w:t>is based on the nonparametric kernel density estimate of the magnitude distribution:</w:t>
      </w:r>
    </w:p>
    <w:p w14:paraId="6338AD4E" w14:textId="6A61BDA1" w:rsidR="00EB2BA1" w:rsidRPr="0036525E" w:rsidRDefault="00EB2BA1" w:rsidP="001B50BB">
      <w:pPr>
        <w:pStyle w:val="SMText"/>
        <w:spacing w:line="360" w:lineRule="auto"/>
        <w:jc w:val="right"/>
        <w:rPr>
          <w:rFonts w:asciiTheme="minorHAnsi" w:hAnsiTheme="minorHAnsi"/>
          <w:kern w:val="2"/>
          <w:sz w:val="22"/>
          <w:szCs w:val="22"/>
          <w14:ligatures w14:val="standardContextual"/>
        </w:rPr>
      </w:pPr>
      <m:oMath>
        <m:r>
          <w:rPr>
            <w:rFonts w:ascii="Cambria Math" w:hAnsi="Cambria Math"/>
          </w:rPr>
          <m:t>f</m:t>
        </m:r>
        <m:d>
          <m:dPr>
            <m:ctrlPr>
              <w:rPr>
                <w:rFonts w:ascii="Cambria Math" w:hAnsi="Cambria Math"/>
                <w:i/>
              </w:rPr>
            </m:ctrlPr>
          </m:dPr>
          <m:e>
            <m:r>
              <w:rPr>
                <w:rFonts w:ascii="Cambria Math" w:hAnsi="Cambria Math"/>
              </w:rPr>
              <m:t>M</m:t>
            </m:r>
          </m:e>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i</m:t>
                    </m:r>
                  </m:sub>
                </m:sSub>
              </m:e>
            </m:d>
            <m:r>
              <w:rPr>
                <w:rFonts w:ascii="Cambria Math" w:hAnsi="Cambria Math"/>
              </w:rPr>
              <m:t>,h</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nh</m:t>
            </m:r>
          </m:den>
        </m:f>
        <m:nary>
          <m:naryPr>
            <m:chr m:val="∑"/>
            <m:limLoc m:val="undOvr"/>
            <m:ctrlPr>
              <w:rPr>
                <w:rFonts w:ascii="Cambria Math" w:eastAsiaTheme="minorHAnsi" w:hAnsi="Cambria Math" w:cstheme="minorBidi"/>
                <w:i/>
                <w:kern w:val="2"/>
                <w:sz w:val="22"/>
                <w:szCs w:val="22"/>
                <w14:ligatures w14:val="standardContextual"/>
              </w:rPr>
            </m:ctrlPr>
          </m:naryPr>
          <m:sub>
            <m:r>
              <w:rPr>
                <w:rFonts w:ascii="Cambria Math" w:hAnsi="Cambria Math"/>
              </w:rPr>
              <m:t>i=1</m:t>
            </m:r>
          </m:sub>
          <m:sup>
            <m:r>
              <w:rPr>
                <w:rFonts w:ascii="Cambria Math" w:hAnsi="Cambria Math"/>
              </w:rPr>
              <m:t>n</m:t>
            </m:r>
          </m:sup>
          <m:e>
            <m:r>
              <w:rPr>
                <w:rFonts w:ascii="Cambria Math" w:hAnsi="Cambria Math"/>
              </w:rPr>
              <m:t>K</m:t>
            </m:r>
            <m:d>
              <m:dPr>
                <m:ctrlPr>
                  <w:rPr>
                    <w:rFonts w:ascii="Cambria Math" w:hAnsi="Cambria Math"/>
                    <w:i/>
                  </w:rPr>
                </m:ctrlPr>
              </m:dPr>
              <m:e>
                <m:f>
                  <m:fPr>
                    <m:ctrlPr>
                      <w:rPr>
                        <w:rFonts w:ascii="Cambria Math" w:eastAsiaTheme="minorHAnsi" w:hAnsi="Cambria Math" w:cstheme="minorBidi"/>
                        <w:i/>
                        <w:kern w:val="2"/>
                        <w:sz w:val="22"/>
                        <w:szCs w:val="22"/>
                        <w14:ligatures w14:val="standardContextual"/>
                      </w:rPr>
                    </m:ctrlPr>
                  </m:fPr>
                  <m:num>
                    <m:r>
                      <w:rPr>
                        <w:rFonts w:ascii="Cambria Math" w:hAnsi="Cambria Math"/>
                      </w:rPr>
                      <m:t>M-</m:t>
                    </m:r>
                    <m:sSub>
                      <m:sSubPr>
                        <m:ctrlPr>
                          <w:rPr>
                            <w:rFonts w:ascii="Cambria Math" w:hAnsi="Cambria Math"/>
                            <w:i/>
                          </w:rPr>
                        </m:ctrlPr>
                      </m:sSubPr>
                      <m:e>
                        <m:r>
                          <w:rPr>
                            <w:rFonts w:ascii="Cambria Math" w:hAnsi="Cambria Math"/>
                          </w:rPr>
                          <m:t>M</m:t>
                        </m:r>
                      </m:e>
                      <m:sub>
                        <m:r>
                          <w:rPr>
                            <w:rFonts w:ascii="Cambria Math" w:hAnsi="Cambria Math"/>
                          </w:rPr>
                          <m:t>i</m:t>
                        </m:r>
                      </m:sub>
                    </m:sSub>
                  </m:num>
                  <m:den>
                    <m:r>
                      <w:rPr>
                        <w:rFonts w:ascii="Cambria Math" w:hAnsi="Cambria Math"/>
                      </w:rPr>
                      <m:t>h</m:t>
                    </m:r>
                  </m:den>
                </m:f>
              </m:e>
            </m:d>
          </m:e>
        </m:nary>
      </m:oMath>
      <w:r w:rsidR="00A608E2">
        <w:rPr>
          <w:rFonts w:asciiTheme="minorHAnsi" w:hAnsiTheme="minorHAnsi"/>
          <w:kern w:val="2"/>
          <w:sz w:val="22"/>
          <w:szCs w:val="22"/>
          <w14:ligatures w14:val="standardContextual"/>
        </w:rPr>
        <w:t>,</w:t>
      </w:r>
      <w:r w:rsidR="0036525E" w:rsidRPr="006378D0">
        <w:rPr>
          <w:rFonts w:asciiTheme="minorHAnsi" w:hAnsiTheme="minorHAnsi"/>
          <w:kern w:val="2"/>
          <w:sz w:val="22"/>
          <w:szCs w:val="22"/>
          <w14:ligatures w14:val="standardContextual"/>
        </w:rPr>
        <w:t xml:space="preserve">                                            (5)</w:t>
      </w:r>
    </w:p>
    <w:p w14:paraId="0040AC75" w14:textId="4ED13D84" w:rsidR="00EB2BA1" w:rsidRDefault="00EB2BA1" w:rsidP="00EB2BA1">
      <w:pPr>
        <w:pStyle w:val="SMText"/>
        <w:spacing w:line="360" w:lineRule="auto"/>
        <w:ind w:firstLine="0"/>
        <w:jc w:val="both"/>
        <w:rPr>
          <w:rFonts w:asciiTheme="minorHAnsi" w:hAnsiTheme="minorHAnsi"/>
          <w:sz w:val="22"/>
          <w:szCs w:val="22"/>
        </w:rPr>
      </w:pPr>
      <w:r w:rsidRPr="00EB2BA1">
        <w:rPr>
          <w:rFonts w:asciiTheme="minorHAnsi" w:hAnsiTheme="minorHAnsi"/>
          <w:sz w:val="22"/>
          <w:szCs w:val="22"/>
        </w:rPr>
        <w:t xml:space="preserve">where </w:t>
      </w:r>
      <m:oMath>
        <m:r>
          <w:rPr>
            <w:rFonts w:ascii="Cambria Math" w:hAnsi="Cambria Math"/>
            <w:sz w:val="22"/>
            <w:szCs w:val="22"/>
          </w:rPr>
          <m:t>h&gt;</m:t>
        </m:r>
        <m:r>
          <w:rPr>
            <w:rFonts w:ascii="Cambria Math" w:hAnsi="Cambria Math"/>
            <w:sz w:val="22"/>
            <w:szCs w:val="22"/>
          </w:rPr>
          <m:t>0</m:t>
        </m:r>
      </m:oMath>
      <w:r w:rsidRPr="00EB2BA1">
        <w:rPr>
          <w:rFonts w:asciiTheme="minorHAnsi" w:hAnsiTheme="minorHAnsi"/>
          <w:sz w:val="22"/>
          <w:szCs w:val="22"/>
        </w:rPr>
        <w:t xml:space="preserve"> is </w:t>
      </w:r>
      <w:r w:rsidR="00410547">
        <w:rPr>
          <w:rFonts w:asciiTheme="minorHAnsi" w:hAnsiTheme="minorHAnsi"/>
          <w:sz w:val="22"/>
          <w:szCs w:val="22"/>
        </w:rPr>
        <w:t xml:space="preserve">a </w:t>
      </w:r>
      <w:r w:rsidRPr="00EB2BA1">
        <w:rPr>
          <w:rFonts w:asciiTheme="minorHAnsi" w:hAnsiTheme="minorHAnsi"/>
          <w:sz w:val="22"/>
          <w:szCs w:val="22"/>
        </w:rPr>
        <w:t xml:space="preserve">smoothing </w:t>
      </w:r>
      <w:r w:rsidR="00410547">
        <w:rPr>
          <w:rFonts w:asciiTheme="minorHAnsi" w:hAnsiTheme="minorHAnsi"/>
          <w:sz w:val="22"/>
          <w:szCs w:val="22"/>
        </w:rPr>
        <w:t>factor</w:t>
      </w:r>
      <w:r w:rsidRPr="00EB2BA1">
        <w:rPr>
          <w:rFonts w:asciiTheme="minorHAnsi" w:hAnsiTheme="minorHAnsi"/>
          <w:sz w:val="22"/>
          <w:szCs w:val="22"/>
        </w:rPr>
        <w:t xml:space="preserve"> and</w:t>
      </w:r>
      <w:r w:rsidR="00AD070A">
        <w:rPr>
          <w:rFonts w:asciiTheme="minorHAnsi" w:hAnsiTheme="minorHAnsi"/>
          <w:sz w:val="22"/>
          <w:szCs w:val="22"/>
        </w:rPr>
        <w:t>,</w:t>
      </w:r>
    </w:p>
    <w:p w14:paraId="396188E9" w14:textId="7B4640B2" w:rsidR="00EB2BA1" w:rsidRPr="00F551A1" w:rsidRDefault="00EB2BA1" w:rsidP="001B50BB">
      <w:pPr>
        <w:pStyle w:val="SMText"/>
        <w:spacing w:line="360" w:lineRule="auto"/>
        <w:ind w:firstLine="0"/>
        <w:jc w:val="right"/>
        <w:rPr>
          <w:rFonts w:asciiTheme="minorHAnsi" w:hAnsiTheme="minorHAnsi"/>
        </w:rPr>
      </w:pPr>
      <m:oMath>
        <m:r>
          <w:rPr>
            <w:rFonts w:ascii="Cambria Math" w:hAnsi="Cambria Math"/>
          </w:rPr>
          <m:t>K</m:t>
        </m:r>
        <m:d>
          <m:dPr>
            <m:ctrlPr>
              <w:rPr>
                <w:rFonts w:ascii="Cambria Math" w:hAnsi="Cambria Math"/>
                <w:i/>
              </w:rPr>
            </m:ctrlPr>
          </m:dPr>
          <m:e>
            <m:r>
              <w:rPr>
                <w:rFonts w:ascii="Cambria Math" w:hAnsi="Cambria Math"/>
              </w:rPr>
              <m:t>ξ</m:t>
            </m:r>
          </m:e>
        </m:d>
        <m: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eastAsiaTheme="minorHAnsi" w:hAnsi="Cambria Math" w:cstheme="minorBidi"/>
                    <w:i/>
                    <w:kern w:val="2"/>
                    <w:sz w:val="22"/>
                    <w:szCs w:val="22"/>
                    <w:lang w:val="el-GR"/>
                    <w14:ligatures w14:val="standardContextual"/>
                  </w:rPr>
                </m:ctrlPr>
              </m:radPr>
              <m:deg/>
              <m:e>
                <m:r>
                  <w:rPr>
                    <w:rFonts w:ascii="Cambria Math" w:hAnsi="Cambria Math"/>
                  </w:rPr>
                  <m:t>2π</m:t>
                </m:r>
              </m:e>
            </m:rad>
          </m:den>
        </m:f>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ξ</m:t>
                        </m:r>
                      </m:e>
                      <m:sup>
                        <m:r>
                          <w:rPr>
                            <w:rFonts w:ascii="Cambria Math" w:hAnsi="Cambria Math"/>
                          </w:rPr>
                          <m:t>2</m:t>
                        </m:r>
                      </m:sup>
                    </m:sSup>
                  </m:num>
                  <m:den>
                    <m:r>
                      <w:rPr>
                        <w:rFonts w:ascii="Cambria Math" w:hAnsi="Cambria Math"/>
                      </w:rPr>
                      <m:t>2</m:t>
                    </m:r>
                  </m:den>
                </m:f>
              </m:e>
            </m:d>
          </m:e>
        </m:func>
      </m:oMath>
      <w:r w:rsidR="00A608E2">
        <w:rPr>
          <w:rFonts w:asciiTheme="minorHAnsi" w:hAnsiTheme="minorHAnsi"/>
        </w:rPr>
        <w:t>,</w:t>
      </w:r>
      <w:r w:rsidR="0036525E" w:rsidRPr="006378D0">
        <w:rPr>
          <w:rFonts w:asciiTheme="minorHAnsi" w:hAnsiTheme="minorHAnsi"/>
        </w:rPr>
        <w:t xml:space="preserve">                                                    (6)</w:t>
      </w:r>
    </w:p>
    <w:p w14:paraId="6496078C" w14:textId="2FC46252" w:rsidR="00EB2BA1" w:rsidRDefault="00EB2BA1" w:rsidP="00EB2BA1">
      <w:pPr>
        <w:pStyle w:val="SMText"/>
        <w:spacing w:line="360" w:lineRule="auto"/>
        <w:ind w:firstLine="0"/>
        <w:jc w:val="both"/>
        <w:rPr>
          <w:rFonts w:asciiTheme="minorHAnsi" w:hAnsiTheme="minorHAnsi"/>
          <w:sz w:val="22"/>
          <w:szCs w:val="22"/>
        </w:rPr>
      </w:pPr>
      <w:r w:rsidRPr="00EB2BA1">
        <w:rPr>
          <w:rFonts w:asciiTheme="minorHAnsi" w:hAnsiTheme="minorHAnsi"/>
          <w:sz w:val="22"/>
          <w:szCs w:val="22"/>
        </w:rPr>
        <w:t xml:space="preserve">is the Gaussian kernel. The number of modes and bumps in the estimated density decreases as </w:t>
      </w:r>
      <m:oMath>
        <m:r>
          <w:rPr>
            <w:rFonts w:ascii="Cambria Math" w:hAnsi="Cambria Math"/>
            <w:sz w:val="22"/>
            <w:szCs w:val="22"/>
          </w:rPr>
          <m:t>h</m:t>
        </m:r>
      </m:oMath>
      <w:r w:rsidRPr="00EB2BA1">
        <w:rPr>
          <w:rFonts w:asciiTheme="minorHAnsi" w:hAnsiTheme="minorHAnsi"/>
          <w:sz w:val="22"/>
          <w:szCs w:val="22"/>
        </w:rPr>
        <w:t xml:space="preserve"> increases. </w:t>
      </w:r>
      <w:r w:rsidR="0032234B">
        <w:rPr>
          <w:rFonts w:asciiTheme="minorHAnsi" w:hAnsiTheme="minorHAnsi"/>
          <w:sz w:val="22"/>
          <w:szCs w:val="22"/>
        </w:rPr>
        <w:t>T</w:t>
      </w:r>
      <w:r w:rsidRPr="00EB2BA1">
        <w:rPr>
          <w:rFonts w:asciiTheme="minorHAnsi" w:hAnsiTheme="minorHAnsi"/>
          <w:sz w:val="22"/>
          <w:szCs w:val="22"/>
        </w:rPr>
        <w:t>wo critical smoothing factors are defined</w:t>
      </w:r>
      <w:r w:rsidR="0032234B">
        <w:rPr>
          <w:rFonts w:asciiTheme="minorHAnsi" w:hAnsiTheme="minorHAnsi"/>
          <w:sz w:val="22"/>
          <w:szCs w:val="22"/>
        </w:rPr>
        <w:t>,</w:t>
      </w:r>
      <w:r>
        <w:rPr>
          <w:rFonts w:asciiTheme="minorHAnsi" w:hAnsiTheme="minorHAnsi"/>
          <w:sz w:val="22"/>
          <w:szCs w:val="22"/>
        </w:rPr>
        <w:t xml:space="preserve"> </w:t>
      </w:r>
      <m:oMath>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cr</m:t>
            </m:r>
          </m:sub>
        </m:sSub>
        <m:r>
          <w:rPr>
            <w:rFonts w:ascii="Cambria Math" w:hAnsi="Cambria Math"/>
            <w:sz w:val="22"/>
            <w:szCs w:val="22"/>
          </w:rPr>
          <m:t>(1)</m:t>
        </m:r>
      </m:oMath>
      <w:r w:rsidRPr="00EB2BA1">
        <w:rPr>
          <w:rFonts w:asciiTheme="minorHAnsi" w:hAnsiTheme="minorHAnsi"/>
          <w:sz w:val="22"/>
          <w:szCs w:val="22"/>
        </w:rPr>
        <w:t xml:space="preserve">, above which the density has only one mode, and </w:t>
      </w:r>
      <m:oMath>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cr</m:t>
            </m:r>
          </m:sub>
        </m:sSub>
        <m:r>
          <w:rPr>
            <w:rFonts w:ascii="Cambria Math" w:hAnsi="Cambria Math"/>
            <w:sz w:val="22"/>
            <w:szCs w:val="22"/>
          </w:rPr>
          <m:t>(2)</m:t>
        </m:r>
      </m:oMath>
      <w:r w:rsidRPr="00EB2BA1">
        <w:rPr>
          <w:rFonts w:asciiTheme="minorHAnsi" w:hAnsiTheme="minorHAnsi"/>
          <w:sz w:val="22"/>
          <w:szCs w:val="22"/>
        </w:rPr>
        <w:t xml:space="preserve">, above which it has only one bump. These </w:t>
      </w:r>
      <w:r>
        <w:rPr>
          <w:rFonts w:asciiTheme="minorHAnsi" w:hAnsiTheme="minorHAnsi"/>
          <w:sz w:val="22"/>
          <w:szCs w:val="22"/>
        </w:rPr>
        <w:t>are the</w:t>
      </w:r>
      <w:r w:rsidRPr="00EB2BA1">
        <w:rPr>
          <w:rFonts w:asciiTheme="minorHAnsi" w:hAnsiTheme="minorHAnsi"/>
          <w:sz w:val="22"/>
          <w:szCs w:val="22"/>
        </w:rPr>
        <w:t xml:space="preserve"> reference bandwidths for the null hypotheses </w:t>
      </w:r>
      <w:r>
        <w:rPr>
          <w:rFonts w:asciiTheme="minorHAnsi" w:hAnsiTheme="minorHAnsi"/>
          <w:sz w:val="22"/>
          <w:szCs w:val="22"/>
        </w:rPr>
        <w:t xml:space="preserve">of </w:t>
      </w:r>
      <w:r w:rsidRPr="00EB2BA1">
        <w:rPr>
          <w:rFonts w:asciiTheme="minorHAnsi" w:hAnsiTheme="minorHAnsi"/>
          <w:sz w:val="22"/>
          <w:szCs w:val="22"/>
        </w:rPr>
        <w:t>unimodality</w:t>
      </w:r>
      <w:r>
        <w:rPr>
          <w:rFonts w:asciiTheme="minorHAnsi" w:hAnsiTheme="minorHAnsi"/>
          <w:sz w:val="22"/>
          <w:szCs w:val="22"/>
        </w:rPr>
        <w:t xml:space="preserve"> </w:t>
      </w:r>
      <m:oMath>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H</m:t>
            </m:r>
          </m:e>
          <m:sub>
            <m:r>
              <w:rPr>
                <w:rFonts w:ascii="Cambria Math" w:hAnsi="Cambria Math"/>
                <w:sz w:val="22"/>
                <w:szCs w:val="22"/>
              </w:rPr>
              <m:t>0</m:t>
            </m:r>
          </m:sub>
          <m:sup>
            <m:r>
              <w:rPr>
                <w:rFonts w:ascii="Cambria Math" w:hAnsi="Cambria Math"/>
                <w:sz w:val="22"/>
                <w:szCs w:val="22"/>
              </w:rPr>
              <m:t>1</m:t>
            </m:r>
          </m:sup>
        </m:sSubSup>
        <m:r>
          <w:rPr>
            <w:rFonts w:ascii="Cambria Math" w:hAnsi="Cambria Math"/>
            <w:sz w:val="22"/>
            <w:szCs w:val="22"/>
          </w:rPr>
          <m:t>)</m:t>
        </m:r>
      </m:oMath>
      <w:r w:rsidRPr="00EB2BA1">
        <w:rPr>
          <w:rFonts w:asciiTheme="minorHAnsi" w:hAnsiTheme="minorHAnsi"/>
          <w:sz w:val="22"/>
          <w:szCs w:val="22"/>
        </w:rPr>
        <w:t xml:space="preserve"> and </w:t>
      </w:r>
      <w:r>
        <w:rPr>
          <w:rFonts w:asciiTheme="minorHAnsi" w:hAnsiTheme="minorHAnsi"/>
          <w:sz w:val="22"/>
          <w:szCs w:val="22"/>
        </w:rPr>
        <w:t xml:space="preserve">of single bump </w:t>
      </w:r>
      <m:oMath>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H</m:t>
            </m:r>
          </m:e>
          <m:sub>
            <m:r>
              <w:rPr>
                <w:rFonts w:ascii="Cambria Math" w:hAnsi="Cambria Math"/>
                <w:sz w:val="22"/>
                <w:szCs w:val="22"/>
              </w:rPr>
              <m:t>0</m:t>
            </m:r>
          </m:sub>
          <m:sup>
            <m:r>
              <w:rPr>
                <w:rFonts w:ascii="Cambria Math" w:hAnsi="Cambria Math"/>
                <w:sz w:val="22"/>
                <w:szCs w:val="22"/>
              </w:rPr>
              <m:t>2</m:t>
            </m:r>
          </m:sup>
        </m:sSubSup>
        <m:r>
          <w:rPr>
            <w:rFonts w:ascii="Cambria Math" w:hAnsi="Cambria Math"/>
            <w:sz w:val="22"/>
            <w:szCs w:val="22"/>
          </w:rPr>
          <m:t>)</m:t>
        </m:r>
      </m:oMath>
      <w:r>
        <w:rPr>
          <w:rFonts w:asciiTheme="minorHAnsi" w:hAnsiTheme="minorHAnsi"/>
          <w:sz w:val="22"/>
          <w:szCs w:val="22"/>
        </w:rPr>
        <w:t xml:space="preserve"> </w:t>
      </w:r>
      <w:r w:rsidRPr="00EB2BA1">
        <w:rPr>
          <w:rFonts w:asciiTheme="minorHAnsi" w:hAnsiTheme="minorHAnsi"/>
          <w:sz w:val="22"/>
          <w:szCs w:val="22"/>
        </w:rPr>
        <w:t>respectively</w:t>
      </w:r>
      <w:r w:rsidR="00422A0A">
        <w:rPr>
          <w:rFonts w:asciiTheme="minorHAnsi" w:hAnsiTheme="minorHAnsi"/>
          <w:sz w:val="22"/>
          <w:szCs w:val="22"/>
        </w:rPr>
        <w:t xml:space="preserve"> and </w:t>
      </w:r>
      <w:r w:rsidR="00422A0A" w:rsidRPr="00422A0A">
        <w:rPr>
          <w:rFonts w:asciiTheme="minorHAnsi" w:hAnsiTheme="minorHAnsi"/>
          <w:sz w:val="22"/>
          <w:szCs w:val="22"/>
        </w:rPr>
        <w:t xml:space="preserve">are determined by examining the number of zeros in the first or second derivative of </w:t>
      </w:r>
      <m:oMath>
        <m:r>
          <w:rPr>
            <w:rFonts w:ascii="Cambria Math" w:hAnsi="Cambria Math"/>
            <w:sz w:val="22"/>
            <w:szCs w:val="22"/>
          </w:rPr>
          <m:t>f</m:t>
        </m:r>
      </m:oMath>
      <w:r w:rsidR="00422A0A" w:rsidRPr="00422A0A">
        <w:rPr>
          <w:rFonts w:asciiTheme="minorHAnsi" w:hAnsiTheme="minorHAnsi"/>
          <w:sz w:val="22"/>
          <w:szCs w:val="22"/>
        </w:rPr>
        <w:t xml:space="preserve"> as </w:t>
      </w:r>
      <m:oMath>
        <m:r>
          <w:rPr>
            <w:rFonts w:ascii="Cambria Math" w:hAnsi="Cambria Math"/>
            <w:sz w:val="22"/>
            <w:szCs w:val="22"/>
          </w:rPr>
          <m:t>h</m:t>
        </m:r>
      </m:oMath>
      <w:r w:rsidR="00422A0A" w:rsidRPr="00422A0A">
        <w:rPr>
          <w:rFonts w:asciiTheme="minorHAnsi" w:hAnsiTheme="minorHAnsi"/>
          <w:sz w:val="22"/>
          <w:szCs w:val="22"/>
        </w:rPr>
        <w:t xml:space="preserve"> increases in small increments (typically 0.001)</w:t>
      </w:r>
      <w:r w:rsidR="00422A0A">
        <w:rPr>
          <w:rFonts w:asciiTheme="minorHAnsi" w:hAnsiTheme="minorHAnsi"/>
          <w:sz w:val="22"/>
          <w:szCs w:val="22"/>
        </w:rPr>
        <w:t>.</w:t>
      </w:r>
    </w:p>
    <w:p w14:paraId="7A198F96" w14:textId="1BFCB6AA" w:rsidR="00422A0A" w:rsidRDefault="00422A0A" w:rsidP="00422A0A">
      <w:pPr>
        <w:pStyle w:val="SMText"/>
        <w:spacing w:line="360" w:lineRule="auto"/>
        <w:jc w:val="both"/>
        <w:rPr>
          <w:rFonts w:asciiTheme="minorHAnsi" w:hAnsiTheme="minorHAnsi"/>
          <w:sz w:val="22"/>
          <w:szCs w:val="22"/>
        </w:rPr>
      </w:pPr>
      <w:r w:rsidRPr="001B50BB">
        <w:rPr>
          <w:rFonts w:asciiTheme="minorHAnsi" w:hAnsiTheme="minorHAnsi"/>
          <w:sz w:val="22"/>
          <w:szCs w:val="22"/>
        </w:rPr>
        <w:t xml:space="preserve">To test the null hypotheses of unimodality </w:t>
      </w:r>
      <m:oMath>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H</m:t>
            </m:r>
          </m:e>
          <m:sub>
            <m:r>
              <w:rPr>
                <w:rFonts w:ascii="Cambria Math" w:hAnsi="Cambria Math"/>
                <w:sz w:val="22"/>
                <w:szCs w:val="22"/>
              </w:rPr>
              <m:t>0</m:t>
            </m:r>
          </m:sub>
          <m:sup>
            <m:r>
              <w:rPr>
                <w:rFonts w:ascii="Cambria Math" w:hAnsi="Cambria Math"/>
                <w:sz w:val="22"/>
                <w:szCs w:val="22"/>
              </w:rPr>
              <m:t>1</m:t>
            </m:r>
          </m:sup>
        </m:sSubSup>
        <m:r>
          <w:rPr>
            <w:rFonts w:ascii="Cambria Math" w:hAnsi="Cambria Math"/>
            <w:sz w:val="22"/>
            <w:szCs w:val="22"/>
          </w:rPr>
          <m:t>)</m:t>
        </m:r>
      </m:oMath>
      <w:r>
        <w:rPr>
          <w:rFonts w:asciiTheme="minorHAnsi" w:hAnsiTheme="minorHAnsi"/>
          <w:sz w:val="22"/>
          <w:szCs w:val="22"/>
        </w:rPr>
        <w:t xml:space="preserve"> </w:t>
      </w:r>
      <w:r w:rsidRPr="001B50BB">
        <w:rPr>
          <w:rFonts w:asciiTheme="minorHAnsi" w:hAnsiTheme="minorHAnsi"/>
          <w:sz w:val="22"/>
          <w:szCs w:val="22"/>
        </w:rPr>
        <w:t xml:space="preserve">and single-bump structure </w:t>
      </w:r>
      <m:oMath>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H</m:t>
            </m:r>
          </m:e>
          <m:sub>
            <m:r>
              <w:rPr>
                <w:rFonts w:ascii="Cambria Math" w:hAnsi="Cambria Math"/>
                <w:sz w:val="22"/>
                <w:szCs w:val="22"/>
              </w:rPr>
              <m:t>0</m:t>
            </m:r>
          </m:sub>
          <m:sup>
            <m:r>
              <w:rPr>
                <w:rFonts w:ascii="Cambria Math" w:hAnsi="Cambria Math"/>
                <w:sz w:val="22"/>
                <w:szCs w:val="22"/>
              </w:rPr>
              <m:t>2</m:t>
            </m:r>
          </m:sup>
        </m:sSubSup>
        <m:r>
          <w:rPr>
            <w:rFonts w:ascii="Cambria Math" w:hAnsi="Cambria Math"/>
            <w:sz w:val="22"/>
            <w:szCs w:val="22"/>
          </w:rPr>
          <m:t>)</m:t>
        </m:r>
      </m:oMath>
      <w:r w:rsidRPr="001B50BB">
        <w:rPr>
          <w:rFonts w:asciiTheme="minorHAnsi" w:hAnsiTheme="minorHAnsi"/>
          <w:sz w:val="22"/>
          <w:szCs w:val="22"/>
        </w:rPr>
        <w:t xml:space="preserve">, smoothed bootstrap samples are generated from the kernel-smoothed distribution </w:t>
      </w:r>
      <m:oMath>
        <m:r>
          <w:rPr>
            <w:rFonts w:ascii="Cambria Math" w:hAnsi="Cambria Math"/>
          </w:rPr>
          <m:t>f</m:t>
        </m:r>
        <m:d>
          <m:dPr>
            <m:ctrlPr>
              <w:rPr>
                <w:rFonts w:ascii="Cambria Math" w:hAnsi="Cambria Math"/>
                <w:i/>
              </w:rPr>
            </m:ctrlPr>
          </m:dPr>
          <m:e>
            <m:r>
              <w:rPr>
                <w:rFonts w:ascii="Cambria Math" w:hAnsi="Cambria Math"/>
              </w:rPr>
              <m:t>m</m:t>
            </m:r>
          </m:e>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M</m:t>
                    </m:r>
                  </m:e>
                  <m:sub>
                    <m:r>
                      <w:rPr>
                        <w:rFonts w:ascii="Cambria Math" w:hAnsi="Cambria Math"/>
                      </w:rPr>
                      <m:t>i</m:t>
                    </m:r>
                  </m:sub>
                  <m:sup>
                    <m:d>
                      <m:dPr>
                        <m:ctrlPr>
                          <w:rPr>
                            <w:rFonts w:ascii="Cambria Math" w:hAnsi="Cambria Math"/>
                            <w:i/>
                          </w:rPr>
                        </m:ctrlPr>
                      </m:dPr>
                      <m:e>
                        <m:r>
                          <w:rPr>
                            <w:rFonts w:ascii="Cambria Math" w:hAnsi="Cambria Math"/>
                          </w:rPr>
                          <m:t>k</m:t>
                        </m:r>
                      </m:e>
                    </m:d>
                  </m:sup>
                </m:sSubSup>
                <m:r>
                  <w:rPr>
                    <w:rFonts w:ascii="Cambria Math" w:hAnsi="Cambria Math"/>
                  </w:rPr>
                  <m:t>(l)</m:t>
                </m:r>
              </m:e>
            </m:d>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cr</m:t>
                </m:r>
              </m:sub>
            </m:sSub>
            <m:r>
              <w:rPr>
                <w:rFonts w:ascii="Cambria Math" w:hAnsi="Cambria Math"/>
              </w:rPr>
              <m:t>(l)</m:t>
            </m:r>
          </m:e>
        </m:d>
      </m:oMath>
      <w:r>
        <w:rPr>
          <w:rFonts w:asciiTheme="minorHAnsi" w:hAnsiTheme="minorHAnsi"/>
          <w:sz w:val="22"/>
          <w:szCs w:val="22"/>
        </w:rPr>
        <w:t xml:space="preserve">, </w:t>
      </w:r>
      <w:r w:rsidRPr="001B50BB">
        <w:rPr>
          <w:rFonts w:asciiTheme="minorHAnsi" w:hAnsiTheme="minorHAnsi"/>
          <w:sz w:val="22"/>
          <w:szCs w:val="22"/>
        </w:rPr>
        <w:t xml:space="preserve">for </w:t>
      </w:r>
      <m:oMath>
        <m:r>
          <w:rPr>
            <w:rFonts w:ascii="Cambria Math" w:hAnsi="Cambria Math"/>
            <w:sz w:val="22"/>
            <w:szCs w:val="22"/>
          </w:rPr>
          <m:t>l=1, 2</m:t>
        </m:r>
      </m:oMath>
      <w:r w:rsidRPr="001B50BB">
        <w:rPr>
          <w:rFonts w:asciiTheme="minorHAnsi" w:hAnsiTheme="minorHAnsi"/>
          <w:sz w:val="22"/>
          <w:szCs w:val="22"/>
        </w:rPr>
        <w:t>. Each synthetic sample is constructed as:</w:t>
      </w:r>
    </w:p>
    <w:p w14:paraId="4316A5F0" w14:textId="7FFC5D8F" w:rsidR="00422A0A" w:rsidRPr="001B50BB" w:rsidRDefault="00CA1E3F" w:rsidP="001B50BB">
      <w:pPr>
        <w:pStyle w:val="SMText"/>
        <w:spacing w:line="360" w:lineRule="auto"/>
        <w:jc w:val="right"/>
        <w:rPr>
          <w:rFonts w:asciiTheme="minorHAnsi" w:hAnsiTheme="minorHAnsi"/>
          <w:sz w:val="22"/>
          <w:szCs w:val="22"/>
        </w:rPr>
      </w:pPr>
      <m:oMath>
        <m:sSubSup>
          <m:sSubSupPr>
            <m:ctrlPr>
              <w:rPr>
                <w:rFonts w:ascii="Cambria Math" w:hAnsi="Cambria Math"/>
                <w:i/>
              </w:rPr>
            </m:ctrlPr>
          </m:sSubSupPr>
          <m:e>
            <m:r>
              <w:rPr>
                <w:rFonts w:ascii="Cambria Math" w:hAnsi="Cambria Math"/>
              </w:rPr>
              <m:t>M</m:t>
            </m:r>
          </m:e>
          <m:sub>
            <m:r>
              <w:rPr>
                <w:rFonts w:ascii="Cambria Math" w:hAnsi="Cambria Math"/>
              </w:rPr>
              <m:t>i</m:t>
            </m:r>
          </m:sub>
          <m:sup>
            <m:d>
              <m:dPr>
                <m:ctrlPr>
                  <w:rPr>
                    <w:rFonts w:ascii="Cambria Math" w:hAnsi="Cambria Math"/>
                    <w:i/>
                  </w:rPr>
                </m:ctrlPr>
              </m:dPr>
              <m:e>
                <m:r>
                  <w:rPr>
                    <w:rFonts w:ascii="Cambria Math" w:hAnsi="Cambria Math"/>
                  </w:rPr>
                  <m:t>k</m:t>
                </m:r>
              </m:e>
            </m:d>
          </m:sup>
        </m:sSubSup>
        <m:d>
          <m:dPr>
            <m:ctrlPr>
              <w:rPr>
                <w:rFonts w:ascii="Cambria Math" w:hAnsi="Cambria Math"/>
                <w:i/>
              </w:rPr>
            </m:ctrlPr>
          </m:dPr>
          <m:e>
            <m:r>
              <w:rPr>
                <w:rFonts w:ascii="Cambria Math" w:hAnsi="Cambria Math"/>
              </w:rPr>
              <m:t>l</m:t>
            </m:r>
          </m:e>
        </m:d>
        <m:r>
          <w:rPr>
            <w:rFonts w:ascii="Cambria Math" w:hAnsi="Cambria Math"/>
          </w:rPr>
          <m:t>=</m:t>
        </m:r>
        <m:sSubSup>
          <m:sSubSupPr>
            <m:ctrlPr>
              <w:rPr>
                <w:rFonts w:ascii="Cambria Math" w:hAnsi="Cambria Math"/>
                <w:i/>
              </w:rPr>
            </m:ctrlPr>
          </m:sSubSupPr>
          <m:e>
            <m:r>
              <w:rPr>
                <w:rFonts w:ascii="Cambria Math" w:hAnsi="Cambria Math"/>
              </w:rPr>
              <m:t>M</m:t>
            </m:r>
          </m:e>
          <m:sub>
            <m:r>
              <w:rPr>
                <w:rFonts w:ascii="Cambria Math" w:hAnsi="Cambria Math"/>
              </w:rPr>
              <m:t>i</m:t>
            </m:r>
          </m:sub>
          <m:sup>
            <m:r>
              <w:rPr>
                <w:rFonts w:ascii="Cambria Math" w:hAnsi="Cambria Math"/>
              </w:rPr>
              <m:t>'</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cr</m:t>
            </m:r>
          </m:sub>
        </m:sSub>
        <m:d>
          <m:dPr>
            <m:ctrlPr>
              <w:rPr>
                <w:rFonts w:ascii="Cambria Math" w:eastAsiaTheme="minorEastAsia" w:hAnsi="Cambria Math"/>
                <w:i/>
              </w:rPr>
            </m:ctrlPr>
          </m:dPr>
          <m:e>
            <m:r>
              <w:rPr>
                <w:rFonts w:ascii="Cambria Math" w:eastAsiaTheme="minorEastAsia" w:hAnsi="Cambria Math"/>
              </w:rPr>
              <m:t>l</m:t>
            </m:r>
          </m:e>
        </m:d>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i</m:t>
            </m:r>
          </m:sub>
        </m:sSub>
      </m:oMath>
      <w:r w:rsidR="004556D9">
        <w:rPr>
          <w:rFonts w:asciiTheme="minorHAnsi" w:hAnsiTheme="minorHAnsi"/>
        </w:rPr>
        <w:t>,                                                  (7)</w:t>
      </w:r>
    </w:p>
    <w:p w14:paraId="1C52E3FD" w14:textId="5E28A8E5" w:rsidR="0032234B" w:rsidRDefault="00422A0A" w:rsidP="001B50BB">
      <w:pPr>
        <w:pStyle w:val="SMText"/>
        <w:spacing w:line="360" w:lineRule="auto"/>
        <w:ind w:firstLine="0"/>
        <w:jc w:val="both"/>
        <w:rPr>
          <w:rFonts w:asciiTheme="minorHAnsi" w:hAnsiTheme="minorHAnsi"/>
          <w:sz w:val="22"/>
          <w:szCs w:val="22"/>
        </w:rPr>
      </w:pPr>
      <w:r w:rsidRPr="001B50BB">
        <w:rPr>
          <w:rFonts w:asciiTheme="minorHAnsi" w:hAnsiTheme="minorHAnsi"/>
          <w:sz w:val="22"/>
          <w:szCs w:val="22"/>
        </w:rPr>
        <w:t xml:space="preserve">where </w:t>
      </w:r>
      <m:oMath>
        <m:sSubSup>
          <m:sSubSupPr>
            <m:ctrlPr>
              <w:rPr>
                <w:rFonts w:ascii="Cambria Math" w:hAnsi="Cambria Math"/>
                <w:i/>
                <w:sz w:val="22"/>
                <w:szCs w:val="22"/>
              </w:rPr>
            </m:ctrlPr>
          </m:sSubSupPr>
          <m:e>
            <m:r>
              <w:rPr>
                <w:rFonts w:ascii="Cambria Math" w:hAnsi="Cambria Math"/>
                <w:sz w:val="22"/>
                <w:szCs w:val="22"/>
              </w:rPr>
              <m:t>M</m:t>
            </m:r>
          </m:e>
          <m:sub>
            <m:r>
              <w:rPr>
                <w:rFonts w:ascii="Cambria Math" w:hAnsi="Cambria Math"/>
                <w:sz w:val="22"/>
                <w:szCs w:val="22"/>
              </w:rPr>
              <m:t>i</m:t>
            </m:r>
          </m:sub>
          <m:sup>
            <m:r>
              <w:rPr>
                <w:rFonts w:ascii="Cambria Math" w:hAnsi="Cambria Math"/>
                <w:sz w:val="22"/>
                <w:szCs w:val="22"/>
              </w:rPr>
              <m:t>'</m:t>
            </m:r>
          </m:sup>
        </m:sSubSup>
      </m:oMath>
      <w:r>
        <w:rPr>
          <w:rFonts w:asciiTheme="minorHAnsi" w:hAnsiTheme="minorHAnsi"/>
          <w:sz w:val="22"/>
          <w:szCs w:val="22"/>
        </w:rPr>
        <w:t xml:space="preserve"> </w:t>
      </w:r>
      <w:r w:rsidRPr="001B50BB">
        <w:rPr>
          <w:rFonts w:asciiTheme="minorHAnsi" w:hAnsiTheme="minorHAnsi"/>
          <w:sz w:val="22"/>
          <w:szCs w:val="22"/>
        </w:rPr>
        <w:t>is drawn from the original data via bootstrap</w:t>
      </w:r>
      <w:r w:rsidR="00181164">
        <w:rPr>
          <w:rFonts w:asciiTheme="minorHAnsi" w:hAnsiTheme="minorHAnsi"/>
          <w:sz w:val="22"/>
          <w:szCs w:val="22"/>
        </w:rPr>
        <w:t xml:space="preserve"> with replacement</w:t>
      </w:r>
      <w:r w:rsidRPr="001B50BB">
        <w:rPr>
          <w:rFonts w:asciiTheme="minorHAnsi" w:hAnsiTheme="minorHAnsi"/>
          <w:sz w:val="22"/>
          <w:szCs w:val="22"/>
        </w:rPr>
        <w:t xml:space="preserve">, and </w:t>
      </w:r>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i</m:t>
            </m:r>
          </m:sub>
        </m:sSub>
      </m:oMath>
      <w:r w:rsidR="00181164">
        <w:rPr>
          <w:rFonts w:asciiTheme="minorHAnsi" w:hAnsiTheme="minorHAnsi"/>
          <w:sz w:val="22"/>
          <w:szCs w:val="22"/>
        </w:rPr>
        <w:t xml:space="preserve"> are random numbers </w:t>
      </w:r>
      <w:r w:rsidR="006738AB">
        <w:rPr>
          <w:rFonts w:asciiTheme="minorHAnsi" w:hAnsiTheme="minorHAnsi"/>
          <w:sz w:val="22"/>
          <w:szCs w:val="22"/>
        </w:rPr>
        <w:t xml:space="preserve">from the kernel </w:t>
      </w:r>
      <m:oMath>
        <m:r>
          <w:rPr>
            <w:rFonts w:ascii="Cambria Math" w:hAnsi="Cambria Math"/>
            <w:sz w:val="22"/>
            <w:szCs w:val="22"/>
          </w:rPr>
          <m:t>K()</m:t>
        </m:r>
      </m:oMath>
      <w:r w:rsidRPr="001B50BB">
        <w:rPr>
          <w:rFonts w:asciiTheme="minorHAnsi" w:hAnsiTheme="minorHAnsi"/>
          <w:sz w:val="22"/>
          <w:szCs w:val="22"/>
        </w:rPr>
        <w:t xml:space="preserve">. For each of </w:t>
      </w:r>
      <m:oMath>
        <m:r>
          <w:rPr>
            <w:rFonts w:ascii="Cambria Math" w:hAnsi="Cambria Math"/>
            <w:sz w:val="22"/>
            <w:szCs w:val="22"/>
          </w:rPr>
          <m:t>R</m:t>
        </m:r>
      </m:oMath>
      <w:r w:rsidRPr="001B50BB">
        <w:rPr>
          <w:rFonts w:asciiTheme="minorHAnsi" w:hAnsiTheme="minorHAnsi"/>
          <w:sz w:val="22"/>
          <w:szCs w:val="22"/>
        </w:rPr>
        <w:t xml:space="preserve"> resampled datasets, the number of modes or bumps is evaluated from the corresponding derivatives of the estimated PDF. The significance level (p-value) is then computed as the proportion of bootstrap samples that exhibit more than one mode (or bump), indicating deviation from the null</w:t>
      </w:r>
      <w:r>
        <w:rPr>
          <w:rFonts w:asciiTheme="minorHAnsi" w:hAnsiTheme="minorHAnsi"/>
          <w:sz w:val="22"/>
          <w:szCs w:val="22"/>
        </w:rPr>
        <w:t xml:space="preserve"> hypothesis</w:t>
      </w:r>
      <w:r w:rsidRPr="001B50BB">
        <w:rPr>
          <w:rFonts w:asciiTheme="minorHAnsi" w:hAnsiTheme="minorHAnsi"/>
          <w:sz w:val="22"/>
          <w:szCs w:val="22"/>
        </w:rPr>
        <w:t>.</w:t>
      </w:r>
      <w:r>
        <w:rPr>
          <w:rFonts w:asciiTheme="minorHAnsi" w:hAnsiTheme="minorHAnsi"/>
          <w:sz w:val="22"/>
          <w:szCs w:val="22"/>
        </w:rPr>
        <w:t xml:space="preserve"> </w:t>
      </w:r>
      <w:r w:rsidR="006138EE">
        <w:rPr>
          <w:rFonts w:asciiTheme="minorHAnsi" w:hAnsiTheme="minorHAnsi"/>
          <w:sz w:val="22"/>
          <w:szCs w:val="22"/>
        </w:rPr>
        <w:t>A full description of this technique</w:t>
      </w:r>
      <w:r w:rsidR="00FC095A">
        <w:rPr>
          <w:rFonts w:asciiTheme="minorHAnsi" w:hAnsiTheme="minorHAnsi"/>
          <w:sz w:val="22"/>
          <w:szCs w:val="22"/>
        </w:rPr>
        <w:t xml:space="preserve"> along </w:t>
      </w:r>
      <w:r w:rsidR="00FC095A">
        <w:rPr>
          <w:rFonts w:asciiTheme="minorHAnsi" w:hAnsiTheme="minorHAnsi"/>
          <w:sz w:val="22"/>
          <w:szCs w:val="22"/>
        </w:rPr>
        <w:lastRenderedPageBreak/>
        <w:t xml:space="preserve">with </w:t>
      </w:r>
      <w:r w:rsidR="00397014">
        <w:rPr>
          <w:rFonts w:asciiTheme="minorHAnsi" w:hAnsiTheme="minorHAnsi"/>
          <w:sz w:val="22"/>
          <w:szCs w:val="22"/>
        </w:rPr>
        <w:t>the calibration of the test for exponential–like distributions</w:t>
      </w:r>
      <w:r w:rsidR="006138EE">
        <w:rPr>
          <w:rFonts w:asciiTheme="minorHAnsi" w:hAnsiTheme="minorHAnsi"/>
          <w:sz w:val="22"/>
          <w:szCs w:val="22"/>
        </w:rPr>
        <w:t xml:space="preserve"> is detailed in Lasocki and Papadimitriou (2006).</w:t>
      </w:r>
    </w:p>
    <w:p w14:paraId="47EC2D88" w14:textId="461BF444" w:rsidR="009932D9" w:rsidRPr="00344786" w:rsidRDefault="007A03B7" w:rsidP="00E97234">
      <w:pPr>
        <w:pStyle w:val="SMText"/>
        <w:spacing w:line="360" w:lineRule="auto"/>
        <w:jc w:val="both"/>
        <w:rPr>
          <w:rFonts w:asciiTheme="minorHAnsi" w:hAnsiTheme="minorHAnsi"/>
          <w:sz w:val="22"/>
          <w:szCs w:val="22"/>
        </w:rPr>
      </w:pPr>
      <w:r w:rsidRPr="007A03B7">
        <w:rPr>
          <w:rFonts w:asciiTheme="minorHAnsi" w:hAnsiTheme="minorHAnsi"/>
          <w:sz w:val="22"/>
          <w:szCs w:val="22"/>
        </w:rPr>
        <w:t>For each tested subcatalog</w:t>
      </w:r>
      <w:r w:rsidR="009932D9" w:rsidRPr="00344786">
        <w:rPr>
          <w:rFonts w:asciiTheme="minorHAnsi" w:hAnsiTheme="minorHAnsi"/>
          <w:sz w:val="22"/>
          <w:szCs w:val="22"/>
        </w:rPr>
        <w:t xml:space="preserve">, we applied the test by </w:t>
      </w:r>
      <w:r w:rsidR="00767B13">
        <w:rPr>
          <w:rFonts w:asciiTheme="minorHAnsi" w:hAnsiTheme="minorHAnsi"/>
          <w:sz w:val="22"/>
          <w:szCs w:val="22"/>
        </w:rPr>
        <w:t>sampling</w:t>
      </w:r>
      <w:r w:rsidR="00767B13" w:rsidRPr="00344786">
        <w:rPr>
          <w:rFonts w:asciiTheme="minorHAnsi" w:hAnsiTheme="minorHAnsi"/>
          <w:sz w:val="22"/>
          <w:szCs w:val="22"/>
        </w:rPr>
        <w:t xml:space="preserve"> </w:t>
      </w:r>
      <w:r w:rsidR="009932D9" w:rsidRPr="00344786">
        <w:rPr>
          <w:rFonts w:asciiTheme="minorHAnsi" w:hAnsiTheme="minorHAnsi"/>
          <w:sz w:val="22"/>
          <w:szCs w:val="22"/>
        </w:rPr>
        <w:t xml:space="preserve">1000 points from the CDFs and performing 1000 bootstrap iterations. The initial value of the smoothing factor, </w:t>
      </w:r>
      <m:oMath>
        <m:r>
          <w:rPr>
            <w:rFonts w:ascii="Cambria Math" w:hAnsi="Cambria Math"/>
            <w:sz w:val="22"/>
            <w:szCs w:val="22"/>
          </w:rPr>
          <m:t>h</m:t>
        </m:r>
      </m:oMath>
      <w:r w:rsidR="009932D9" w:rsidRPr="00344786">
        <w:rPr>
          <w:rFonts w:asciiTheme="minorHAnsi" w:hAnsiTheme="minorHAnsi"/>
          <w:sz w:val="22"/>
          <w:szCs w:val="22"/>
        </w:rPr>
        <w:t xml:space="preserve">, was 0.1 and </w:t>
      </w:r>
      <w:r w:rsidR="00406DE4">
        <w:rPr>
          <w:rFonts w:asciiTheme="minorHAnsi" w:hAnsiTheme="minorHAnsi"/>
          <w:sz w:val="22"/>
          <w:szCs w:val="22"/>
        </w:rPr>
        <w:t>incremented</w:t>
      </w:r>
      <w:r w:rsidR="00406DE4" w:rsidRPr="00344786">
        <w:rPr>
          <w:rFonts w:asciiTheme="minorHAnsi" w:hAnsiTheme="minorHAnsi"/>
          <w:sz w:val="22"/>
          <w:szCs w:val="22"/>
        </w:rPr>
        <w:t xml:space="preserve"> </w:t>
      </w:r>
      <w:r w:rsidR="009932D9" w:rsidRPr="00344786">
        <w:rPr>
          <w:rFonts w:asciiTheme="minorHAnsi" w:hAnsiTheme="minorHAnsi"/>
          <w:sz w:val="22"/>
          <w:szCs w:val="22"/>
        </w:rPr>
        <w:t xml:space="preserve">by 0.001. The null hypotheses for both tests were </w:t>
      </w:r>
      <w:r w:rsidR="00724B49">
        <w:rPr>
          <w:rFonts w:asciiTheme="minorHAnsi" w:hAnsiTheme="minorHAnsi"/>
          <w:sz w:val="22"/>
          <w:szCs w:val="22"/>
        </w:rPr>
        <w:t>evaluated</w:t>
      </w:r>
      <w:r w:rsidR="00724B49" w:rsidRPr="00344786">
        <w:rPr>
          <w:rFonts w:asciiTheme="minorHAnsi" w:hAnsiTheme="minorHAnsi"/>
          <w:sz w:val="22"/>
          <w:szCs w:val="22"/>
        </w:rPr>
        <w:t xml:space="preserve"> </w:t>
      </w:r>
      <w:r w:rsidR="009932D9" w:rsidRPr="00344786">
        <w:rPr>
          <w:rFonts w:asciiTheme="minorHAnsi" w:hAnsiTheme="minorHAnsi"/>
          <w:sz w:val="22"/>
          <w:szCs w:val="22"/>
        </w:rPr>
        <w:t>at the 0.1 significance level.</w:t>
      </w:r>
    </w:p>
    <w:p w14:paraId="34DB2494" w14:textId="781FBDC4" w:rsidR="009932D9" w:rsidRPr="00344786" w:rsidRDefault="009932D9" w:rsidP="00E97234">
      <w:pPr>
        <w:spacing w:line="360" w:lineRule="auto"/>
        <w:jc w:val="both"/>
        <w:rPr>
          <w:rFonts w:asciiTheme="minorHAnsi" w:hAnsiTheme="minorHAnsi"/>
          <w:sz w:val="22"/>
          <w:szCs w:val="22"/>
        </w:rPr>
      </w:pPr>
      <w:r w:rsidRPr="00344786">
        <w:rPr>
          <w:rFonts w:asciiTheme="minorHAnsi" w:hAnsiTheme="minorHAnsi"/>
          <w:sz w:val="22"/>
          <w:szCs w:val="22"/>
        </w:rPr>
        <w:br w:type="page"/>
      </w:r>
    </w:p>
    <w:p w14:paraId="3A06081A" w14:textId="77777777" w:rsidR="009932D9" w:rsidRPr="00344786" w:rsidRDefault="009932D9" w:rsidP="00E97234">
      <w:pPr>
        <w:pStyle w:val="SMHeading"/>
        <w:spacing w:line="360" w:lineRule="auto"/>
        <w:jc w:val="both"/>
        <w:rPr>
          <w:rFonts w:asciiTheme="minorHAnsi" w:hAnsiTheme="minorHAnsi"/>
        </w:rPr>
      </w:pPr>
      <w:bookmarkStart w:id="26" w:name="_Toc162436017"/>
      <w:r w:rsidRPr="00344786">
        <w:rPr>
          <w:rFonts w:asciiTheme="minorHAnsi" w:hAnsiTheme="minorHAnsi"/>
        </w:rPr>
        <w:lastRenderedPageBreak/>
        <w:t>Supplementary note 3 – Time variations of b–values and effect of b–value variations on exponentiality testing</w:t>
      </w:r>
      <w:bookmarkEnd w:id="26"/>
    </w:p>
    <w:p w14:paraId="077C5F2F" w14:textId="77777777" w:rsidR="009932D9" w:rsidRPr="00344786" w:rsidRDefault="009932D9" w:rsidP="00E97234">
      <w:pPr>
        <w:pStyle w:val="Heading2"/>
        <w:spacing w:line="360" w:lineRule="auto"/>
        <w:jc w:val="both"/>
        <w:rPr>
          <w:rFonts w:asciiTheme="minorHAnsi" w:hAnsiTheme="minorHAnsi"/>
          <w:sz w:val="22"/>
          <w:szCs w:val="22"/>
        </w:rPr>
      </w:pPr>
      <w:bookmarkStart w:id="27" w:name="_Toc162436018"/>
      <w:r w:rsidRPr="00344786">
        <w:rPr>
          <w:rFonts w:asciiTheme="minorHAnsi" w:hAnsiTheme="minorHAnsi"/>
          <w:sz w:val="22"/>
          <w:szCs w:val="22"/>
        </w:rPr>
        <w:t>3.1 – Time Variations of b–values</w:t>
      </w:r>
      <w:bookmarkEnd w:id="27"/>
    </w:p>
    <w:p w14:paraId="495C3676" w14:textId="7C01FE8F"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We examined the b–value variations for the seismicity subclusters that were chosen to investigate deviations from the Gutenber–Richter (GR) distribution. </w:t>
      </w:r>
      <w:r w:rsidR="004C273D" w:rsidRPr="004C273D">
        <w:rPr>
          <w:rFonts w:asciiTheme="minorHAnsi" w:hAnsiTheme="minorHAnsi"/>
          <w:sz w:val="22"/>
          <w:szCs w:val="22"/>
        </w:rPr>
        <w:t>We examined b-value variations in the seismicity subclusters selected to investigate deviations from the Gutenberg–Richter (GR) distribution. To track temporal changes in b-values, we applied a non-overlapping moving window approach, calculating b-values for successive groups of 60 earthquakes. If the number of remaining events in the final window was greater than 55, that group was included in the analysis; otherwise, it was excluded.</w:t>
      </w:r>
      <w:r w:rsidRPr="00344786">
        <w:rPr>
          <w:rFonts w:asciiTheme="minorHAnsi" w:hAnsiTheme="minorHAnsi"/>
          <w:sz w:val="22"/>
          <w:szCs w:val="22"/>
        </w:rPr>
        <w:t xml:space="preserve"> The b–values were calculated assuming the unbounded GR law, using the maximum likelihood estimate of discrete magnitude values (Bender, 1983) expressed as:</w:t>
      </w:r>
    </w:p>
    <w:p w14:paraId="71A22308" w14:textId="67DA3220" w:rsidR="009932D9" w:rsidRPr="00344786" w:rsidRDefault="009932D9" w:rsidP="00256E95">
      <w:pPr>
        <w:pStyle w:val="SMText"/>
        <w:spacing w:line="360" w:lineRule="auto"/>
        <w:jc w:val="right"/>
        <w:rPr>
          <w:rFonts w:asciiTheme="minorHAnsi" w:eastAsiaTheme="minorEastAsia" w:hAnsiTheme="minorHAnsi"/>
          <w:sz w:val="22"/>
          <w:szCs w:val="22"/>
        </w:rPr>
      </w:pPr>
      <m:oMath>
        <m:r>
          <w:rPr>
            <w:rFonts w:ascii="Cambria Math" w:hAnsi="Cambria Math"/>
            <w:sz w:val="22"/>
            <w:szCs w:val="22"/>
          </w:rPr>
          <m:t>b=</m:t>
        </m:r>
        <m:f>
          <m:fPr>
            <m:ctrlPr>
              <w:rPr>
                <w:rFonts w:ascii="Cambria Math" w:hAnsi="Cambria Math"/>
                <w:i/>
                <w:sz w:val="22"/>
                <w:szCs w:val="22"/>
              </w:rPr>
            </m:ctrlPr>
          </m:fPr>
          <m:num>
            <m:r>
              <w:rPr>
                <w:rFonts w:ascii="Cambria Math" w:hAnsi="Cambria Math"/>
                <w:sz w:val="22"/>
                <w:szCs w:val="22"/>
              </w:rPr>
              <m:t>1</m:t>
            </m:r>
          </m:num>
          <m:den>
            <m:func>
              <m:funcPr>
                <m:ctrlPr>
                  <w:rPr>
                    <w:rFonts w:ascii="Cambria Math" w:hAnsi="Cambria Math"/>
                    <w:sz w:val="22"/>
                    <w:szCs w:val="22"/>
                  </w:rPr>
                </m:ctrlPr>
              </m:funcPr>
              <m:fName>
                <m:r>
                  <m:rPr>
                    <m:sty m:val="p"/>
                  </m:rPr>
                  <w:rPr>
                    <w:rFonts w:ascii="Cambria Math" w:hAnsi="Cambria Math"/>
                    <w:sz w:val="22"/>
                    <w:szCs w:val="22"/>
                  </w:rPr>
                  <m:t>ln</m:t>
                </m:r>
              </m:fName>
              <m:e>
                <m:d>
                  <m:dPr>
                    <m:ctrlPr>
                      <w:rPr>
                        <w:rFonts w:ascii="Cambria Math" w:hAnsi="Cambria Math"/>
                        <w:i/>
                        <w:sz w:val="22"/>
                        <w:szCs w:val="22"/>
                      </w:rPr>
                    </m:ctrlPr>
                  </m:dPr>
                  <m:e>
                    <m:r>
                      <w:rPr>
                        <w:rFonts w:ascii="Cambria Math" w:hAnsi="Cambria Math"/>
                        <w:sz w:val="22"/>
                        <w:szCs w:val="22"/>
                      </w:rPr>
                      <m:t>10</m:t>
                    </m:r>
                  </m:e>
                </m:d>
              </m:e>
            </m:func>
            <m:d>
              <m:dPr>
                <m:begChr m:val="["/>
                <m:endChr m:val="]"/>
                <m:ctrlPr>
                  <w:rPr>
                    <w:rFonts w:ascii="Cambria Math" w:hAnsi="Cambria Math"/>
                    <w:i/>
                    <w:sz w:val="22"/>
                    <w:szCs w:val="22"/>
                  </w:rPr>
                </m:ctrlPr>
              </m:dPr>
              <m:e>
                <m:d>
                  <m:dPr>
                    <m:begChr m:val="〈"/>
                    <m:endChr m:val="〉"/>
                    <m:ctrlPr>
                      <w:rPr>
                        <w:rFonts w:ascii="Cambria Math" w:hAnsi="Cambria Math"/>
                        <w:i/>
                        <w:sz w:val="22"/>
                        <w:szCs w:val="22"/>
                      </w:rPr>
                    </m:ctrlPr>
                  </m:dPr>
                  <m:e>
                    <m:r>
                      <w:rPr>
                        <w:rFonts w:ascii="Cambria Math" w:hAnsi="Cambria Math"/>
                        <w:sz w:val="22"/>
                        <w:szCs w:val="22"/>
                      </w:rPr>
                      <m:t>M</m:t>
                    </m:r>
                  </m:e>
                </m:d>
                <m:r>
                  <w:rPr>
                    <w:rFonts w:ascii="Cambria Math" w:hAnsi="Cambria Math"/>
                    <w:sz w:val="22"/>
                    <w:szCs w:val="22"/>
                  </w:rPr>
                  <m:t>-</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C</m:t>
                        </m:r>
                      </m:sub>
                    </m:sSub>
                    <m:r>
                      <w:rPr>
                        <w:rFonts w:ascii="Cambria Math" w:hAnsi="Cambria Math"/>
                        <w:sz w:val="22"/>
                        <w:szCs w:val="22"/>
                      </w:rPr>
                      <m:t>-</m:t>
                    </m:r>
                    <m:f>
                      <m:fPr>
                        <m:ctrlPr>
                          <w:rPr>
                            <w:rFonts w:ascii="Cambria Math" w:hAnsi="Cambria Math"/>
                            <w:i/>
                            <w:sz w:val="22"/>
                            <w:szCs w:val="22"/>
                            <w:lang w:val="el-GR"/>
                          </w:rPr>
                        </m:ctrlPr>
                      </m:fPr>
                      <m:num>
                        <m:r>
                          <w:rPr>
                            <w:rFonts w:ascii="Cambria Math" w:hAnsi="Cambria Math"/>
                            <w:sz w:val="22"/>
                            <w:szCs w:val="22"/>
                            <w:lang w:val="el-GR"/>
                          </w:rPr>
                          <m:t>δΜ</m:t>
                        </m:r>
                        <m:ctrlPr>
                          <w:rPr>
                            <w:rFonts w:ascii="Cambria Math" w:hAnsi="Cambria Math"/>
                            <w:i/>
                            <w:sz w:val="22"/>
                            <w:szCs w:val="22"/>
                          </w:rPr>
                        </m:ctrlPr>
                      </m:num>
                      <m:den>
                        <m:r>
                          <w:rPr>
                            <w:rFonts w:ascii="Cambria Math" w:hAnsi="Cambria Math"/>
                            <w:sz w:val="22"/>
                            <w:szCs w:val="22"/>
                          </w:rPr>
                          <m:t>2</m:t>
                        </m:r>
                      </m:den>
                    </m:f>
                    <m:ctrlPr>
                      <w:rPr>
                        <w:rFonts w:ascii="Cambria Math" w:hAnsi="Cambria Math"/>
                        <w:i/>
                        <w:sz w:val="22"/>
                        <w:szCs w:val="22"/>
                        <w:lang w:val="el-GR"/>
                      </w:rPr>
                    </m:ctrlPr>
                  </m:e>
                </m:d>
                <m:ctrlPr>
                  <w:rPr>
                    <w:rFonts w:ascii="Cambria Math" w:hAnsi="Cambria Math"/>
                    <w:i/>
                    <w:sz w:val="22"/>
                    <w:szCs w:val="22"/>
                    <w:lang w:val="el-GR"/>
                  </w:rPr>
                </m:ctrlPr>
              </m:e>
            </m:d>
          </m:den>
        </m:f>
      </m:oMath>
      <w:r w:rsidRPr="00344786">
        <w:rPr>
          <w:rFonts w:asciiTheme="minorHAnsi" w:eastAsiaTheme="minorEastAsia" w:hAnsiTheme="minorHAnsi"/>
          <w:sz w:val="22"/>
          <w:szCs w:val="22"/>
        </w:rPr>
        <w:t>,                                                               (</w:t>
      </w:r>
      <w:r w:rsidR="004556D9">
        <w:rPr>
          <w:rFonts w:asciiTheme="minorHAnsi" w:eastAsiaTheme="minorEastAsia" w:hAnsiTheme="minorHAnsi"/>
          <w:sz w:val="22"/>
          <w:szCs w:val="22"/>
        </w:rPr>
        <w:t>8</w:t>
      </w:r>
      <w:r w:rsidRPr="00344786">
        <w:rPr>
          <w:rFonts w:asciiTheme="minorHAnsi" w:eastAsiaTheme="minorEastAsia" w:hAnsiTheme="minorHAnsi"/>
          <w:sz w:val="22"/>
          <w:szCs w:val="22"/>
        </w:rPr>
        <w:t>)</w:t>
      </w:r>
    </w:p>
    <w:p w14:paraId="7426E5C3" w14:textId="77777777" w:rsidR="009932D9" w:rsidRPr="00344786" w:rsidRDefault="009932D9" w:rsidP="00712023">
      <w:pPr>
        <w:pStyle w:val="SMText"/>
        <w:spacing w:line="360" w:lineRule="auto"/>
        <w:ind w:firstLine="0"/>
        <w:jc w:val="both"/>
        <w:rPr>
          <w:rFonts w:asciiTheme="minorHAnsi" w:hAnsiTheme="minorHAnsi"/>
          <w:sz w:val="22"/>
          <w:szCs w:val="22"/>
        </w:rPr>
      </w:pPr>
      <w:r w:rsidRPr="00344786">
        <w:rPr>
          <w:rFonts w:asciiTheme="minorHAnsi" w:eastAsiaTheme="minorEastAsia" w:hAnsiTheme="minorHAnsi"/>
          <w:sz w:val="22"/>
          <w:szCs w:val="22"/>
        </w:rPr>
        <w:t xml:space="preserve">where </w:t>
      </w:r>
      <m:oMath>
        <m:sSub>
          <m:sSubPr>
            <m:ctrlPr>
              <w:rPr>
                <w:rFonts w:ascii="Cambria Math" w:eastAsiaTheme="minorEastAsia" w:hAnsi="Cambria Math"/>
                <w:i/>
                <w:sz w:val="22"/>
                <w:szCs w:val="22"/>
              </w:rPr>
            </m:ctrlPr>
          </m:sSubPr>
          <m:e>
            <m:r>
              <w:rPr>
                <w:rFonts w:ascii="Cambria Math" w:eastAsiaTheme="minorEastAsia" w:hAnsi="Cambria Math"/>
                <w:sz w:val="22"/>
                <w:szCs w:val="22"/>
              </w:rPr>
              <m:t>M</m:t>
            </m:r>
          </m:e>
          <m:sub>
            <m:r>
              <w:rPr>
                <w:rFonts w:ascii="Cambria Math" w:eastAsiaTheme="minorEastAsia" w:hAnsi="Cambria Math"/>
                <w:sz w:val="22"/>
                <w:szCs w:val="22"/>
                <w:vertAlign w:val="subscript"/>
              </w:rPr>
              <m:t>C</m:t>
            </m:r>
          </m:sub>
        </m:sSub>
      </m:oMath>
      <w:r w:rsidRPr="00344786">
        <w:rPr>
          <w:rFonts w:asciiTheme="minorHAnsi" w:eastAsiaTheme="minorEastAsia" w:hAnsiTheme="minorHAnsi"/>
          <w:sz w:val="22"/>
          <w:szCs w:val="22"/>
        </w:rPr>
        <w:t xml:space="preserve"> is the magnitude of completeness, </w:t>
      </w:r>
      <m:oMath>
        <m:d>
          <m:dPr>
            <m:begChr m:val="〈"/>
            <m:endChr m:val="〉"/>
            <m:ctrlPr>
              <w:rPr>
                <w:rFonts w:ascii="Cambria Math" w:eastAsiaTheme="minorEastAsia" w:hAnsi="Cambria Math"/>
                <w:i/>
                <w:sz w:val="22"/>
                <w:szCs w:val="22"/>
              </w:rPr>
            </m:ctrlPr>
          </m:dPr>
          <m:e>
            <m:r>
              <w:rPr>
                <w:rFonts w:ascii="Cambria Math" w:eastAsiaTheme="minorEastAsia" w:hAnsi="Cambria Math"/>
                <w:sz w:val="22"/>
                <w:szCs w:val="22"/>
              </w:rPr>
              <m:t>M</m:t>
            </m:r>
          </m:e>
        </m:d>
      </m:oMath>
      <w:r w:rsidRPr="00344786">
        <w:rPr>
          <w:rFonts w:asciiTheme="minorHAnsi" w:eastAsiaTheme="minorEastAsia" w:hAnsiTheme="minorHAnsi"/>
          <w:sz w:val="22"/>
          <w:szCs w:val="22"/>
        </w:rPr>
        <w:t xml:space="preserve"> is the sample mean magnitude of the considered events and </w:t>
      </w:r>
      <m:oMath>
        <m:r>
          <w:rPr>
            <w:rFonts w:ascii="Cambria Math" w:eastAsiaTheme="minorEastAsia" w:hAnsi="Cambria Math"/>
            <w:sz w:val="22"/>
            <w:szCs w:val="22"/>
            <w:lang w:val="el-GR"/>
          </w:rPr>
          <m:t>δΜ</m:t>
        </m:r>
      </m:oMath>
      <w:r w:rsidRPr="00344786">
        <w:rPr>
          <w:rFonts w:asciiTheme="minorHAnsi" w:eastAsiaTheme="minorEastAsia" w:hAnsiTheme="minorHAnsi"/>
          <w:sz w:val="22"/>
          <w:szCs w:val="22"/>
        </w:rPr>
        <w:t xml:space="preserve"> is the round–off interval of the magnitude values.</w:t>
      </w:r>
    </w:p>
    <w:p w14:paraId="13494D6C" w14:textId="102B85E8"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subcatalogs from EPISODES related to geothermal energy production are presented in Fig. S</w:t>
      </w:r>
      <w:r w:rsidR="00712023">
        <w:rPr>
          <w:rFonts w:asciiTheme="minorHAnsi" w:hAnsiTheme="minorHAnsi"/>
          <w:sz w:val="22"/>
          <w:szCs w:val="22"/>
        </w:rPr>
        <w:t>90</w:t>
      </w:r>
      <w:r w:rsidRPr="00344786">
        <w:rPr>
          <w:rFonts w:asciiTheme="minorHAnsi" w:hAnsiTheme="minorHAnsi"/>
          <w:sz w:val="22"/>
          <w:szCs w:val="22"/>
        </w:rPr>
        <w:t>, those related to hydrocarbon extraction and the Starfish episode in Fig. S</w:t>
      </w:r>
      <w:r w:rsidR="00390D02">
        <w:rPr>
          <w:rFonts w:asciiTheme="minorHAnsi" w:hAnsiTheme="minorHAnsi"/>
          <w:sz w:val="22"/>
          <w:szCs w:val="22"/>
        </w:rPr>
        <w:t>9</w:t>
      </w:r>
      <w:r w:rsidR="00712023">
        <w:rPr>
          <w:rFonts w:asciiTheme="minorHAnsi" w:hAnsiTheme="minorHAnsi"/>
          <w:sz w:val="22"/>
          <w:szCs w:val="22"/>
        </w:rPr>
        <w:t>1</w:t>
      </w:r>
      <w:r w:rsidRPr="00344786">
        <w:rPr>
          <w:rFonts w:asciiTheme="minorHAnsi" w:hAnsiTheme="minorHAnsi"/>
          <w:sz w:val="22"/>
          <w:szCs w:val="22"/>
        </w:rPr>
        <w:t>, those related to mining in Fig. S</w:t>
      </w:r>
      <w:r w:rsidR="00390D02">
        <w:rPr>
          <w:rFonts w:asciiTheme="minorHAnsi" w:hAnsiTheme="minorHAnsi"/>
          <w:sz w:val="22"/>
          <w:szCs w:val="22"/>
        </w:rPr>
        <w:t>9</w:t>
      </w:r>
      <w:r w:rsidR="00030547">
        <w:rPr>
          <w:rFonts w:asciiTheme="minorHAnsi" w:hAnsiTheme="minorHAnsi"/>
          <w:sz w:val="22"/>
          <w:szCs w:val="22"/>
        </w:rPr>
        <w:t>2</w:t>
      </w:r>
      <w:r w:rsidRPr="00344786">
        <w:rPr>
          <w:rFonts w:asciiTheme="minorHAnsi" w:hAnsiTheme="minorHAnsi"/>
          <w:sz w:val="22"/>
          <w:szCs w:val="22"/>
        </w:rPr>
        <w:t xml:space="preserve"> and those related to reservoir impoundment in Fig. S</w:t>
      </w:r>
      <w:r w:rsidR="00390D02">
        <w:rPr>
          <w:rFonts w:asciiTheme="minorHAnsi" w:hAnsiTheme="minorHAnsi"/>
          <w:sz w:val="22"/>
          <w:szCs w:val="22"/>
        </w:rPr>
        <w:t>9</w:t>
      </w:r>
      <w:r w:rsidR="00030547">
        <w:rPr>
          <w:rFonts w:asciiTheme="minorHAnsi" w:hAnsiTheme="minorHAnsi"/>
          <w:sz w:val="22"/>
          <w:szCs w:val="22"/>
        </w:rPr>
        <w:t>3</w:t>
      </w:r>
      <w:r w:rsidRPr="00344786">
        <w:rPr>
          <w:rFonts w:asciiTheme="minorHAnsi" w:hAnsiTheme="minorHAnsi"/>
          <w:sz w:val="22"/>
          <w:szCs w:val="22"/>
        </w:rPr>
        <w:t>.</w:t>
      </w:r>
    </w:p>
    <w:p w14:paraId="7E2BEB24" w14:textId="77777777" w:rsidR="009932D9" w:rsidRPr="00344786" w:rsidRDefault="009932D9" w:rsidP="00E97234">
      <w:pPr>
        <w:pStyle w:val="SMText"/>
        <w:spacing w:line="360" w:lineRule="auto"/>
        <w:jc w:val="both"/>
        <w:rPr>
          <w:rFonts w:asciiTheme="minorHAnsi" w:hAnsiTheme="minorHAnsi"/>
          <w:sz w:val="22"/>
          <w:szCs w:val="22"/>
        </w:rPr>
      </w:pPr>
    </w:p>
    <w:p w14:paraId="75E8CC25" w14:textId="77777777" w:rsidR="009932D9" w:rsidRPr="00344786" w:rsidRDefault="009932D9" w:rsidP="00E97234">
      <w:pPr>
        <w:pStyle w:val="Heading2"/>
        <w:spacing w:line="360" w:lineRule="auto"/>
        <w:jc w:val="both"/>
        <w:rPr>
          <w:rFonts w:asciiTheme="minorHAnsi" w:hAnsiTheme="minorHAnsi"/>
          <w:sz w:val="22"/>
          <w:szCs w:val="22"/>
        </w:rPr>
      </w:pPr>
      <w:bookmarkStart w:id="28" w:name="_Toc162436019"/>
      <w:r w:rsidRPr="00344786">
        <w:rPr>
          <w:rFonts w:asciiTheme="minorHAnsi" w:hAnsiTheme="minorHAnsi"/>
          <w:sz w:val="22"/>
          <w:szCs w:val="22"/>
        </w:rPr>
        <w:t>3.2 - The effect of b–value on exponentiality testing of seismic catalogs</w:t>
      </w:r>
      <w:bookmarkEnd w:id="28"/>
    </w:p>
    <w:p w14:paraId="7EECA23F" w14:textId="77777777"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We examined the effect of mixing earthquake Frequency Magnitude Distributions (FMD) with different b–values on the outcome of the Anderson–Darling (A–D) test, used to assess whether the FMDs deviate from exponentiality. </w:t>
      </w:r>
    </w:p>
    <w:p w14:paraId="57194000" w14:textId="77777777"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For this test, we created eleven left-hand truncated exponential Probability Density Functions (PDFs) with different b–values, each one containing 1000 elements of magnitudes between M</w:t>
      </w:r>
      <w:r w:rsidRPr="00344786">
        <w:rPr>
          <w:rFonts w:asciiTheme="minorHAnsi" w:hAnsiTheme="minorHAnsi"/>
          <w:sz w:val="22"/>
          <w:szCs w:val="22"/>
          <w:vertAlign w:val="subscript"/>
        </w:rPr>
        <w:t>min</w:t>
      </w:r>
      <w:r w:rsidRPr="00344786">
        <w:rPr>
          <w:rFonts w:asciiTheme="minorHAnsi" w:hAnsiTheme="minorHAnsi"/>
          <w:sz w:val="22"/>
          <w:szCs w:val="22"/>
        </w:rPr>
        <w:t xml:space="preserve"> = 1.0 to from M</w:t>
      </w:r>
      <w:r w:rsidRPr="00344786">
        <w:rPr>
          <w:rFonts w:asciiTheme="minorHAnsi" w:hAnsiTheme="minorHAnsi"/>
          <w:sz w:val="22"/>
          <w:szCs w:val="22"/>
          <w:vertAlign w:val="subscript"/>
        </w:rPr>
        <w:t>max</w:t>
      </w:r>
      <w:r w:rsidRPr="00344786">
        <w:rPr>
          <w:rFonts w:asciiTheme="minorHAnsi" w:hAnsiTheme="minorHAnsi"/>
          <w:sz w:val="22"/>
          <w:szCs w:val="22"/>
        </w:rPr>
        <w:t xml:space="preserve"> = 6.0. The PDFs were created according to the relation (Utsu et al., 1999):</w:t>
      </w:r>
    </w:p>
    <w:p w14:paraId="7EB9163D" w14:textId="173ABC7D" w:rsidR="009932D9" w:rsidRPr="00344786" w:rsidRDefault="00CA1E3F" w:rsidP="00256E95">
      <w:pPr>
        <w:pStyle w:val="SMText"/>
        <w:spacing w:line="360" w:lineRule="auto"/>
        <w:jc w:val="right"/>
        <w:rPr>
          <w:rFonts w:asciiTheme="minorHAnsi" w:eastAsiaTheme="minorEastAsia" w:hAnsiTheme="minorHAnsi"/>
          <w:sz w:val="22"/>
          <w:szCs w:val="22"/>
        </w:rPr>
      </w:pP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m:t>
            </m:r>
          </m:sub>
        </m:sSub>
        <m:d>
          <m:dPr>
            <m:ctrlPr>
              <w:rPr>
                <w:rFonts w:ascii="Cambria Math" w:hAnsi="Cambria Math"/>
                <w:i/>
                <w:sz w:val="22"/>
                <w:szCs w:val="22"/>
              </w:rPr>
            </m:ctrlPr>
          </m:dPr>
          <m:e>
            <m:r>
              <w:rPr>
                <w:rFonts w:ascii="Cambria Math" w:hAnsi="Cambria Math"/>
                <w:sz w:val="22"/>
                <w:szCs w:val="22"/>
              </w:rPr>
              <m:t>M</m:t>
            </m:r>
          </m:e>
        </m:d>
        <m:r>
          <w:rPr>
            <w:rFonts w:ascii="Cambria Math" w:hAnsi="Cambria Math"/>
            <w:sz w:val="22"/>
            <w:szCs w:val="22"/>
          </w:rPr>
          <m:t>=</m:t>
        </m:r>
        <m:r>
          <w:rPr>
            <w:rFonts w:ascii="Cambria Math" w:eastAsiaTheme="minorEastAsia" w:hAnsi="Cambria Math"/>
            <w:sz w:val="22"/>
            <w:szCs w:val="22"/>
            <w:lang w:val="el-GR"/>
          </w:rPr>
          <m:t>β</m:t>
        </m:r>
        <m:r>
          <w:rPr>
            <w:rFonts w:ascii="Cambria Math" w:hAnsi="Cambria Math"/>
            <w:sz w:val="22"/>
            <w:szCs w:val="22"/>
          </w:rPr>
          <m:t>∙</m:t>
        </m:r>
        <m:r>
          <m:rPr>
            <m:sty m:val="p"/>
          </m:rPr>
          <w:rPr>
            <w:rFonts w:ascii="Cambria Math" w:hAnsi="Cambria Math"/>
            <w:sz w:val="22"/>
            <w:szCs w:val="22"/>
          </w:rPr>
          <m:t>exp⁡</m:t>
        </m:r>
        <m:r>
          <w:rPr>
            <w:rFonts w:ascii="Cambria Math" w:hAnsi="Cambria Math"/>
            <w:sz w:val="22"/>
            <w:szCs w:val="22"/>
          </w:rPr>
          <m:t>(-</m:t>
        </m:r>
        <m:r>
          <w:rPr>
            <w:rFonts w:ascii="Cambria Math" w:eastAsiaTheme="minorEastAsia" w:hAnsi="Cambria Math"/>
            <w:sz w:val="22"/>
            <w:szCs w:val="22"/>
            <w:lang w:val="el-GR"/>
          </w:rPr>
          <m:t>β</m:t>
        </m:r>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M-</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min</m:t>
                </m:r>
              </m:sub>
            </m:sSub>
          </m:e>
        </m:d>
        <m:r>
          <w:rPr>
            <w:rFonts w:ascii="Cambria Math" w:hAnsi="Cambria Math"/>
            <w:sz w:val="22"/>
            <w:szCs w:val="22"/>
          </w:rPr>
          <m:t>)</m:t>
        </m:r>
      </m:oMath>
      <w:r w:rsidR="009932D9" w:rsidRPr="00344786">
        <w:rPr>
          <w:rFonts w:asciiTheme="minorHAnsi" w:eastAsiaTheme="minorEastAsia" w:hAnsiTheme="minorHAnsi"/>
          <w:sz w:val="22"/>
          <w:szCs w:val="22"/>
        </w:rPr>
        <w:t>,                                               (</w:t>
      </w:r>
      <w:r w:rsidR="004556D9">
        <w:rPr>
          <w:rFonts w:asciiTheme="minorHAnsi" w:eastAsiaTheme="minorEastAsia" w:hAnsiTheme="minorHAnsi"/>
          <w:sz w:val="22"/>
          <w:szCs w:val="22"/>
        </w:rPr>
        <w:t>9</w:t>
      </w:r>
      <w:r w:rsidR="009932D9" w:rsidRPr="00344786">
        <w:rPr>
          <w:rFonts w:asciiTheme="minorHAnsi" w:eastAsiaTheme="minorEastAsia" w:hAnsiTheme="minorHAnsi"/>
          <w:sz w:val="22"/>
          <w:szCs w:val="22"/>
        </w:rPr>
        <w:t>)</w:t>
      </w:r>
    </w:p>
    <w:p w14:paraId="1D9724FD" w14:textId="77777777" w:rsidR="009932D9" w:rsidRPr="00344786" w:rsidRDefault="009932D9" w:rsidP="00E97234">
      <w:pPr>
        <w:pStyle w:val="SMText"/>
        <w:spacing w:line="360" w:lineRule="auto"/>
        <w:ind w:firstLine="0"/>
        <w:jc w:val="both"/>
        <w:rPr>
          <w:rFonts w:asciiTheme="minorHAnsi" w:eastAsiaTheme="minorEastAsia" w:hAnsiTheme="minorHAnsi"/>
          <w:iCs/>
          <w:sz w:val="22"/>
          <w:szCs w:val="22"/>
        </w:rPr>
      </w:pPr>
      <w:r w:rsidRPr="00344786">
        <w:rPr>
          <w:rFonts w:asciiTheme="minorHAnsi" w:eastAsiaTheme="minorEastAsia" w:hAnsiTheme="minorHAnsi"/>
          <w:sz w:val="22"/>
          <w:szCs w:val="22"/>
        </w:rPr>
        <w:t>where,</w:t>
      </w:r>
    </w:p>
    <w:p w14:paraId="4A72B715" w14:textId="02D68680" w:rsidR="009932D9" w:rsidRPr="00344786" w:rsidRDefault="009932D9" w:rsidP="00256E95">
      <w:pPr>
        <w:pStyle w:val="SMText"/>
        <w:spacing w:line="360" w:lineRule="auto"/>
        <w:jc w:val="right"/>
        <w:rPr>
          <w:rFonts w:asciiTheme="minorHAnsi" w:eastAsiaTheme="minorEastAsia" w:hAnsiTheme="minorHAnsi"/>
          <w:iCs/>
          <w:sz w:val="22"/>
          <w:szCs w:val="22"/>
        </w:rPr>
      </w:pPr>
      <m:oMath>
        <m:r>
          <w:rPr>
            <w:rFonts w:ascii="Cambria Math" w:eastAsiaTheme="minorEastAsia" w:hAnsi="Cambria Math"/>
            <w:sz w:val="22"/>
            <w:szCs w:val="22"/>
            <w:lang w:val="el-GR"/>
          </w:rPr>
          <m:t>β</m:t>
        </m:r>
        <m:r>
          <w:rPr>
            <w:rFonts w:ascii="Cambria Math" w:eastAsiaTheme="minorEastAsia" w:hAnsi="Cambria Math"/>
            <w:sz w:val="22"/>
            <w:szCs w:val="22"/>
          </w:rPr>
          <m:t>=</m:t>
        </m:r>
        <m:r>
          <w:rPr>
            <w:rFonts w:ascii="Cambria Math" w:hAnsi="Cambria Math"/>
            <w:sz w:val="22"/>
            <w:szCs w:val="22"/>
          </w:rPr>
          <m:t>b∙ln10</m:t>
        </m:r>
      </m:oMath>
      <w:r w:rsidRPr="00344786">
        <w:rPr>
          <w:rFonts w:asciiTheme="minorHAnsi" w:eastAsiaTheme="minorEastAsia" w:hAnsiTheme="minorHAnsi"/>
          <w:sz w:val="22"/>
          <w:szCs w:val="22"/>
        </w:rPr>
        <w:t>.</w:t>
      </w:r>
      <w:r w:rsidRPr="00344786">
        <w:rPr>
          <w:rFonts w:asciiTheme="minorHAnsi" w:eastAsiaTheme="minorEastAsia" w:hAnsiTheme="minorHAnsi"/>
          <w:iCs/>
          <w:sz w:val="22"/>
          <w:szCs w:val="22"/>
        </w:rPr>
        <w:t xml:space="preserve">                                                                  (</w:t>
      </w:r>
      <w:r w:rsidR="004556D9">
        <w:rPr>
          <w:rFonts w:asciiTheme="minorHAnsi" w:eastAsiaTheme="minorEastAsia" w:hAnsiTheme="minorHAnsi"/>
          <w:iCs/>
          <w:sz w:val="22"/>
          <w:szCs w:val="22"/>
        </w:rPr>
        <w:t>10</w:t>
      </w:r>
      <w:r w:rsidRPr="00344786">
        <w:rPr>
          <w:rFonts w:asciiTheme="minorHAnsi" w:eastAsiaTheme="minorEastAsia" w:hAnsiTheme="minorHAnsi"/>
          <w:iCs/>
          <w:sz w:val="22"/>
          <w:szCs w:val="22"/>
        </w:rPr>
        <w:t>)</w:t>
      </w:r>
    </w:p>
    <w:p w14:paraId="2DE66ACF" w14:textId="77777777" w:rsidR="009932D9" w:rsidRPr="00344786" w:rsidRDefault="009932D9" w:rsidP="00E97234">
      <w:pPr>
        <w:pStyle w:val="SMText"/>
        <w:spacing w:line="360" w:lineRule="auto"/>
        <w:ind w:firstLine="0"/>
        <w:jc w:val="both"/>
        <w:rPr>
          <w:rFonts w:asciiTheme="minorHAnsi" w:hAnsiTheme="minorHAnsi"/>
          <w:sz w:val="22"/>
          <w:szCs w:val="22"/>
        </w:rPr>
      </w:pPr>
      <w:r w:rsidRPr="00344786">
        <w:rPr>
          <w:rFonts w:asciiTheme="minorHAnsi" w:hAnsiTheme="minorHAnsi"/>
          <w:sz w:val="22"/>
          <w:szCs w:val="22"/>
        </w:rPr>
        <w:lastRenderedPageBreak/>
        <w:t>Each of the eleven PDFs was created with b–values ranging from 0.5 to 1.5 in increments of 0.1.</w:t>
      </w:r>
    </w:p>
    <w:p w14:paraId="7B9C5A4B" w14:textId="7AF290DF" w:rsidR="009932D9" w:rsidRPr="00AD65B5"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We drew 100, 200 and 500 samples from the PDFs, representing every b-value. Subsequently, we created mixed distributions consisting of 200 elements (100 with b</w:t>
      </w:r>
      <w:r w:rsidRPr="00344786">
        <w:rPr>
          <w:rFonts w:asciiTheme="minorHAnsi" w:hAnsiTheme="minorHAnsi"/>
          <w:sz w:val="22"/>
          <w:szCs w:val="22"/>
          <w:vertAlign w:val="subscript"/>
        </w:rPr>
        <w:t>1</w:t>
      </w:r>
      <w:r w:rsidRPr="00344786">
        <w:rPr>
          <w:rFonts w:asciiTheme="minorHAnsi" w:hAnsiTheme="minorHAnsi"/>
          <w:sz w:val="22"/>
          <w:szCs w:val="22"/>
        </w:rPr>
        <w:t xml:space="preserve"> and 100 with b</w:t>
      </w:r>
      <w:r w:rsidRPr="00344786">
        <w:rPr>
          <w:rFonts w:asciiTheme="minorHAnsi" w:hAnsiTheme="minorHAnsi"/>
          <w:sz w:val="22"/>
          <w:szCs w:val="22"/>
          <w:vertAlign w:val="subscript"/>
        </w:rPr>
        <w:t>2</w:t>
      </w:r>
      <w:r w:rsidRPr="00344786">
        <w:rPr>
          <w:rFonts w:asciiTheme="minorHAnsi" w:hAnsiTheme="minorHAnsi"/>
          <w:sz w:val="22"/>
          <w:szCs w:val="22"/>
        </w:rPr>
        <w:t>), 400 elements (200 with b</w:t>
      </w:r>
      <w:r w:rsidRPr="00344786">
        <w:rPr>
          <w:rFonts w:asciiTheme="minorHAnsi" w:hAnsiTheme="minorHAnsi"/>
          <w:sz w:val="22"/>
          <w:szCs w:val="22"/>
          <w:vertAlign w:val="subscript"/>
        </w:rPr>
        <w:t>1</w:t>
      </w:r>
      <w:r w:rsidRPr="00344786">
        <w:rPr>
          <w:rFonts w:asciiTheme="minorHAnsi" w:hAnsiTheme="minorHAnsi"/>
          <w:sz w:val="22"/>
          <w:szCs w:val="22"/>
        </w:rPr>
        <w:t xml:space="preserve"> and 200 with b</w:t>
      </w:r>
      <w:r w:rsidRPr="00344786">
        <w:rPr>
          <w:rFonts w:asciiTheme="minorHAnsi" w:hAnsiTheme="minorHAnsi"/>
          <w:sz w:val="22"/>
          <w:szCs w:val="22"/>
          <w:vertAlign w:val="subscript"/>
        </w:rPr>
        <w:t>2</w:t>
      </w:r>
      <w:r w:rsidRPr="00344786">
        <w:rPr>
          <w:rFonts w:asciiTheme="minorHAnsi" w:hAnsiTheme="minorHAnsi"/>
          <w:sz w:val="22"/>
          <w:szCs w:val="22"/>
        </w:rPr>
        <w:t>), and 1000 elements (500 with b</w:t>
      </w:r>
      <w:r w:rsidRPr="00344786">
        <w:rPr>
          <w:rFonts w:asciiTheme="minorHAnsi" w:hAnsiTheme="minorHAnsi"/>
          <w:sz w:val="22"/>
          <w:szCs w:val="22"/>
          <w:vertAlign w:val="subscript"/>
        </w:rPr>
        <w:t>1</w:t>
      </w:r>
      <w:r w:rsidRPr="00344786">
        <w:rPr>
          <w:rFonts w:asciiTheme="minorHAnsi" w:hAnsiTheme="minorHAnsi"/>
          <w:sz w:val="22"/>
          <w:szCs w:val="22"/>
        </w:rPr>
        <w:t xml:space="preserve"> and 500 with b</w:t>
      </w:r>
      <w:r w:rsidRPr="00344786">
        <w:rPr>
          <w:rFonts w:asciiTheme="minorHAnsi" w:hAnsiTheme="minorHAnsi"/>
          <w:sz w:val="22"/>
          <w:szCs w:val="22"/>
          <w:vertAlign w:val="subscript"/>
        </w:rPr>
        <w:t>2</w:t>
      </w:r>
      <w:r w:rsidRPr="00344786">
        <w:rPr>
          <w:rFonts w:asciiTheme="minorHAnsi" w:hAnsiTheme="minorHAnsi"/>
          <w:sz w:val="22"/>
          <w:szCs w:val="22"/>
        </w:rPr>
        <w:t>). The new distributions encompassed every b-value combination between 0.5 and 1.5. Finally, the AD test was applied to the mixed distributions</w:t>
      </w:r>
      <w:r w:rsidR="008F508E">
        <w:rPr>
          <w:rFonts w:asciiTheme="minorHAnsi" w:hAnsiTheme="minorHAnsi"/>
          <w:sz w:val="22"/>
          <w:szCs w:val="22"/>
        </w:rPr>
        <w:t>.</w:t>
      </w:r>
      <w:r w:rsidRPr="00344786">
        <w:rPr>
          <w:rFonts w:asciiTheme="minorHAnsi" w:hAnsiTheme="minorHAnsi"/>
          <w:sz w:val="22"/>
          <w:szCs w:val="22"/>
        </w:rPr>
        <w:t xml:space="preserve"> (Fig. </w:t>
      </w:r>
      <w:r w:rsidR="002E18BB">
        <w:rPr>
          <w:rFonts w:asciiTheme="minorHAnsi" w:hAnsiTheme="minorHAnsi"/>
          <w:sz w:val="22"/>
          <w:szCs w:val="22"/>
        </w:rPr>
        <w:t>5</w:t>
      </w:r>
      <w:r w:rsidRPr="00344786">
        <w:rPr>
          <w:rFonts w:asciiTheme="minorHAnsi" w:hAnsiTheme="minorHAnsi"/>
          <w:sz w:val="22"/>
          <w:szCs w:val="22"/>
        </w:rPr>
        <w:t>)</w:t>
      </w:r>
      <w:r w:rsidR="005C7CC8" w:rsidRPr="008143D0">
        <w:rPr>
          <w:rFonts w:asciiTheme="minorHAnsi" w:hAnsiTheme="minorHAnsi"/>
          <w:sz w:val="22"/>
          <w:szCs w:val="22"/>
        </w:rPr>
        <w:t>.</w:t>
      </w:r>
    </w:p>
    <w:p w14:paraId="14A7EC42" w14:textId="28AFF965" w:rsidR="009932D9" w:rsidRPr="00344786" w:rsidRDefault="009932D9" w:rsidP="00E97234">
      <w:pPr>
        <w:spacing w:line="360" w:lineRule="auto"/>
        <w:jc w:val="both"/>
        <w:rPr>
          <w:rFonts w:asciiTheme="minorHAnsi" w:hAnsiTheme="minorHAnsi"/>
          <w:sz w:val="22"/>
          <w:szCs w:val="22"/>
        </w:rPr>
      </w:pPr>
      <w:r w:rsidRPr="00344786">
        <w:rPr>
          <w:rFonts w:asciiTheme="minorHAnsi" w:hAnsiTheme="minorHAnsi"/>
          <w:sz w:val="22"/>
          <w:szCs w:val="22"/>
        </w:rPr>
        <w:br w:type="page"/>
      </w:r>
    </w:p>
    <w:p w14:paraId="7A85F510" w14:textId="77777777" w:rsidR="009932D9" w:rsidRPr="00344786" w:rsidRDefault="009932D9" w:rsidP="00E97234">
      <w:pPr>
        <w:pStyle w:val="SMHeading"/>
        <w:spacing w:line="360" w:lineRule="auto"/>
        <w:jc w:val="both"/>
        <w:rPr>
          <w:rFonts w:asciiTheme="minorHAnsi" w:hAnsiTheme="minorHAnsi"/>
        </w:rPr>
      </w:pPr>
      <w:bookmarkStart w:id="29" w:name="_Toc162436020"/>
      <w:r w:rsidRPr="00344786">
        <w:rPr>
          <w:rFonts w:asciiTheme="minorHAnsi" w:hAnsiTheme="minorHAnsi"/>
        </w:rPr>
        <w:lastRenderedPageBreak/>
        <w:t>Supplementary note 4 – The adaptive nonparametric kernel estimator of the magnitude distribution of anthropogenic seismicity</w:t>
      </w:r>
      <w:bookmarkEnd w:id="29"/>
      <w:r w:rsidRPr="00344786">
        <w:rPr>
          <w:rFonts w:asciiTheme="minorHAnsi" w:hAnsiTheme="minorHAnsi"/>
        </w:rPr>
        <w:t xml:space="preserve"> </w:t>
      </w:r>
    </w:p>
    <w:p w14:paraId="3BA052A2" w14:textId="77777777" w:rsidR="009932D9" w:rsidRPr="00344786" w:rsidRDefault="009932D9" w:rsidP="00E97234">
      <w:pPr>
        <w:pStyle w:val="SMSubheading"/>
        <w:spacing w:line="360" w:lineRule="auto"/>
        <w:jc w:val="both"/>
        <w:rPr>
          <w:rFonts w:asciiTheme="minorHAnsi" w:hAnsiTheme="minorHAnsi"/>
        </w:rPr>
      </w:pPr>
    </w:p>
    <w:p w14:paraId="0E96BDB0" w14:textId="0B5AF61C" w:rsidR="009932D9" w:rsidRPr="00344786" w:rsidRDefault="009932D9"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Introduction</w:t>
      </w:r>
    </w:p>
    <w:p w14:paraId="47F7B12D" w14:textId="77777777"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Maximum likelihood estimation (MLE) was compared to non-parametric kernel density estimation (KDE) to determine a probability density function from a given set of observations. Three data sets, two synthetic and one from a real seismic catalog, were used in this study. Based on the MLE and KDE results, we could then compute the cumulative density function, exceedance probability, and return period. </w:t>
      </w:r>
    </w:p>
    <w:p w14:paraId="0454D395" w14:textId="77777777" w:rsidR="009932D9" w:rsidRPr="00344786" w:rsidRDefault="009932D9" w:rsidP="00E97234">
      <w:pPr>
        <w:pStyle w:val="SMText"/>
        <w:spacing w:line="360" w:lineRule="auto"/>
        <w:jc w:val="both"/>
        <w:rPr>
          <w:rFonts w:asciiTheme="minorHAnsi" w:hAnsiTheme="minorHAnsi"/>
          <w:sz w:val="22"/>
          <w:szCs w:val="22"/>
        </w:rPr>
      </w:pPr>
    </w:p>
    <w:p w14:paraId="4545B280" w14:textId="77777777" w:rsidR="009932D9" w:rsidRPr="00344786" w:rsidRDefault="009932D9" w:rsidP="00E97234">
      <w:pPr>
        <w:pStyle w:val="Heading2"/>
        <w:spacing w:line="360" w:lineRule="auto"/>
        <w:jc w:val="both"/>
        <w:rPr>
          <w:rFonts w:asciiTheme="minorHAnsi" w:hAnsiTheme="minorHAnsi"/>
          <w:sz w:val="22"/>
          <w:szCs w:val="22"/>
        </w:rPr>
      </w:pPr>
      <w:bookmarkStart w:id="30" w:name="_Toc162436021"/>
      <w:r w:rsidRPr="00344786">
        <w:rPr>
          <w:rFonts w:asciiTheme="minorHAnsi" w:hAnsiTheme="minorHAnsi"/>
          <w:sz w:val="22"/>
          <w:szCs w:val="22"/>
        </w:rPr>
        <w:t>4.1</w:t>
      </w:r>
      <w:r w:rsidRPr="00344786">
        <w:rPr>
          <w:rFonts w:asciiTheme="minorHAnsi" w:hAnsiTheme="minorHAnsi"/>
          <w:sz w:val="22"/>
          <w:szCs w:val="22"/>
        </w:rPr>
        <w:tab/>
        <w:t>Synthetic Data</w:t>
      </w:r>
      <w:bookmarkEnd w:id="30"/>
    </w:p>
    <w:p w14:paraId="1DDDBB42" w14:textId="77777777" w:rsidR="009932D9" w:rsidRPr="00344786" w:rsidRDefault="009932D9"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Model 1 – Mixture of Two Exponentials</w:t>
      </w:r>
    </w:p>
    <w:p w14:paraId="5E6595E3" w14:textId="77777777"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In the first model, a mixture of two exponential distributions was used. These two distributions were defined as:</w:t>
      </w:r>
    </w:p>
    <w:p w14:paraId="7A34072B" w14:textId="16997EB4" w:rsidR="009932D9" w:rsidRPr="00344786" w:rsidRDefault="00CA1E3F" w:rsidP="00270F72">
      <w:pPr>
        <w:pStyle w:val="SMText"/>
        <w:spacing w:line="360" w:lineRule="auto"/>
        <w:jc w:val="right"/>
        <w:rPr>
          <w:rFonts w:asciiTheme="minorHAnsi" w:hAnsiTheme="minorHAnsi"/>
          <w:sz w:val="22"/>
          <w:szCs w:val="22"/>
        </w:rPr>
      </w:pP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m:t>
            </m:r>
          </m:sub>
        </m:sSub>
        <m:d>
          <m:dPr>
            <m:ctrlPr>
              <w:rPr>
                <w:rFonts w:ascii="Cambria Math" w:hAnsi="Cambria Math"/>
                <w:i/>
                <w:sz w:val="22"/>
                <w:szCs w:val="22"/>
              </w:rPr>
            </m:ctrlPr>
          </m:dPr>
          <m:e>
            <m:r>
              <w:rPr>
                <w:rFonts w:ascii="Cambria Math" w:hAnsi="Cambria Math"/>
                <w:sz w:val="22"/>
                <w:szCs w:val="22"/>
              </w:rPr>
              <m:t>M</m:t>
            </m:r>
          </m:e>
        </m:d>
        <m:r>
          <w:rPr>
            <w:rFonts w:ascii="Cambria Math" w:hAnsi="Cambria Math"/>
            <w:sz w:val="22"/>
            <w:szCs w:val="22"/>
          </w:rPr>
          <m:t>=β</m:t>
        </m:r>
        <m:sSup>
          <m:sSupPr>
            <m:ctrlPr>
              <w:rPr>
                <w:rFonts w:ascii="Cambria Math" w:hAnsi="Cambria Math"/>
                <w:sz w:val="22"/>
                <w:szCs w:val="22"/>
              </w:rPr>
            </m:ctrlPr>
          </m:sSupPr>
          <m:e>
            <m:r>
              <w:rPr>
                <w:rFonts w:ascii="Cambria Math" w:hAnsi="Cambria Math"/>
                <w:sz w:val="22"/>
                <w:szCs w:val="22"/>
              </w:rPr>
              <m:t>e</m:t>
            </m:r>
          </m:e>
          <m:sup>
            <m:r>
              <w:rPr>
                <w:rFonts w:ascii="Cambria Math" w:hAnsi="Cambria Math"/>
                <w:sz w:val="22"/>
                <w:szCs w:val="22"/>
              </w:rPr>
              <m:t>-β</m:t>
            </m:r>
            <m:d>
              <m:dPr>
                <m:ctrlPr>
                  <w:rPr>
                    <w:rFonts w:ascii="Cambria Math" w:hAnsi="Cambria Math"/>
                    <w:i/>
                    <w:sz w:val="22"/>
                    <w:szCs w:val="22"/>
                  </w:rPr>
                </m:ctrlPr>
              </m:dPr>
              <m:e>
                <m:r>
                  <w:rPr>
                    <w:rFonts w:ascii="Cambria Math" w:hAnsi="Cambria Math"/>
                    <w:sz w:val="22"/>
                    <w:szCs w:val="22"/>
                  </w:rPr>
                  <m:t>M-</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min</m:t>
                    </m:r>
                  </m:sub>
                </m:sSub>
              </m:e>
            </m:d>
          </m:sup>
        </m:sSup>
      </m:oMath>
      <w:r w:rsidR="009932D9" w:rsidRPr="00344786">
        <w:rPr>
          <w:rFonts w:asciiTheme="minorHAnsi" w:eastAsiaTheme="minorEastAsia" w:hAnsiTheme="minorHAnsi"/>
          <w:sz w:val="22"/>
          <w:szCs w:val="22"/>
        </w:rPr>
        <w:t xml:space="preserve">,             </w:t>
      </w:r>
      <w:r w:rsidR="004556D9">
        <w:rPr>
          <w:rFonts w:asciiTheme="minorHAnsi" w:eastAsiaTheme="minorEastAsia" w:hAnsiTheme="minorHAnsi"/>
          <w:sz w:val="22"/>
          <w:szCs w:val="22"/>
        </w:rPr>
        <w:t xml:space="preserve">  </w:t>
      </w:r>
      <w:r w:rsidR="009932D9" w:rsidRPr="00344786">
        <w:rPr>
          <w:rFonts w:asciiTheme="minorHAnsi" w:eastAsiaTheme="minorEastAsia" w:hAnsiTheme="minorHAnsi"/>
          <w:sz w:val="22"/>
          <w:szCs w:val="22"/>
        </w:rPr>
        <w:t xml:space="preserve">                                           (</w:t>
      </w:r>
      <w:r w:rsidR="004556D9">
        <w:rPr>
          <w:rFonts w:asciiTheme="minorHAnsi" w:eastAsiaTheme="minorEastAsia" w:hAnsiTheme="minorHAnsi"/>
          <w:sz w:val="22"/>
          <w:szCs w:val="22"/>
        </w:rPr>
        <w:t>11</w:t>
      </w:r>
      <w:r w:rsidR="009932D9" w:rsidRPr="00344786">
        <w:rPr>
          <w:rFonts w:asciiTheme="minorHAnsi" w:eastAsiaTheme="minorEastAsia" w:hAnsiTheme="minorHAnsi"/>
          <w:sz w:val="22"/>
          <w:szCs w:val="22"/>
        </w:rPr>
        <w:t>)</w:t>
      </w:r>
    </w:p>
    <w:p w14:paraId="3903F76E" w14:textId="7E056728" w:rsidR="009932D9" w:rsidRPr="00344786" w:rsidRDefault="009932D9" w:rsidP="00E97234">
      <w:pPr>
        <w:pStyle w:val="SMText"/>
        <w:spacing w:line="360" w:lineRule="auto"/>
        <w:ind w:firstLine="0"/>
        <w:jc w:val="both"/>
        <w:rPr>
          <w:rFonts w:asciiTheme="minorHAnsi" w:eastAsiaTheme="minorEastAsia" w:hAnsiTheme="minorHAnsi"/>
          <w:sz w:val="22"/>
          <w:szCs w:val="22"/>
        </w:rPr>
      </w:pPr>
      <w:r w:rsidRPr="00344786">
        <w:rPr>
          <w:rFonts w:asciiTheme="minorHAnsi" w:eastAsiaTheme="minorEastAsia" w:hAnsiTheme="minorHAnsi"/>
          <w:sz w:val="22"/>
          <w:szCs w:val="22"/>
        </w:rPr>
        <w:t xml:space="preserve">where </w:t>
      </w:r>
      <m:oMath>
        <m:r>
          <w:rPr>
            <w:rFonts w:ascii="Cambria Math" w:hAnsi="Cambria Math"/>
            <w:sz w:val="22"/>
            <w:szCs w:val="22"/>
          </w:rPr>
          <m:t>b=βln10</m:t>
        </m:r>
      </m:oMath>
      <w:r w:rsidRPr="00344786">
        <w:rPr>
          <w:rFonts w:asciiTheme="minorHAnsi" w:eastAsiaTheme="minorEastAsia" w:hAnsiTheme="minorHAnsi"/>
          <w:sz w:val="22"/>
          <w:szCs w:val="22"/>
        </w:rPr>
        <w:t xml:space="preserve"> is the b-value and </w:t>
      </w:r>
      <m:oMath>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min</m:t>
            </m:r>
          </m:sub>
        </m:sSub>
        <m:r>
          <w:rPr>
            <w:rFonts w:ascii="Cambria Math" w:hAnsi="Cambria Math"/>
            <w:sz w:val="22"/>
            <w:szCs w:val="22"/>
          </w:rPr>
          <m:t>=1</m:t>
        </m:r>
      </m:oMath>
      <w:r w:rsidRPr="00344786">
        <w:rPr>
          <w:rFonts w:asciiTheme="minorHAnsi" w:eastAsiaTheme="minorEastAsia" w:hAnsiTheme="minorHAnsi"/>
          <w:sz w:val="22"/>
          <w:szCs w:val="22"/>
        </w:rPr>
        <w:t xml:space="preserve"> is the minimum magnitude. The b-value of one distribution was set to </w:t>
      </w:r>
      <m:oMath>
        <m:r>
          <w:rPr>
            <w:rFonts w:ascii="Cambria Math" w:hAnsi="Cambria Math"/>
            <w:sz w:val="22"/>
            <w:szCs w:val="22"/>
          </w:rPr>
          <m:t>b=0.7</m:t>
        </m:r>
      </m:oMath>
      <w:r w:rsidRPr="00344786">
        <w:rPr>
          <w:rFonts w:asciiTheme="minorHAnsi" w:eastAsiaTheme="minorEastAsia" w:hAnsiTheme="minorHAnsi"/>
          <w:sz w:val="22"/>
          <w:szCs w:val="22"/>
        </w:rPr>
        <w:t xml:space="preserve"> and the other one to </w:t>
      </w:r>
      <m:oMath>
        <m:r>
          <w:rPr>
            <w:rFonts w:ascii="Cambria Math" w:hAnsi="Cambria Math"/>
            <w:sz w:val="22"/>
            <w:szCs w:val="22"/>
          </w:rPr>
          <m:t>b=1.1</m:t>
        </m:r>
      </m:oMath>
      <w:r w:rsidRPr="00344786">
        <w:rPr>
          <w:rFonts w:asciiTheme="minorHAnsi" w:eastAsiaTheme="minorEastAsia" w:hAnsiTheme="minorHAnsi"/>
          <w:sz w:val="22"/>
          <w:szCs w:val="22"/>
        </w:rPr>
        <w:t xml:space="preserve"> (Fig. S</w:t>
      </w:r>
      <w:r w:rsidR="0066226A">
        <w:rPr>
          <w:rFonts w:asciiTheme="minorHAnsi" w:eastAsiaTheme="minorEastAsia" w:hAnsiTheme="minorHAnsi"/>
          <w:sz w:val="22"/>
          <w:szCs w:val="22"/>
        </w:rPr>
        <w:t>9</w:t>
      </w:r>
      <w:r w:rsidR="00083BBB">
        <w:rPr>
          <w:rFonts w:asciiTheme="minorHAnsi" w:eastAsiaTheme="minorEastAsia" w:hAnsiTheme="minorHAnsi"/>
          <w:sz w:val="22"/>
          <w:szCs w:val="22"/>
        </w:rPr>
        <w:t>4</w:t>
      </w:r>
      <w:r w:rsidRPr="00344786">
        <w:rPr>
          <w:rFonts w:asciiTheme="minorHAnsi" w:eastAsiaTheme="minorEastAsia" w:hAnsiTheme="minorHAnsi"/>
          <w:sz w:val="22"/>
          <w:szCs w:val="22"/>
        </w:rPr>
        <w:t>).</w:t>
      </w:r>
    </w:p>
    <w:p w14:paraId="683805B5" w14:textId="77777777"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eastAsiaTheme="minorEastAsia" w:hAnsiTheme="minorHAnsi"/>
          <w:sz w:val="22"/>
          <w:szCs w:val="22"/>
        </w:rPr>
        <w:t xml:space="preserve">Using the inverse transform sampling method, 400 observations were drawn, with half coming from the first distribution and the other half from the second distribution. This process was repeated 100000 times. </w:t>
      </w:r>
    </w:p>
    <w:p w14:paraId="483FED49" w14:textId="77777777" w:rsidR="009932D9" w:rsidRPr="00344786" w:rsidRDefault="009932D9" w:rsidP="00E97234">
      <w:pPr>
        <w:pStyle w:val="SMText"/>
        <w:spacing w:line="360" w:lineRule="auto"/>
        <w:jc w:val="both"/>
        <w:rPr>
          <w:rFonts w:asciiTheme="minorHAnsi" w:hAnsiTheme="minorHAnsi"/>
          <w:sz w:val="22"/>
          <w:szCs w:val="22"/>
        </w:rPr>
      </w:pPr>
    </w:p>
    <w:p w14:paraId="577EDF03" w14:textId="77777777" w:rsidR="009932D9" w:rsidRPr="00344786" w:rsidRDefault="009932D9"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Model 2 – Exponential Gaussian</w:t>
      </w:r>
    </w:p>
    <w:p w14:paraId="393E5998" w14:textId="77777777"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In the second model, an exponential function was combined with a gaussian function:</w:t>
      </w:r>
    </w:p>
    <w:p w14:paraId="27FFFE74" w14:textId="0590175C" w:rsidR="009932D9" w:rsidRPr="00344786" w:rsidRDefault="00CA1E3F" w:rsidP="00270F72">
      <w:pPr>
        <w:pStyle w:val="SMText"/>
        <w:spacing w:line="360" w:lineRule="auto"/>
        <w:jc w:val="right"/>
        <w:rPr>
          <w:rFonts w:asciiTheme="minorHAnsi" w:hAnsiTheme="minorHAnsi"/>
          <w:sz w:val="22"/>
          <w:szCs w:val="22"/>
        </w:rPr>
      </w:pP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m:t>
            </m:r>
          </m:sub>
        </m:sSub>
        <m:d>
          <m:dPr>
            <m:ctrlPr>
              <w:rPr>
                <w:rFonts w:ascii="Cambria Math" w:hAnsi="Cambria Math"/>
                <w:i/>
                <w:sz w:val="22"/>
                <w:szCs w:val="22"/>
              </w:rPr>
            </m:ctrlPr>
          </m:dPr>
          <m:e>
            <m:r>
              <w:rPr>
                <w:rFonts w:ascii="Cambria Math" w:hAnsi="Cambria Math"/>
                <w:sz w:val="22"/>
                <w:szCs w:val="22"/>
              </w:rPr>
              <m:t>M</m:t>
            </m:r>
          </m:e>
        </m:d>
        <m:r>
          <w:rPr>
            <w:rFonts w:ascii="Cambria Math" w:hAnsi="Cambria Math"/>
            <w:sz w:val="22"/>
            <w:szCs w:val="22"/>
          </w:rPr>
          <m:t xml:space="preserve">=0.9 β </m:t>
        </m:r>
        <m:sSup>
          <m:sSupPr>
            <m:ctrlPr>
              <w:rPr>
                <w:rFonts w:ascii="Cambria Math" w:hAnsi="Cambria Math"/>
                <w:sz w:val="22"/>
                <w:szCs w:val="22"/>
              </w:rPr>
            </m:ctrlPr>
          </m:sSupPr>
          <m:e>
            <m:r>
              <w:rPr>
                <w:rFonts w:ascii="Cambria Math" w:hAnsi="Cambria Math"/>
                <w:sz w:val="22"/>
                <w:szCs w:val="22"/>
              </w:rPr>
              <m:t>e</m:t>
            </m:r>
          </m:e>
          <m:sup>
            <m:r>
              <w:rPr>
                <w:rFonts w:ascii="Cambria Math" w:hAnsi="Cambria Math"/>
                <w:sz w:val="22"/>
                <w:szCs w:val="22"/>
              </w:rPr>
              <m:t>-β</m:t>
            </m:r>
            <m:d>
              <m:dPr>
                <m:ctrlPr>
                  <w:rPr>
                    <w:rFonts w:ascii="Cambria Math" w:hAnsi="Cambria Math"/>
                    <w:i/>
                    <w:sz w:val="22"/>
                    <w:szCs w:val="22"/>
                  </w:rPr>
                </m:ctrlPr>
              </m:dPr>
              <m:e>
                <m:r>
                  <w:rPr>
                    <w:rFonts w:ascii="Cambria Math" w:hAnsi="Cambria Math"/>
                    <w:sz w:val="22"/>
                    <w:szCs w:val="22"/>
                  </w:rPr>
                  <m:t>M-</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min</m:t>
                    </m:r>
                  </m:sub>
                </m:sSub>
              </m:e>
            </m:d>
          </m:sup>
        </m:sSup>
        <m:r>
          <w:rPr>
            <w:rFonts w:ascii="Cambria Math" w:hAnsi="Cambria Math"/>
            <w:sz w:val="22"/>
            <w:szCs w:val="22"/>
          </w:rPr>
          <m:t>+0.1</m:t>
        </m:r>
        <m:f>
          <m:fPr>
            <m:ctrlPr>
              <w:rPr>
                <w:rFonts w:ascii="Cambria Math" w:hAnsi="Cambria Math"/>
                <w:i/>
                <w:sz w:val="22"/>
                <w:szCs w:val="22"/>
              </w:rPr>
            </m:ctrlPr>
          </m:fPr>
          <m:num>
            <m:r>
              <w:rPr>
                <w:rFonts w:ascii="Cambria Math" w:hAnsi="Cambria Math"/>
                <w:sz w:val="22"/>
                <w:szCs w:val="22"/>
              </w:rPr>
              <m:t>1</m:t>
            </m:r>
          </m:num>
          <m:den>
            <m:rad>
              <m:radPr>
                <m:degHide m:val="1"/>
                <m:ctrlPr>
                  <w:rPr>
                    <w:rFonts w:ascii="Cambria Math" w:hAnsi="Cambria Math"/>
                    <w:i/>
                    <w:sz w:val="22"/>
                    <w:szCs w:val="22"/>
                  </w:rPr>
                </m:ctrlPr>
              </m:radPr>
              <m:deg/>
              <m:e>
                <m:r>
                  <w:rPr>
                    <w:rFonts w:ascii="Cambria Math" w:hAnsi="Cambria Math"/>
                    <w:sz w:val="22"/>
                    <w:szCs w:val="22"/>
                  </w:rPr>
                  <m:t>2π</m:t>
                </m:r>
              </m:e>
            </m:rad>
          </m:den>
        </m:f>
        <m:sSup>
          <m:sSupPr>
            <m:ctrlPr>
              <w:rPr>
                <w:rFonts w:ascii="Cambria Math" w:hAnsi="Cambria Math"/>
                <w:sz w:val="22"/>
                <w:szCs w:val="22"/>
              </w:rPr>
            </m:ctrlPr>
          </m:sSupPr>
          <m:e>
            <m:r>
              <w:rPr>
                <w:rFonts w:ascii="Cambria Math" w:hAnsi="Cambria Math"/>
                <w:sz w:val="22"/>
                <w:szCs w:val="22"/>
              </w:rPr>
              <m:t>e</m:t>
            </m:r>
          </m:e>
          <m:sup>
            <m:r>
              <w:rPr>
                <w:rFonts w:ascii="Cambria Math" w:hAnsi="Cambria Math"/>
                <w:sz w:val="22"/>
                <w:szCs w:val="22"/>
              </w:rPr>
              <m:t>-</m:t>
            </m:r>
            <m:f>
              <m:fPr>
                <m:ctrlPr>
                  <w:rPr>
                    <w:rFonts w:ascii="Cambria Math" w:hAnsi="Cambria Math"/>
                    <w:i/>
                    <w:sz w:val="22"/>
                    <w:szCs w:val="22"/>
                  </w:rPr>
                </m:ctrlPr>
              </m:fPr>
              <m:num>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M-</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t</m:t>
                            </m:r>
                          </m:sub>
                        </m:sSub>
                      </m:e>
                    </m:d>
                  </m:e>
                  <m:sup>
                    <m:r>
                      <w:rPr>
                        <w:rFonts w:ascii="Cambria Math" w:hAnsi="Cambria Math"/>
                        <w:sz w:val="22"/>
                        <w:szCs w:val="22"/>
                      </w:rPr>
                      <m:t>2</m:t>
                    </m:r>
                  </m:sup>
                </m:sSup>
              </m:num>
              <m:den>
                <m:r>
                  <w:rPr>
                    <w:rFonts w:ascii="Cambria Math" w:hAnsi="Cambria Math"/>
                    <w:sz w:val="22"/>
                    <w:szCs w:val="22"/>
                  </w:rPr>
                  <m:t>2</m:t>
                </m:r>
                <m:sSup>
                  <m:sSupPr>
                    <m:ctrlPr>
                      <w:rPr>
                        <w:rFonts w:ascii="Cambria Math" w:hAnsi="Cambria Math"/>
                        <w:i/>
                        <w:sz w:val="22"/>
                        <w:szCs w:val="22"/>
                      </w:rPr>
                    </m:ctrlPr>
                  </m:sSupPr>
                  <m:e>
                    <m:r>
                      <w:rPr>
                        <w:rFonts w:ascii="Cambria Math" w:hAnsi="Cambria Math"/>
                        <w:sz w:val="22"/>
                        <w:szCs w:val="22"/>
                      </w:rPr>
                      <m:t>σ</m:t>
                    </m:r>
                  </m:e>
                  <m:sup>
                    <m:r>
                      <w:rPr>
                        <w:rFonts w:ascii="Cambria Math" w:hAnsi="Cambria Math"/>
                        <w:sz w:val="22"/>
                        <w:szCs w:val="22"/>
                      </w:rPr>
                      <m:t>2</m:t>
                    </m:r>
                  </m:sup>
                </m:sSup>
              </m:den>
            </m:f>
            <m:r>
              <w:rPr>
                <w:rFonts w:ascii="Cambria Math" w:hAnsi="Cambria Math"/>
                <w:sz w:val="22"/>
                <w:szCs w:val="22"/>
              </w:rPr>
              <m:t xml:space="preserve"> </m:t>
            </m:r>
          </m:sup>
        </m:sSup>
        <m:r>
          <w:rPr>
            <w:rFonts w:ascii="Cambria Math" w:hAnsi="Cambria Math"/>
            <w:sz w:val="22"/>
            <w:szCs w:val="22"/>
          </w:rPr>
          <m:t xml:space="preserve"> </m:t>
        </m:r>
      </m:oMath>
      <w:r w:rsidR="009932D9" w:rsidRPr="00344786">
        <w:rPr>
          <w:rFonts w:asciiTheme="minorHAnsi" w:eastAsiaTheme="minorEastAsia" w:hAnsiTheme="minorHAnsi"/>
          <w:sz w:val="22"/>
          <w:szCs w:val="22"/>
        </w:rPr>
        <w:t xml:space="preserve">,                </w:t>
      </w:r>
      <w:r w:rsidR="004556D9">
        <w:rPr>
          <w:rFonts w:asciiTheme="minorHAnsi" w:eastAsiaTheme="minorEastAsia" w:hAnsiTheme="minorHAnsi"/>
          <w:sz w:val="22"/>
          <w:szCs w:val="22"/>
        </w:rPr>
        <w:t xml:space="preserve"> </w:t>
      </w:r>
      <w:r w:rsidR="009932D9" w:rsidRPr="00344786">
        <w:rPr>
          <w:rFonts w:asciiTheme="minorHAnsi" w:eastAsiaTheme="minorEastAsia" w:hAnsiTheme="minorHAnsi"/>
          <w:sz w:val="22"/>
          <w:szCs w:val="22"/>
        </w:rPr>
        <w:t xml:space="preserve">          (</w:t>
      </w:r>
      <w:r w:rsidR="004556D9">
        <w:rPr>
          <w:rFonts w:asciiTheme="minorHAnsi" w:eastAsiaTheme="minorEastAsia" w:hAnsiTheme="minorHAnsi"/>
          <w:sz w:val="22"/>
          <w:szCs w:val="22"/>
        </w:rPr>
        <w:t>12</w:t>
      </w:r>
      <w:r w:rsidR="009932D9" w:rsidRPr="00344786">
        <w:rPr>
          <w:rFonts w:asciiTheme="minorHAnsi" w:eastAsiaTheme="minorEastAsia" w:hAnsiTheme="minorHAnsi"/>
          <w:sz w:val="22"/>
          <w:szCs w:val="22"/>
        </w:rPr>
        <w:t>)</w:t>
      </w:r>
    </w:p>
    <w:p w14:paraId="22D160A3" w14:textId="305360BE" w:rsidR="009932D9" w:rsidRPr="00344786" w:rsidRDefault="009932D9" w:rsidP="00E97234">
      <w:pPr>
        <w:pStyle w:val="SMText"/>
        <w:spacing w:line="360" w:lineRule="auto"/>
        <w:ind w:firstLine="0"/>
        <w:jc w:val="both"/>
        <w:rPr>
          <w:rFonts w:asciiTheme="minorHAnsi" w:hAnsiTheme="minorHAnsi"/>
          <w:sz w:val="22"/>
          <w:szCs w:val="22"/>
        </w:rPr>
      </w:pPr>
      <w:r w:rsidRPr="00344786">
        <w:rPr>
          <w:rFonts w:asciiTheme="minorHAnsi" w:hAnsiTheme="minorHAnsi"/>
          <w:sz w:val="22"/>
          <w:szCs w:val="22"/>
        </w:rPr>
        <w:t xml:space="preserve">where </w:t>
      </w:r>
      <m:oMath>
        <m:r>
          <w:rPr>
            <w:rFonts w:ascii="Cambria Math" w:hAnsi="Cambria Math"/>
            <w:sz w:val="22"/>
            <w:szCs w:val="22"/>
          </w:rPr>
          <m:t>b=βln10</m:t>
        </m:r>
      </m:oMath>
      <w:r w:rsidRPr="00344786">
        <w:rPr>
          <w:rFonts w:asciiTheme="minorHAnsi" w:hAnsiTheme="minorHAnsi"/>
          <w:sz w:val="22"/>
          <w:szCs w:val="22"/>
        </w:rPr>
        <w:t xml:space="preserve"> , </w:t>
      </w:r>
      <m:oMath>
        <m:r>
          <w:rPr>
            <w:rFonts w:ascii="Cambria Math" w:hAnsi="Cambria Math"/>
            <w:sz w:val="22"/>
            <w:szCs w:val="22"/>
          </w:rPr>
          <m:t>b=1.1</m:t>
        </m:r>
      </m:oMath>
      <w:r w:rsidRPr="00344786">
        <w:rPr>
          <w:rFonts w:asciiTheme="minorHAnsi" w:eastAsiaTheme="minorEastAsia" w:hAnsiTheme="minorHAnsi"/>
          <w:sz w:val="22"/>
          <w:szCs w:val="22"/>
        </w:rPr>
        <w:t xml:space="preserve">, </w:t>
      </w:r>
      <m:oMath>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min</m:t>
            </m:r>
          </m:sub>
        </m:sSub>
        <m:r>
          <w:rPr>
            <w:rFonts w:ascii="Cambria Math" w:hAnsi="Cambria Math"/>
            <w:sz w:val="22"/>
            <w:szCs w:val="22"/>
          </w:rPr>
          <m:t>=1</m:t>
        </m:r>
      </m:oMath>
      <w:r w:rsidRPr="00344786">
        <w:rPr>
          <w:rFonts w:asciiTheme="minorHAnsi" w:eastAsiaTheme="minorEastAsia" w:hAnsiTheme="minorHAnsi"/>
          <w:sz w:val="22"/>
          <w:szCs w:val="22"/>
        </w:rPr>
        <w:t>,</w:t>
      </w:r>
      <w:r w:rsidRPr="00344786">
        <w:rPr>
          <w:rFonts w:asciiTheme="minorHAnsi" w:hAnsiTheme="minorHAnsi"/>
          <w:i/>
          <w:sz w:val="22"/>
          <w:szCs w:val="22"/>
        </w:rPr>
        <w:t xml:space="preserve"> </w:t>
      </w:r>
      <m:oMath>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t</m:t>
            </m:r>
          </m:sub>
        </m:sSub>
        <m:r>
          <w:rPr>
            <w:rFonts w:ascii="Cambria Math" w:hAnsi="Cambria Math"/>
            <w:sz w:val="22"/>
            <w:szCs w:val="22"/>
          </w:rPr>
          <m:t>=4.5</m:t>
        </m:r>
      </m:oMath>
      <w:r w:rsidRPr="00344786">
        <w:rPr>
          <w:rFonts w:asciiTheme="minorHAnsi" w:eastAsiaTheme="minorEastAsia" w:hAnsiTheme="minorHAnsi"/>
          <w:sz w:val="22"/>
          <w:szCs w:val="22"/>
        </w:rPr>
        <w:t xml:space="preserve"> , and </w:t>
      </w:r>
      <m:oMath>
        <m:r>
          <w:rPr>
            <w:rFonts w:ascii="Cambria Math" w:eastAsiaTheme="minorEastAsia" w:hAnsi="Cambria Math"/>
            <w:sz w:val="22"/>
            <w:szCs w:val="22"/>
          </w:rPr>
          <m:t>σ</m:t>
        </m:r>
        <m:r>
          <w:rPr>
            <w:rFonts w:ascii="Cambria Math" w:hAnsi="Cambria Math"/>
            <w:sz w:val="22"/>
            <w:szCs w:val="22"/>
          </w:rPr>
          <m:t>=0.3</m:t>
        </m:r>
      </m:oMath>
      <w:r w:rsidRPr="00344786">
        <w:rPr>
          <w:rFonts w:asciiTheme="minorHAnsi" w:eastAsiaTheme="minorEastAsia" w:hAnsiTheme="minorHAnsi"/>
          <w:sz w:val="22"/>
          <w:szCs w:val="22"/>
        </w:rPr>
        <w:t xml:space="preserve"> (Fig. S</w:t>
      </w:r>
      <w:r w:rsidR="0066226A">
        <w:rPr>
          <w:rFonts w:asciiTheme="minorHAnsi" w:eastAsiaTheme="minorEastAsia" w:hAnsiTheme="minorHAnsi"/>
          <w:sz w:val="22"/>
          <w:szCs w:val="22"/>
        </w:rPr>
        <w:t>9</w:t>
      </w:r>
      <w:r w:rsidR="00083BBB">
        <w:rPr>
          <w:rFonts w:asciiTheme="minorHAnsi" w:eastAsiaTheme="minorEastAsia" w:hAnsiTheme="minorHAnsi"/>
          <w:sz w:val="22"/>
          <w:szCs w:val="22"/>
        </w:rPr>
        <w:t>5</w:t>
      </w:r>
      <w:r w:rsidRPr="00344786">
        <w:rPr>
          <w:rFonts w:asciiTheme="minorHAnsi" w:eastAsiaTheme="minorEastAsia" w:hAnsiTheme="minorHAnsi"/>
          <w:sz w:val="22"/>
          <w:szCs w:val="22"/>
        </w:rPr>
        <w:t xml:space="preserve">). </w:t>
      </w:r>
      <w:r w:rsidRPr="00344786">
        <w:rPr>
          <w:rFonts w:asciiTheme="minorHAnsi" w:hAnsiTheme="minorHAnsi"/>
          <w:sz w:val="22"/>
          <w:szCs w:val="22"/>
        </w:rPr>
        <w:t>From this distribution, inverse transform sampling was used to draw 400 observations 100000 times.</w:t>
      </w:r>
    </w:p>
    <w:p w14:paraId="55752568" w14:textId="77777777" w:rsidR="009932D9" w:rsidRPr="00344786" w:rsidRDefault="009932D9" w:rsidP="00E97234">
      <w:pPr>
        <w:pStyle w:val="SMText"/>
        <w:spacing w:line="360" w:lineRule="auto"/>
        <w:jc w:val="both"/>
        <w:rPr>
          <w:rFonts w:asciiTheme="minorHAnsi" w:hAnsiTheme="minorHAnsi"/>
          <w:sz w:val="22"/>
          <w:szCs w:val="22"/>
        </w:rPr>
      </w:pPr>
    </w:p>
    <w:p w14:paraId="0A28D89B" w14:textId="77777777" w:rsidR="009932D9" w:rsidRPr="00344786" w:rsidRDefault="009932D9"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Real Data - Soultz-Sous-Forets 2004 (SSF04)</w:t>
      </w:r>
    </w:p>
    <w:p w14:paraId="5C0A7345" w14:textId="77777777"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 xml:space="preserve">The seismic event catalog from the Soultz-Sous-Forets 2004 (SSF04) stimulation (EOST &amp; GEIE EMC, 2018a) was chosen for this study and the time period between 2004-09-13 08:44UTC </w:t>
      </w:r>
      <w:r w:rsidRPr="00344786">
        <w:rPr>
          <w:rFonts w:asciiTheme="minorHAnsi" w:hAnsiTheme="minorHAnsi"/>
          <w:sz w:val="22"/>
          <w:szCs w:val="22"/>
        </w:rPr>
        <w:lastRenderedPageBreak/>
        <w:t>and 2004-09-16 13:00UTC selected to obtain a suitable number of events. The magnitude of completeness of the catalog in this period was determined to be M</w:t>
      </w:r>
      <w:r w:rsidRPr="00344786">
        <w:rPr>
          <w:rFonts w:asciiTheme="minorHAnsi" w:hAnsiTheme="minorHAnsi"/>
          <w:sz w:val="22"/>
          <w:szCs w:val="22"/>
          <w:vertAlign w:val="subscript"/>
        </w:rPr>
        <w:t>c</w:t>
      </w:r>
      <w:r w:rsidRPr="00344786">
        <w:rPr>
          <w:rFonts w:asciiTheme="minorHAnsi" w:hAnsiTheme="minorHAnsi"/>
          <w:sz w:val="22"/>
          <w:szCs w:val="22"/>
        </w:rPr>
        <w:t xml:space="preserve"> = -1.2. After removing events below M</w:t>
      </w:r>
      <w:r w:rsidRPr="00344786">
        <w:rPr>
          <w:rFonts w:asciiTheme="minorHAnsi" w:hAnsiTheme="minorHAnsi"/>
          <w:sz w:val="22"/>
          <w:szCs w:val="22"/>
          <w:vertAlign w:val="subscript"/>
        </w:rPr>
        <w:t>c</w:t>
      </w:r>
      <w:r w:rsidRPr="00344786">
        <w:rPr>
          <w:rFonts w:asciiTheme="minorHAnsi" w:hAnsiTheme="minorHAnsi"/>
          <w:sz w:val="22"/>
          <w:szCs w:val="22"/>
        </w:rPr>
        <w:t xml:space="preserve">, there remained 3266 events on which to perform MLE and KDE estimation. </w:t>
      </w:r>
    </w:p>
    <w:p w14:paraId="17F50A6A" w14:textId="77777777" w:rsidR="009932D9" w:rsidRPr="00344786" w:rsidRDefault="009932D9" w:rsidP="00E97234">
      <w:pPr>
        <w:spacing w:line="360" w:lineRule="auto"/>
        <w:jc w:val="both"/>
        <w:rPr>
          <w:rFonts w:asciiTheme="minorHAnsi" w:hAnsiTheme="minorHAnsi"/>
          <w:sz w:val="22"/>
          <w:szCs w:val="22"/>
        </w:rPr>
      </w:pPr>
    </w:p>
    <w:p w14:paraId="2E9D5103" w14:textId="77777777" w:rsidR="009932D9" w:rsidRPr="00344786" w:rsidRDefault="009932D9" w:rsidP="00E97234">
      <w:pPr>
        <w:pStyle w:val="Heading2"/>
        <w:spacing w:line="360" w:lineRule="auto"/>
        <w:jc w:val="both"/>
        <w:rPr>
          <w:rStyle w:val="ui-provider"/>
          <w:rFonts w:asciiTheme="minorHAnsi" w:hAnsiTheme="minorHAnsi"/>
          <w:sz w:val="22"/>
          <w:szCs w:val="22"/>
        </w:rPr>
      </w:pPr>
      <w:bookmarkStart w:id="31" w:name="_Toc162436022"/>
      <w:r w:rsidRPr="00344786">
        <w:rPr>
          <w:rStyle w:val="ui-provider"/>
          <w:rFonts w:asciiTheme="minorHAnsi" w:hAnsiTheme="minorHAnsi"/>
          <w:sz w:val="22"/>
          <w:szCs w:val="22"/>
        </w:rPr>
        <w:t>4.2</w:t>
      </w:r>
      <w:r w:rsidRPr="00344786">
        <w:rPr>
          <w:rStyle w:val="ui-provider"/>
          <w:rFonts w:asciiTheme="minorHAnsi" w:hAnsiTheme="minorHAnsi"/>
          <w:sz w:val="22"/>
          <w:szCs w:val="22"/>
        </w:rPr>
        <w:tab/>
        <w:t>Density Estimation Methods</w:t>
      </w:r>
      <w:bookmarkEnd w:id="31"/>
    </w:p>
    <w:p w14:paraId="724750F5" w14:textId="13CDFF8D" w:rsidR="008E3C5F" w:rsidRPr="00344786" w:rsidRDefault="008E3C5F" w:rsidP="00E97234">
      <w:pPr>
        <w:pStyle w:val="SMText"/>
        <w:spacing w:line="360" w:lineRule="auto"/>
        <w:jc w:val="both"/>
        <w:rPr>
          <w:rStyle w:val="ui-provider"/>
          <w:rFonts w:asciiTheme="minorHAnsi" w:hAnsiTheme="minorHAnsi"/>
          <w:sz w:val="22"/>
          <w:szCs w:val="22"/>
        </w:rPr>
      </w:pPr>
      <w:r w:rsidRPr="008E3C5F">
        <w:rPr>
          <w:rStyle w:val="ui-provider"/>
          <w:rFonts w:asciiTheme="minorHAnsi" w:hAnsiTheme="minorHAnsi"/>
          <w:sz w:val="22"/>
          <w:szCs w:val="22"/>
        </w:rPr>
        <w:t>We compared the performance of two approaches for estimating the probability density function of the observed data: fitting an exponential (Gutenberg-Richter) distribution using a parametric estimator, and a non-parametric KDE that makes no assumptions about the distribution’s form. For the parametric approach, we employed MLE, a standard method for fitting parametric models to data.</w:t>
      </w:r>
    </w:p>
    <w:p w14:paraId="127CB538" w14:textId="77777777" w:rsidR="009932D9" w:rsidRPr="00344786" w:rsidRDefault="009932D9" w:rsidP="00E97234">
      <w:pPr>
        <w:pStyle w:val="SMText"/>
        <w:spacing w:line="360" w:lineRule="auto"/>
        <w:jc w:val="both"/>
        <w:rPr>
          <w:rFonts w:asciiTheme="minorHAnsi" w:hAnsiTheme="minorHAnsi"/>
          <w:sz w:val="22"/>
          <w:szCs w:val="22"/>
        </w:rPr>
      </w:pPr>
    </w:p>
    <w:p w14:paraId="5540D73F" w14:textId="77777777" w:rsidR="009932D9" w:rsidRPr="00344786" w:rsidRDefault="009932D9"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Maximum Likelihood Estimation</w:t>
      </w:r>
    </w:p>
    <w:p w14:paraId="338E64AE" w14:textId="77777777"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Maximum likelihood estimation (MLE) was performed to fit the data to a 2-parameter exponential function of the form:</w:t>
      </w:r>
    </w:p>
    <w:p w14:paraId="78B9240D" w14:textId="19D2B40C" w:rsidR="009932D9" w:rsidRPr="00344786" w:rsidRDefault="00CA1E3F" w:rsidP="00A840CE">
      <w:pPr>
        <w:pStyle w:val="SMText"/>
        <w:spacing w:line="360" w:lineRule="auto"/>
        <w:jc w:val="right"/>
        <w:rPr>
          <w:rFonts w:asciiTheme="minorHAnsi" w:eastAsiaTheme="minorEastAsia" w:hAnsiTheme="minorHAnsi"/>
          <w:sz w:val="22"/>
          <w:szCs w:val="22"/>
        </w:rPr>
      </w:pP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m:t>
            </m:r>
          </m:sub>
        </m:sSub>
        <m:d>
          <m:dPr>
            <m:ctrlPr>
              <w:rPr>
                <w:rFonts w:ascii="Cambria Math" w:hAnsi="Cambria Math"/>
                <w:i/>
                <w:sz w:val="22"/>
                <w:szCs w:val="22"/>
              </w:rPr>
            </m:ctrlPr>
          </m:dPr>
          <m:e>
            <m:r>
              <w:rPr>
                <w:rFonts w:ascii="Cambria Math" w:hAnsi="Cambria Math"/>
                <w:sz w:val="22"/>
                <w:szCs w:val="22"/>
              </w:rPr>
              <m:t>M</m:t>
            </m:r>
          </m:e>
        </m:d>
        <m:r>
          <w:rPr>
            <w:rFonts w:ascii="Cambria Math" w:hAnsi="Cambria Math"/>
            <w:sz w:val="22"/>
            <w:szCs w:val="22"/>
          </w:rPr>
          <m:t>=β</m:t>
        </m:r>
        <m:sSup>
          <m:sSupPr>
            <m:ctrlPr>
              <w:rPr>
                <w:rFonts w:ascii="Cambria Math" w:hAnsi="Cambria Math"/>
                <w:sz w:val="22"/>
                <w:szCs w:val="22"/>
              </w:rPr>
            </m:ctrlPr>
          </m:sSupPr>
          <m:e>
            <m:r>
              <w:rPr>
                <w:rFonts w:ascii="Cambria Math" w:hAnsi="Cambria Math"/>
                <w:sz w:val="22"/>
                <w:szCs w:val="22"/>
              </w:rPr>
              <m:t>e</m:t>
            </m:r>
          </m:e>
          <m:sup>
            <m:r>
              <w:rPr>
                <w:rFonts w:ascii="Cambria Math" w:hAnsi="Cambria Math"/>
                <w:sz w:val="22"/>
                <w:szCs w:val="22"/>
              </w:rPr>
              <m:t>-β</m:t>
            </m:r>
            <m:d>
              <m:dPr>
                <m:ctrlPr>
                  <w:rPr>
                    <w:rFonts w:ascii="Cambria Math" w:hAnsi="Cambria Math"/>
                    <w:i/>
                    <w:sz w:val="22"/>
                    <w:szCs w:val="22"/>
                  </w:rPr>
                </m:ctrlPr>
              </m:dPr>
              <m:e>
                <m:r>
                  <w:rPr>
                    <w:rFonts w:ascii="Cambria Math" w:hAnsi="Cambria Math"/>
                    <w:sz w:val="22"/>
                    <w:szCs w:val="22"/>
                  </w:rPr>
                  <m:t>M-</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c</m:t>
                    </m:r>
                  </m:sub>
                </m:sSub>
              </m:e>
            </m:d>
          </m:sup>
        </m:sSup>
      </m:oMath>
      <w:r w:rsidR="004556D9">
        <w:rPr>
          <w:rFonts w:asciiTheme="minorHAnsi" w:eastAsiaTheme="minorEastAsia" w:hAnsiTheme="minorHAnsi"/>
          <w:sz w:val="22"/>
          <w:szCs w:val="22"/>
        </w:rPr>
        <w:t>,</w:t>
      </w:r>
      <w:r w:rsidR="009932D9" w:rsidRPr="00344786">
        <w:rPr>
          <w:rFonts w:asciiTheme="minorHAnsi" w:eastAsiaTheme="minorEastAsia" w:hAnsiTheme="minorHAnsi"/>
          <w:sz w:val="22"/>
          <w:szCs w:val="22"/>
        </w:rPr>
        <w:t xml:space="preserve">                                                        (</w:t>
      </w:r>
      <w:r w:rsidR="004556D9" w:rsidRPr="00344786">
        <w:rPr>
          <w:rFonts w:asciiTheme="minorHAnsi" w:eastAsiaTheme="minorEastAsia" w:hAnsiTheme="minorHAnsi"/>
          <w:sz w:val="22"/>
          <w:szCs w:val="22"/>
        </w:rPr>
        <w:t>1</w:t>
      </w:r>
      <w:r w:rsidR="004556D9">
        <w:rPr>
          <w:rFonts w:asciiTheme="minorHAnsi" w:eastAsiaTheme="minorEastAsia" w:hAnsiTheme="minorHAnsi"/>
          <w:sz w:val="22"/>
          <w:szCs w:val="22"/>
        </w:rPr>
        <w:t>3</w:t>
      </w:r>
      <w:r w:rsidR="009932D9" w:rsidRPr="00344786">
        <w:rPr>
          <w:rFonts w:asciiTheme="minorHAnsi" w:eastAsiaTheme="minorEastAsia" w:hAnsiTheme="minorHAnsi"/>
          <w:sz w:val="22"/>
          <w:szCs w:val="22"/>
        </w:rPr>
        <w:t>)</w:t>
      </w:r>
    </w:p>
    <w:p w14:paraId="71A8F371" w14:textId="64AEC952" w:rsidR="009932D9" w:rsidRPr="00344786" w:rsidRDefault="009932D9" w:rsidP="00E97234">
      <w:pPr>
        <w:pStyle w:val="SMText"/>
        <w:spacing w:line="360" w:lineRule="auto"/>
        <w:ind w:firstLine="0"/>
        <w:jc w:val="both"/>
        <w:rPr>
          <w:rFonts w:asciiTheme="minorHAnsi" w:hAnsiTheme="minorHAnsi"/>
          <w:sz w:val="22"/>
          <w:szCs w:val="22"/>
        </w:rPr>
      </w:pPr>
      <w:r w:rsidRPr="00344786">
        <w:rPr>
          <w:rFonts w:asciiTheme="minorHAnsi" w:eastAsiaTheme="minorEastAsia" w:hAnsiTheme="minorHAnsi"/>
          <w:sz w:val="22"/>
          <w:szCs w:val="22"/>
        </w:rPr>
        <w:t xml:space="preserve">where </w:t>
      </w: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m:t>
            </m:r>
          </m:sub>
        </m:sSub>
        <m:d>
          <m:dPr>
            <m:ctrlPr>
              <w:rPr>
                <w:rFonts w:ascii="Cambria Math" w:hAnsi="Cambria Math"/>
                <w:i/>
                <w:sz w:val="22"/>
                <w:szCs w:val="22"/>
              </w:rPr>
            </m:ctrlPr>
          </m:dPr>
          <m:e>
            <m:r>
              <w:rPr>
                <w:rFonts w:ascii="Cambria Math" w:hAnsi="Cambria Math"/>
                <w:sz w:val="22"/>
                <w:szCs w:val="22"/>
              </w:rPr>
              <m:t>M</m:t>
            </m:r>
          </m:e>
        </m:d>
        <m:r>
          <w:rPr>
            <w:rFonts w:ascii="Cambria Math" w:hAnsi="Cambria Math"/>
            <w:sz w:val="22"/>
            <w:szCs w:val="22"/>
          </w:rPr>
          <m:t>≥0, β&gt;0, M≥</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c</m:t>
            </m:r>
          </m:sub>
        </m:sSub>
      </m:oMath>
      <w:r w:rsidRPr="00344786">
        <w:rPr>
          <w:rFonts w:asciiTheme="minorHAnsi" w:eastAsiaTheme="minorEastAsia" w:hAnsiTheme="minorHAnsi"/>
          <w:sz w:val="22"/>
          <w:szCs w:val="22"/>
        </w:rPr>
        <w:t xml:space="preserve">, </w:t>
      </w:r>
      <m:oMath>
        <m:r>
          <w:rPr>
            <w:rFonts w:ascii="Cambria Math" w:hAnsi="Cambria Math"/>
            <w:sz w:val="22"/>
            <w:szCs w:val="22"/>
          </w:rPr>
          <m:t>b=βln10</m:t>
        </m:r>
      </m:oMath>
      <w:r w:rsidRPr="00344786">
        <w:rPr>
          <w:rFonts w:asciiTheme="minorHAnsi" w:eastAsiaTheme="minorEastAsia" w:hAnsiTheme="minorHAnsi"/>
          <w:sz w:val="22"/>
          <w:szCs w:val="22"/>
        </w:rPr>
        <w:t xml:space="preserve"> and M</w:t>
      </w:r>
      <w:r w:rsidRPr="00344786">
        <w:rPr>
          <w:rFonts w:asciiTheme="minorHAnsi" w:eastAsiaTheme="minorEastAsia" w:hAnsiTheme="minorHAnsi"/>
          <w:sz w:val="22"/>
          <w:szCs w:val="22"/>
          <w:vertAlign w:val="subscript"/>
        </w:rPr>
        <w:t>c</w:t>
      </w:r>
      <w:r w:rsidRPr="00344786">
        <w:rPr>
          <w:rFonts w:asciiTheme="minorHAnsi" w:eastAsiaTheme="minorEastAsia" w:hAnsiTheme="minorHAnsi"/>
          <w:sz w:val="22"/>
          <w:szCs w:val="22"/>
        </w:rPr>
        <w:t xml:space="preserve"> is the minimum magnitude or magnitude of completeness. </w:t>
      </w:r>
      <w:r w:rsidRPr="00344786">
        <w:rPr>
          <w:rFonts w:asciiTheme="minorHAnsi" w:hAnsiTheme="minorHAnsi"/>
          <w:sz w:val="22"/>
          <w:szCs w:val="22"/>
        </w:rPr>
        <w:t xml:space="preserve">For the two synthetic data sets (model 1 &amp; 2), the average b-value over the </w:t>
      </w:r>
      <w:r w:rsidRPr="00344786">
        <w:rPr>
          <w:rFonts w:asciiTheme="minorHAnsi" w:eastAsiaTheme="minorEastAsia" w:hAnsiTheme="minorHAnsi"/>
          <w:sz w:val="22"/>
          <w:szCs w:val="22"/>
        </w:rPr>
        <w:t>100000</w:t>
      </w:r>
      <w:r w:rsidRPr="00344786">
        <w:rPr>
          <w:rFonts w:asciiTheme="minorHAnsi" w:hAnsiTheme="minorHAnsi"/>
          <w:sz w:val="22"/>
          <w:szCs w:val="22"/>
        </w:rPr>
        <w:t xml:space="preserve"> estimations </w:t>
      </w:r>
      <w:r w:rsidR="00F45913" w:rsidRPr="00344786">
        <w:rPr>
          <w:rFonts w:asciiTheme="minorHAnsi" w:hAnsiTheme="minorHAnsi"/>
          <w:sz w:val="22"/>
          <w:szCs w:val="22"/>
        </w:rPr>
        <w:t>(Table S</w:t>
      </w:r>
      <w:r w:rsidR="007F7A3C">
        <w:rPr>
          <w:rFonts w:asciiTheme="minorHAnsi" w:hAnsiTheme="minorHAnsi"/>
          <w:sz w:val="22"/>
          <w:szCs w:val="22"/>
        </w:rPr>
        <w:t>1</w:t>
      </w:r>
      <w:r w:rsidR="00354123">
        <w:rPr>
          <w:rFonts w:asciiTheme="minorHAnsi" w:hAnsiTheme="minorHAnsi"/>
          <w:sz w:val="22"/>
          <w:szCs w:val="22"/>
        </w:rPr>
        <w:t>8</w:t>
      </w:r>
      <w:r w:rsidR="00F45913" w:rsidRPr="00344786">
        <w:rPr>
          <w:rFonts w:asciiTheme="minorHAnsi" w:hAnsiTheme="minorHAnsi"/>
          <w:sz w:val="22"/>
          <w:szCs w:val="22"/>
        </w:rPr>
        <w:t xml:space="preserve">) </w:t>
      </w:r>
      <w:r w:rsidRPr="00344786">
        <w:rPr>
          <w:rFonts w:asciiTheme="minorHAnsi" w:hAnsiTheme="minorHAnsi"/>
          <w:sz w:val="22"/>
          <w:szCs w:val="22"/>
        </w:rPr>
        <w:t>was used as the resulting probability distribution function (PDF).</w:t>
      </w:r>
    </w:p>
    <w:p w14:paraId="79902577" w14:textId="77777777" w:rsidR="009932D9" w:rsidRPr="00344786" w:rsidRDefault="009932D9" w:rsidP="00E97234">
      <w:pPr>
        <w:pStyle w:val="SMText"/>
        <w:spacing w:line="360" w:lineRule="auto"/>
        <w:jc w:val="both"/>
        <w:rPr>
          <w:rFonts w:asciiTheme="minorHAnsi" w:hAnsiTheme="minorHAnsi"/>
          <w:sz w:val="22"/>
          <w:szCs w:val="22"/>
        </w:rPr>
      </w:pPr>
    </w:p>
    <w:p w14:paraId="29FA4A55" w14:textId="77777777" w:rsidR="009932D9" w:rsidRPr="00344786" w:rsidRDefault="009932D9"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 xml:space="preserve">Kernel Density Estimation </w:t>
      </w:r>
    </w:p>
    <w:p w14:paraId="02025B5A" w14:textId="4351FF2F" w:rsidR="009932D9" w:rsidRPr="00344786" w:rsidRDefault="009932D9" w:rsidP="00E97234">
      <w:pPr>
        <w:pStyle w:val="SMText"/>
        <w:spacing w:line="360" w:lineRule="auto"/>
        <w:jc w:val="both"/>
        <w:rPr>
          <w:rFonts w:asciiTheme="minorHAnsi" w:hAnsiTheme="minorHAnsi"/>
          <w:sz w:val="22"/>
          <w:szCs w:val="22"/>
        </w:rPr>
      </w:pPr>
      <w:r w:rsidRPr="00344786">
        <w:rPr>
          <w:rFonts w:asciiTheme="minorHAnsi" w:hAnsiTheme="minorHAnsi"/>
          <w:sz w:val="22"/>
          <w:szCs w:val="22"/>
        </w:rPr>
        <w:t>The non-parametric kernel density estimation (KDE) was done using a diffusion-based kernel density estimator, diffKDE</w:t>
      </w:r>
      <w:r w:rsidR="006F2903">
        <w:rPr>
          <w:rFonts w:asciiTheme="minorHAnsi" w:hAnsiTheme="minorHAnsi"/>
          <w:sz w:val="22"/>
          <w:szCs w:val="22"/>
        </w:rPr>
        <w:t xml:space="preserve"> (Pelz &amp; Slawig, 2023)</w:t>
      </w:r>
      <w:r w:rsidRPr="00344786">
        <w:rPr>
          <w:rFonts w:asciiTheme="minorHAnsi" w:hAnsiTheme="minorHAnsi"/>
          <w:sz w:val="22"/>
          <w:szCs w:val="22"/>
        </w:rPr>
        <w:t xml:space="preserve">. This estimator has three main advantages: (1) consistency at the boundaries, (2) better resolution of multimodal data, and (3) a family of KDEs with different smoothing intensities which can be produced as a by-product of the numerical solution (Pelz et al., 2023). For the two synthetic data sets, the average of the KDE results from the </w:t>
      </w:r>
      <w:r w:rsidRPr="00344786">
        <w:rPr>
          <w:rFonts w:asciiTheme="minorHAnsi" w:eastAsiaTheme="minorEastAsia" w:hAnsiTheme="minorHAnsi"/>
          <w:sz w:val="22"/>
          <w:szCs w:val="22"/>
        </w:rPr>
        <w:t>100000</w:t>
      </w:r>
      <w:r w:rsidRPr="00344786">
        <w:rPr>
          <w:rFonts w:asciiTheme="minorHAnsi" w:eastAsiaTheme="minorEastAsia" w:hAnsiTheme="minorHAnsi"/>
          <w:sz w:val="22"/>
          <w:szCs w:val="22"/>
          <w:vertAlign w:val="superscript"/>
        </w:rPr>
        <w:t xml:space="preserve"> </w:t>
      </w:r>
      <w:r w:rsidRPr="00344786">
        <w:rPr>
          <w:rFonts w:asciiTheme="minorHAnsi" w:hAnsiTheme="minorHAnsi"/>
          <w:sz w:val="22"/>
          <w:szCs w:val="22"/>
        </w:rPr>
        <w:t>estimations was used as the resulting PDF.</w:t>
      </w:r>
    </w:p>
    <w:p w14:paraId="2F772F36" w14:textId="77777777" w:rsidR="009932D9" w:rsidRPr="00344786" w:rsidRDefault="009932D9" w:rsidP="00E97234">
      <w:pPr>
        <w:spacing w:line="360" w:lineRule="auto"/>
        <w:jc w:val="both"/>
        <w:rPr>
          <w:rFonts w:asciiTheme="minorHAnsi" w:hAnsiTheme="minorHAnsi"/>
          <w:sz w:val="22"/>
          <w:szCs w:val="22"/>
        </w:rPr>
      </w:pPr>
    </w:p>
    <w:p w14:paraId="0A5B0835" w14:textId="77777777" w:rsidR="009932D9" w:rsidRPr="00344786" w:rsidRDefault="009932D9"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Exceedance Probability</w:t>
      </w:r>
    </w:p>
    <w:p w14:paraId="61569EB6" w14:textId="77777777" w:rsidR="009932D9" w:rsidRPr="00344786" w:rsidRDefault="009932D9" w:rsidP="00E97234">
      <w:pPr>
        <w:pStyle w:val="SMText"/>
        <w:spacing w:line="360" w:lineRule="auto"/>
        <w:ind w:firstLine="0"/>
        <w:jc w:val="both"/>
        <w:rPr>
          <w:rFonts w:asciiTheme="minorHAnsi" w:hAnsiTheme="minorHAnsi"/>
          <w:sz w:val="22"/>
          <w:szCs w:val="22"/>
        </w:rPr>
      </w:pPr>
      <w:r w:rsidRPr="00344786">
        <w:rPr>
          <w:rFonts w:asciiTheme="minorHAnsi" w:hAnsiTheme="minorHAnsi"/>
          <w:sz w:val="22"/>
          <w:szCs w:val="22"/>
        </w:rPr>
        <w:t>The exceedance probability was calculated as:</w:t>
      </w:r>
    </w:p>
    <w:p w14:paraId="53139491" w14:textId="0B6467FE" w:rsidR="009932D9" w:rsidRPr="00344786" w:rsidRDefault="009932D9" w:rsidP="008143D0">
      <w:pPr>
        <w:pStyle w:val="SMText"/>
        <w:spacing w:line="360" w:lineRule="auto"/>
        <w:jc w:val="right"/>
        <w:rPr>
          <w:rFonts w:asciiTheme="minorHAnsi" w:hAnsiTheme="minorHAnsi"/>
          <w:sz w:val="22"/>
          <w:szCs w:val="22"/>
        </w:rPr>
      </w:pPr>
      <m:oMath>
        <m:r>
          <w:rPr>
            <w:rFonts w:ascii="Cambria Math" w:hAnsi="Cambria Math"/>
            <w:sz w:val="22"/>
            <w:szCs w:val="22"/>
          </w:rPr>
          <m:t>R=1-</m:t>
        </m:r>
        <m:sSup>
          <m:sSupPr>
            <m:ctrlPr>
              <w:rPr>
                <w:rFonts w:ascii="Cambria Math" w:hAnsi="Cambria Math"/>
                <w:i/>
                <w:sz w:val="22"/>
                <w:szCs w:val="22"/>
              </w:rPr>
            </m:ctrlPr>
          </m:sSupPr>
          <m:e>
            <m:r>
              <w:rPr>
                <w:rFonts w:ascii="Cambria Math" w:hAnsi="Cambria Math"/>
                <w:sz w:val="22"/>
                <w:szCs w:val="22"/>
              </w:rPr>
              <m:t>e</m:t>
            </m:r>
          </m:e>
          <m:sup>
            <m:r>
              <w:rPr>
                <w:rFonts w:ascii="Cambria Math" w:hAnsi="Cambria Math"/>
                <w:sz w:val="22"/>
                <w:szCs w:val="22"/>
              </w:rPr>
              <m:t>-λ</m:t>
            </m:r>
            <m:r>
              <m:rPr>
                <m:sty m:val="p"/>
              </m:rPr>
              <w:rPr>
                <w:rFonts w:ascii="Cambria Math" w:hAnsi="Cambria Math"/>
                <w:sz w:val="22"/>
                <w:szCs w:val="22"/>
              </w:rPr>
              <m:t>(1-</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m:t>
                </m:r>
              </m:sub>
            </m:sSub>
            <m:d>
              <m:dPr>
                <m:ctrlPr>
                  <w:rPr>
                    <w:rFonts w:ascii="Cambria Math" w:hAnsi="Cambria Math"/>
                    <w:i/>
                    <w:sz w:val="22"/>
                    <w:szCs w:val="22"/>
                  </w:rPr>
                </m:ctrlPr>
              </m:dPr>
              <m:e>
                <m:r>
                  <w:rPr>
                    <w:rFonts w:ascii="Cambria Math" w:hAnsi="Cambria Math"/>
                    <w:sz w:val="22"/>
                    <w:szCs w:val="22"/>
                  </w:rPr>
                  <m:t>M</m:t>
                </m:r>
              </m:e>
            </m:d>
            <m:r>
              <w:rPr>
                <w:rFonts w:ascii="Cambria Math" w:hAnsi="Cambria Math"/>
                <w:sz w:val="22"/>
                <w:szCs w:val="22"/>
              </w:rPr>
              <m:t>)</m:t>
            </m:r>
            <m:r>
              <m:rPr>
                <m:sty m:val="p"/>
              </m:rPr>
              <w:rPr>
                <w:rFonts w:ascii="Cambria Math" w:hAnsi="Cambria Math"/>
                <w:sz w:val="22"/>
                <w:szCs w:val="22"/>
              </w:rPr>
              <m:t>Δ</m:t>
            </m:r>
            <m:r>
              <w:rPr>
                <w:rFonts w:ascii="Cambria Math" w:hAnsi="Cambria Math"/>
                <w:sz w:val="22"/>
                <w:szCs w:val="22"/>
              </w:rPr>
              <m:t>t</m:t>
            </m:r>
          </m:sup>
        </m:sSup>
      </m:oMath>
      <w:r w:rsidRPr="00344786">
        <w:rPr>
          <w:rFonts w:asciiTheme="minorHAnsi" w:eastAsiaTheme="minorEastAsia" w:hAnsiTheme="minorHAnsi"/>
          <w:sz w:val="22"/>
          <w:szCs w:val="22"/>
        </w:rPr>
        <w:t xml:space="preserve">,                           </w:t>
      </w:r>
      <w:r w:rsidR="00495BD2">
        <w:rPr>
          <w:rFonts w:asciiTheme="minorHAnsi" w:eastAsiaTheme="minorEastAsia" w:hAnsiTheme="minorHAnsi"/>
          <w:sz w:val="22"/>
          <w:szCs w:val="22"/>
        </w:rPr>
        <w:t xml:space="preserve"> </w:t>
      </w:r>
      <w:r w:rsidRPr="00344786">
        <w:rPr>
          <w:rFonts w:asciiTheme="minorHAnsi" w:eastAsiaTheme="minorEastAsia" w:hAnsiTheme="minorHAnsi"/>
          <w:sz w:val="22"/>
          <w:szCs w:val="22"/>
        </w:rPr>
        <w:t xml:space="preserve">                         (</w:t>
      </w:r>
      <w:r w:rsidR="00495BD2" w:rsidRPr="00344786">
        <w:rPr>
          <w:rFonts w:asciiTheme="minorHAnsi" w:eastAsiaTheme="minorEastAsia" w:hAnsiTheme="minorHAnsi"/>
          <w:sz w:val="22"/>
          <w:szCs w:val="22"/>
        </w:rPr>
        <w:t>1</w:t>
      </w:r>
      <w:r w:rsidR="00495BD2">
        <w:rPr>
          <w:rFonts w:asciiTheme="minorHAnsi" w:eastAsiaTheme="minorEastAsia" w:hAnsiTheme="minorHAnsi"/>
          <w:sz w:val="22"/>
          <w:szCs w:val="22"/>
        </w:rPr>
        <w:t>4</w:t>
      </w:r>
      <w:r w:rsidRPr="00344786">
        <w:rPr>
          <w:rFonts w:asciiTheme="minorHAnsi" w:eastAsiaTheme="minorEastAsia" w:hAnsiTheme="minorHAnsi"/>
          <w:sz w:val="22"/>
          <w:szCs w:val="22"/>
        </w:rPr>
        <w:t>)</w:t>
      </w:r>
    </w:p>
    <w:p w14:paraId="31376075" w14:textId="77777777" w:rsidR="009932D9" w:rsidRPr="00344786" w:rsidRDefault="009932D9" w:rsidP="00E97234">
      <w:pPr>
        <w:pStyle w:val="SMText"/>
        <w:spacing w:line="360" w:lineRule="auto"/>
        <w:ind w:firstLine="0"/>
        <w:jc w:val="both"/>
        <w:rPr>
          <w:rFonts w:asciiTheme="minorHAnsi" w:hAnsiTheme="minorHAnsi"/>
          <w:sz w:val="22"/>
          <w:szCs w:val="22"/>
        </w:rPr>
      </w:pPr>
      <w:r w:rsidRPr="00344786">
        <w:rPr>
          <w:rFonts w:asciiTheme="minorHAnsi" w:hAnsiTheme="minorHAnsi"/>
          <w:sz w:val="22"/>
          <w:szCs w:val="22"/>
        </w:rPr>
        <w:lastRenderedPageBreak/>
        <w:t xml:space="preserve">where </w:t>
      </w:r>
      <m:oMath>
        <m:r>
          <w:rPr>
            <w:rFonts w:ascii="Cambria Math" w:hAnsi="Cambria Math"/>
            <w:sz w:val="22"/>
            <w:szCs w:val="22"/>
          </w:rPr>
          <m:t>λ</m:t>
        </m:r>
      </m:oMath>
      <w:r w:rsidRPr="00344786">
        <w:rPr>
          <w:rFonts w:asciiTheme="minorHAnsi" w:eastAsiaTheme="minorEastAsia" w:hAnsiTheme="minorHAnsi"/>
          <w:i/>
          <w:sz w:val="22"/>
          <w:szCs w:val="22"/>
        </w:rPr>
        <w:t xml:space="preserve"> </w:t>
      </w:r>
      <w:r w:rsidRPr="00344786">
        <w:rPr>
          <w:rFonts w:asciiTheme="minorHAnsi" w:hAnsiTheme="minorHAnsi"/>
          <w:sz w:val="22"/>
          <w:szCs w:val="22"/>
        </w:rPr>
        <w:t xml:space="preserve">is the activity rate, </w:t>
      </w:r>
      <m:oMath>
        <m:r>
          <m:rPr>
            <m:sty m:val="p"/>
          </m:rPr>
          <w:rPr>
            <w:rFonts w:ascii="Cambria Math" w:hAnsi="Cambria Math"/>
            <w:sz w:val="22"/>
            <w:szCs w:val="22"/>
          </w:rPr>
          <m:t>Δ</m:t>
        </m:r>
        <m:r>
          <w:rPr>
            <w:rFonts w:ascii="Cambria Math" w:hAnsi="Cambria Math"/>
            <w:sz w:val="22"/>
            <w:szCs w:val="22"/>
          </w:rPr>
          <m:t>t</m:t>
        </m:r>
      </m:oMath>
      <w:r w:rsidRPr="00344786">
        <w:rPr>
          <w:rFonts w:asciiTheme="minorHAnsi" w:eastAsiaTheme="minorEastAsia" w:hAnsiTheme="minorHAnsi"/>
          <w:sz w:val="22"/>
          <w:szCs w:val="22"/>
        </w:rPr>
        <w:t xml:space="preserve"> is the time period,</w:t>
      </w:r>
      <w:r w:rsidRPr="00344786">
        <w:rPr>
          <w:rFonts w:asciiTheme="minorHAnsi" w:hAnsiTheme="minorHAnsi"/>
          <w:sz w:val="22"/>
          <w:szCs w:val="22"/>
        </w:rPr>
        <w:t xml:space="preserve"> </w:t>
      </w:r>
      <w:r w:rsidRPr="00344786">
        <w:rPr>
          <w:rFonts w:asciiTheme="minorHAnsi" w:eastAsiaTheme="minorEastAsia" w:hAnsiTheme="minorHAnsi"/>
          <w:sz w:val="22"/>
          <w:szCs w:val="22"/>
        </w:rPr>
        <w:t>and</w:t>
      </w:r>
      <w:r w:rsidRPr="00344786">
        <w:rPr>
          <w:rFonts w:asciiTheme="minorHAnsi" w:hAnsiTheme="minorHAnsi"/>
          <w:sz w:val="22"/>
          <w:szCs w:val="22"/>
        </w:rPr>
        <w:t xml:space="preserve"> </w:t>
      </w: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m:t>
            </m:r>
          </m:sub>
        </m:sSub>
        <m:d>
          <m:dPr>
            <m:ctrlPr>
              <w:rPr>
                <w:rFonts w:ascii="Cambria Math" w:hAnsi="Cambria Math"/>
                <w:i/>
                <w:sz w:val="22"/>
                <w:szCs w:val="22"/>
              </w:rPr>
            </m:ctrlPr>
          </m:dPr>
          <m:e>
            <m:r>
              <w:rPr>
                <w:rFonts w:ascii="Cambria Math" w:hAnsi="Cambria Math"/>
                <w:sz w:val="22"/>
                <w:szCs w:val="22"/>
              </w:rPr>
              <m:t>M</m:t>
            </m:r>
          </m:e>
        </m:d>
      </m:oMath>
      <w:r w:rsidRPr="00344786">
        <w:rPr>
          <w:rFonts w:asciiTheme="minorHAnsi" w:eastAsiaTheme="minorEastAsia" w:hAnsiTheme="minorHAnsi"/>
          <w:i/>
          <w:sz w:val="22"/>
          <w:szCs w:val="22"/>
        </w:rPr>
        <w:t xml:space="preserve"> </w:t>
      </w:r>
      <w:r w:rsidRPr="00344786">
        <w:rPr>
          <w:rFonts w:asciiTheme="minorHAnsi" w:hAnsiTheme="minorHAnsi"/>
          <w:sz w:val="22"/>
          <w:szCs w:val="22"/>
        </w:rPr>
        <w:t xml:space="preserve">is the cumulative distribution function (CDF) obtained from performing a cumulative sum of the PDF previously obtained by MLE or KDE. The activity rate </w:t>
      </w:r>
      <m:oMath>
        <m:r>
          <w:rPr>
            <w:rFonts w:ascii="Cambria Math" w:hAnsi="Cambria Math"/>
            <w:sz w:val="22"/>
            <w:szCs w:val="22"/>
          </w:rPr>
          <m:t>λ</m:t>
        </m:r>
      </m:oMath>
      <w:r w:rsidRPr="00344786">
        <w:rPr>
          <w:rFonts w:asciiTheme="minorHAnsi" w:hAnsiTheme="minorHAnsi"/>
          <w:sz w:val="22"/>
          <w:szCs w:val="22"/>
        </w:rPr>
        <w:t xml:space="preserve"> is the number of observations over a time period </w:t>
      </w:r>
      <m:oMath>
        <m:r>
          <m:rPr>
            <m:sty m:val="p"/>
          </m:rPr>
          <w:rPr>
            <w:rFonts w:ascii="Cambria Math" w:hAnsi="Cambria Math"/>
            <w:sz w:val="22"/>
            <w:szCs w:val="22"/>
          </w:rPr>
          <m:t>Δ</m:t>
        </m:r>
        <m:r>
          <w:rPr>
            <w:rFonts w:ascii="Cambria Math" w:hAnsi="Cambria Math"/>
            <w:sz w:val="22"/>
            <w:szCs w:val="22"/>
          </w:rPr>
          <m:t>t</m:t>
        </m:r>
      </m:oMath>
      <w:r w:rsidRPr="00344786">
        <w:rPr>
          <w:rFonts w:asciiTheme="minorHAnsi" w:hAnsiTheme="minorHAnsi"/>
          <w:sz w:val="22"/>
          <w:szCs w:val="22"/>
        </w:rPr>
        <w:t>. For the synthetic models we have 400 observations over some time period that we set to 1, so the activity rate is 400. For the SSF04 catalog, there were 3266 events over a time period of 3.177 days, so the activity rate was 1028 events per day.</w:t>
      </w:r>
    </w:p>
    <w:p w14:paraId="347C43EB" w14:textId="77777777" w:rsidR="009932D9" w:rsidRPr="00344786" w:rsidRDefault="009932D9" w:rsidP="00E97234">
      <w:pPr>
        <w:pStyle w:val="SMText"/>
        <w:spacing w:line="360" w:lineRule="auto"/>
        <w:jc w:val="both"/>
        <w:rPr>
          <w:rFonts w:asciiTheme="minorHAnsi" w:hAnsiTheme="minorHAnsi"/>
          <w:sz w:val="22"/>
          <w:szCs w:val="22"/>
        </w:rPr>
      </w:pPr>
    </w:p>
    <w:p w14:paraId="1E4658ED" w14:textId="77777777" w:rsidR="009932D9" w:rsidRPr="00344786" w:rsidRDefault="009932D9" w:rsidP="00E97234">
      <w:pPr>
        <w:pStyle w:val="SMSubheading"/>
        <w:spacing w:line="360" w:lineRule="auto"/>
        <w:jc w:val="both"/>
        <w:rPr>
          <w:rFonts w:asciiTheme="minorHAnsi" w:hAnsiTheme="minorHAnsi"/>
          <w:sz w:val="22"/>
          <w:szCs w:val="22"/>
        </w:rPr>
      </w:pPr>
      <w:r w:rsidRPr="00344786">
        <w:rPr>
          <w:rFonts w:asciiTheme="minorHAnsi" w:hAnsiTheme="minorHAnsi"/>
          <w:sz w:val="22"/>
          <w:szCs w:val="22"/>
        </w:rPr>
        <w:t>Mean Return Period</w:t>
      </w:r>
    </w:p>
    <w:p w14:paraId="0BCE4BAD" w14:textId="77777777" w:rsidR="009932D9" w:rsidRPr="00344786" w:rsidRDefault="009932D9" w:rsidP="00E97234">
      <w:pPr>
        <w:pStyle w:val="SMText"/>
        <w:spacing w:line="360" w:lineRule="auto"/>
        <w:ind w:firstLine="0"/>
        <w:jc w:val="both"/>
        <w:rPr>
          <w:rFonts w:asciiTheme="minorHAnsi" w:hAnsiTheme="minorHAnsi"/>
          <w:sz w:val="22"/>
          <w:szCs w:val="22"/>
        </w:rPr>
      </w:pPr>
      <w:r w:rsidRPr="00344786">
        <w:rPr>
          <w:rFonts w:asciiTheme="minorHAnsi" w:hAnsiTheme="minorHAnsi"/>
          <w:sz w:val="22"/>
          <w:szCs w:val="22"/>
        </w:rPr>
        <w:t>The Mean Return Period was calculated as:</w:t>
      </w:r>
    </w:p>
    <w:p w14:paraId="0439DB95" w14:textId="3EBE6EF9" w:rsidR="009932D9" w:rsidRPr="00344786" w:rsidRDefault="009932D9" w:rsidP="008143D0">
      <w:pPr>
        <w:pStyle w:val="SMText"/>
        <w:spacing w:line="360" w:lineRule="auto"/>
        <w:jc w:val="right"/>
        <w:rPr>
          <w:rFonts w:asciiTheme="minorHAnsi" w:hAnsiTheme="minorHAnsi"/>
          <w:sz w:val="22"/>
          <w:szCs w:val="22"/>
        </w:rPr>
      </w:pPr>
      <m:oMath>
        <m:r>
          <w:rPr>
            <w:rFonts w:ascii="Cambria Math" w:hAnsi="Cambria Math"/>
            <w:sz w:val="22"/>
            <w:szCs w:val="22"/>
          </w:rPr>
          <m:t>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λ(1-</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m:t>
                </m:r>
              </m:sub>
            </m:sSub>
            <m:d>
              <m:dPr>
                <m:ctrlPr>
                  <w:rPr>
                    <w:rFonts w:ascii="Cambria Math" w:hAnsi="Cambria Math"/>
                    <w:i/>
                    <w:sz w:val="22"/>
                    <w:szCs w:val="22"/>
                  </w:rPr>
                </m:ctrlPr>
              </m:dPr>
              <m:e>
                <m:r>
                  <w:rPr>
                    <w:rFonts w:ascii="Cambria Math" w:hAnsi="Cambria Math"/>
                    <w:sz w:val="22"/>
                    <w:szCs w:val="22"/>
                  </w:rPr>
                  <m:t>M</m:t>
                </m:r>
              </m:e>
            </m:d>
            <m:r>
              <w:rPr>
                <w:rFonts w:ascii="Cambria Math" w:hAnsi="Cambria Math"/>
                <w:sz w:val="22"/>
                <w:szCs w:val="22"/>
              </w:rPr>
              <m:t>)</m:t>
            </m:r>
          </m:den>
        </m:f>
      </m:oMath>
      <w:r w:rsidRPr="00344786">
        <w:rPr>
          <w:rFonts w:asciiTheme="minorHAnsi" w:eastAsiaTheme="minorEastAsia" w:hAnsiTheme="minorHAnsi"/>
          <w:sz w:val="22"/>
          <w:szCs w:val="22"/>
        </w:rPr>
        <w:t xml:space="preserve">                                           </w:t>
      </w:r>
      <w:r w:rsidR="00495BD2">
        <w:rPr>
          <w:rFonts w:asciiTheme="minorHAnsi" w:eastAsiaTheme="minorEastAsia" w:hAnsiTheme="minorHAnsi"/>
          <w:sz w:val="22"/>
          <w:szCs w:val="22"/>
        </w:rPr>
        <w:t xml:space="preserve"> </w:t>
      </w:r>
      <w:r w:rsidRPr="00344786">
        <w:rPr>
          <w:rFonts w:asciiTheme="minorHAnsi" w:eastAsiaTheme="minorEastAsia" w:hAnsiTheme="minorHAnsi"/>
          <w:sz w:val="22"/>
          <w:szCs w:val="22"/>
        </w:rPr>
        <w:t xml:space="preserve">                  (</w:t>
      </w:r>
      <w:r w:rsidR="00495BD2" w:rsidRPr="00344786">
        <w:rPr>
          <w:rFonts w:asciiTheme="minorHAnsi" w:eastAsiaTheme="minorEastAsia" w:hAnsiTheme="minorHAnsi"/>
          <w:sz w:val="22"/>
          <w:szCs w:val="22"/>
        </w:rPr>
        <w:t>1</w:t>
      </w:r>
      <w:r w:rsidR="00495BD2">
        <w:rPr>
          <w:rFonts w:asciiTheme="minorHAnsi" w:eastAsiaTheme="minorEastAsia" w:hAnsiTheme="minorHAnsi"/>
          <w:sz w:val="22"/>
          <w:szCs w:val="22"/>
        </w:rPr>
        <w:t>5</w:t>
      </w:r>
      <w:r w:rsidRPr="00344786">
        <w:rPr>
          <w:rFonts w:asciiTheme="minorHAnsi" w:eastAsiaTheme="minorEastAsia" w:hAnsiTheme="minorHAnsi"/>
          <w:sz w:val="22"/>
          <w:szCs w:val="22"/>
        </w:rPr>
        <w:t xml:space="preserve">) </w:t>
      </w:r>
    </w:p>
    <w:p w14:paraId="3AA98B4B" w14:textId="77777777" w:rsidR="009932D9" w:rsidRPr="00344786" w:rsidRDefault="009932D9" w:rsidP="00E97234">
      <w:pPr>
        <w:pStyle w:val="SMText"/>
        <w:spacing w:line="360" w:lineRule="auto"/>
        <w:ind w:firstLine="0"/>
        <w:jc w:val="both"/>
        <w:rPr>
          <w:rFonts w:asciiTheme="minorHAnsi" w:hAnsiTheme="minorHAnsi"/>
          <w:sz w:val="22"/>
          <w:szCs w:val="22"/>
        </w:rPr>
      </w:pPr>
      <w:r w:rsidRPr="00344786">
        <w:rPr>
          <w:rFonts w:asciiTheme="minorHAnsi" w:hAnsiTheme="minorHAnsi"/>
          <w:sz w:val="22"/>
          <w:szCs w:val="22"/>
        </w:rPr>
        <w:t xml:space="preserve">where </w:t>
      </w:r>
      <m:oMath>
        <m:r>
          <w:rPr>
            <w:rFonts w:ascii="Cambria Math" w:hAnsi="Cambria Math"/>
            <w:sz w:val="22"/>
            <w:szCs w:val="22"/>
          </w:rPr>
          <m:t>λ</m:t>
        </m:r>
      </m:oMath>
      <w:r w:rsidRPr="00344786">
        <w:rPr>
          <w:rFonts w:asciiTheme="minorHAnsi" w:eastAsiaTheme="minorEastAsia" w:hAnsiTheme="minorHAnsi"/>
          <w:i/>
          <w:sz w:val="22"/>
          <w:szCs w:val="22"/>
        </w:rPr>
        <w:t xml:space="preserve"> </w:t>
      </w:r>
      <w:r w:rsidRPr="00344786">
        <w:rPr>
          <w:rFonts w:asciiTheme="minorHAnsi" w:hAnsiTheme="minorHAnsi"/>
          <w:sz w:val="22"/>
          <w:szCs w:val="22"/>
        </w:rPr>
        <w:t xml:space="preserve">is the activity rate </w:t>
      </w:r>
      <w:r w:rsidRPr="00344786">
        <w:rPr>
          <w:rFonts w:asciiTheme="minorHAnsi" w:eastAsiaTheme="minorEastAsia" w:hAnsiTheme="minorHAnsi"/>
          <w:sz w:val="22"/>
          <w:szCs w:val="22"/>
        </w:rPr>
        <w:t>and</w:t>
      </w:r>
      <w:r w:rsidRPr="00344786">
        <w:rPr>
          <w:rFonts w:asciiTheme="minorHAnsi" w:hAnsiTheme="minorHAnsi"/>
          <w:sz w:val="22"/>
          <w:szCs w:val="22"/>
        </w:rPr>
        <w:t xml:space="preserve"> </w:t>
      </w: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m</m:t>
            </m:r>
          </m:sub>
        </m:sSub>
        <m:d>
          <m:dPr>
            <m:ctrlPr>
              <w:rPr>
                <w:rFonts w:ascii="Cambria Math" w:hAnsi="Cambria Math"/>
                <w:i/>
                <w:sz w:val="22"/>
                <w:szCs w:val="22"/>
              </w:rPr>
            </m:ctrlPr>
          </m:dPr>
          <m:e>
            <m:r>
              <w:rPr>
                <w:rFonts w:ascii="Cambria Math" w:hAnsi="Cambria Math"/>
                <w:sz w:val="22"/>
                <w:szCs w:val="22"/>
              </w:rPr>
              <m:t>M</m:t>
            </m:r>
          </m:e>
        </m:d>
      </m:oMath>
      <w:r w:rsidRPr="00344786">
        <w:rPr>
          <w:rFonts w:asciiTheme="minorHAnsi" w:eastAsiaTheme="minorEastAsia" w:hAnsiTheme="minorHAnsi"/>
          <w:i/>
          <w:sz w:val="22"/>
          <w:szCs w:val="22"/>
        </w:rPr>
        <w:t xml:space="preserve"> </w:t>
      </w:r>
      <w:r w:rsidRPr="00344786">
        <w:rPr>
          <w:rFonts w:asciiTheme="minorHAnsi" w:hAnsiTheme="minorHAnsi"/>
          <w:sz w:val="22"/>
          <w:szCs w:val="22"/>
        </w:rPr>
        <w:t>is the CDF.</w:t>
      </w:r>
    </w:p>
    <w:p w14:paraId="56B30FFC" w14:textId="77777777" w:rsidR="00607D90" w:rsidRPr="00344786" w:rsidRDefault="00607D90" w:rsidP="00E97234">
      <w:pPr>
        <w:pStyle w:val="SMText"/>
        <w:spacing w:line="480" w:lineRule="auto"/>
        <w:ind w:firstLine="0"/>
        <w:jc w:val="both"/>
        <w:rPr>
          <w:rFonts w:asciiTheme="minorHAnsi" w:hAnsiTheme="minorHAnsi"/>
          <w:sz w:val="22"/>
          <w:szCs w:val="22"/>
        </w:rPr>
      </w:pPr>
    </w:p>
    <w:p w14:paraId="32CE9E2D" w14:textId="3D0D01D4" w:rsidR="009932D9" w:rsidRDefault="009932D9">
      <w:pPr>
        <w:rPr>
          <w:rFonts w:ascii="Myriad Pro" w:hAnsi="Myriad Pro"/>
        </w:rPr>
      </w:pPr>
      <w:r>
        <w:rPr>
          <w:rFonts w:ascii="Myriad Pro" w:hAnsi="Myriad Pro"/>
        </w:rPr>
        <w:br w:type="page"/>
      </w:r>
    </w:p>
    <w:p w14:paraId="306059C6" w14:textId="77777777" w:rsidR="009932D9" w:rsidRPr="00517B41" w:rsidRDefault="009932D9" w:rsidP="00D37DF4">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106DC9A5" wp14:editId="31F9B89E">
            <wp:extent cx="5467350" cy="2394803"/>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3024" cy="2436710"/>
                    </a:xfrm>
                    <a:prstGeom prst="rect">
                      <a:avLst/>
                    </a:prstGeom>
                  </pic:spPr>
                </pic:pic>
              </a:graphicData>
            </a:graphic>
          </wp:inline>
        </w:drawing>
      </w:r>
    </w:p>
    <w:p w14:paraId="523E8E44" w14:textId="2966BEDB" w:rsidR="009932D9" w:rsidRPr="00517B41" w:rsidRDefault="009932D9" w:rsidP="005E171C">
      <w:pPr>
        <w:pStyle w:val="SMHeading"/>
        <w:rPr>
          <w:rFonts w:ascii="Myriad Pro" w:hAnsi="Myriad Pro"/>
          <w:sz w:val="22"/>
          <w:szCs w:val="22"/>
        </w:rPr>
      </w:pPr>
      <w:bookmarkStart w:id="32" w:name="_Toc162436031"/>
      <w:r w:rsidRPr="00517B41">
        <w:rPr>
          <w:rFonts w:ascii="Myriad Pro" w:hAnsi="Myriad Pro"/>
          <w:sz w:val="22"/>
          <w:szCs w:val="22"/>
        </w:rPr>
        <w:t>Figure S</w:t>
      </w:r>
      <w:r w:rsidR="00082E71">
        <w:rPr>
          <w:rFonts w:ascii="Myriad Pro" w:hAnsi="Myriad Pro"/>
          <w:sz w:val="22"/>
          <w:szCs w:val="22"/>
        </w:rPr>
        <w:t>1</w:t>
      </w:r>
      <w:r w:rsidRPr="00517B41">
        <w:rPr>
          <w:rFonts w:ascii="Myriad Pro" w:hAnsi="Myriad Pro"/>
          <w:sz w:val="22"/>
          <w:szCs w:val="22"/>
        </w:rPr>
        <w:t>.</w:t>
      </w:r>
      <w:bookmarkEnd w:id="32"/>
      <w:r w:rsidR="005E171C">
        <w:rPr>
          <w:rFonts w:ascii="Myriad Pro" w:hAnsi="Myriad Pro"/>
          <w:sz w:val="22"/>
          <w:szCs w:val="22"/>
        </w:rPr>
        <w:t xml:space="preserve"> </w:t>
      </w:r>
      <w:r w:rsidRPr="005E171C">
        <w:rPr>
          <w:rFonts w:ascii="Myriad Pro" w:hAnsi="Myriad Pro"/>
          <w:b w:val="0"/>
          <w:bCs w:val="0"/>
          <w:sz w:val="22"/>
          <w:szCs w:val="22"/>
        </w:rPr>
        <w:t>Seismicity of Soultz-sous-Forêts 2004 episode in 8-hour bins (left y-axis, gray histograms), along with injection rate for the GPK4 well during pre and main stimulation (right y-axis, magenta and red line respectively).</w:t>
      </w:r>
      <w:r w:rsidRPr="00517B41">
        <w:rPr>
          <w:rFonts w:ascii="Myriad Pro" w:hAnsi="Myriad Pro"/>
          <w:sz w:val="22"/>
          <w:szCs w:val="22"/>
        </w:rPr>
        <w:t xml:space="preserve"> </w:t>
      </w:r>
    </w:p>
    <w:p w14:paraId="44E49647" w14:textId="2744EDDB" w:rsidR="009932D9" w:rsidRPr="00517B41" w:rsidRDefault="009932D9" w:rsidP="009932D9">
      <w:pPr>
        <w:rPr>
          <w:rFonts w:ascii="Myriad Pro" w:hAnsi="Myriad Pro"/>
          <w:sz w:val="22"/>
          <w:szCs w:val="22"/>
        </w:rPr>
      </w:pPr>
    </w:p>
    <w:p w14:paraId="1065F7E4" w14:textId="5E0AC8C7" w:rsidR="009932D9" w:rsidRPr="00517B41" w:rsidRDefault="008A262F" w:rsidP="009932D9">
      <w:pPr>
        <w:jc w:val="center"/>
        <w:rPr>
          <w:rFonts w:ascii="Myriad Pro" w:hAnsi="Myriad Pro"/>
          <w:sz w:val="22"/>
          <w:szCs w:val="22"/>
        </w:rPr>
      </w:pPr>
      <w:r>
        <w:rPr>
          <w:rFonts w:ascii="Myriad Pro" w:hAnsi="Myriad Pro"/>
          <w:noProof/>
          <w:sz w:val="22"/>
          <w:szCs w:val="22"/>
          <w:lang w:val="en-IN" w:eastAsia="en-IN"/>
        </w:rPr>
        <w:drawing>
          <wp:inline distT="0" distB="0" distL="0" distR="0" wp14:anchorId="5EC5692F" wp14:editId="382E48BD">
            <wp:extent cx="3356327" cy="33909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76702" cy="3411485"/>
                    </a:xfrm>
                    <a:prstGeom prst="rect">
                      <a:avLst/>
                    </a:prstGeom>
                  </pic:spPr>
                </pic:pic>
              </a:graphicData>
            </a:graphic>
          </wp:inline>
        </w:drawing>
      </w:r>
    </w:p>
    <w:p w14:paraId="5ECB0A89" w14:textId="7787C071" w:rsidR="009932D9" w:rsidRDefault="009932D9" w:rsidP="00D37DF4">
      <w:pPr>
        <w:pStyle w:val="SMHeading"/>
        <w:jc w:val="both"/>
        <w:rPr>
          <w:rFonts w:ascii="Myriad Pro" w:hAnsi="Myriad Pro"/>
          <w:b w:val="0"/>
          <w:bCs w:val="0"/>
          <w:sz w:val="22"/>
          <w:szCs w:val="22"/>
        </w:rPr>
      </w:pPr>
      <w:bookmarkStart w:id="33" w:name="_Toc162436032"/>
      <w:r w:rsidRPr="00517B41">
        <w:rPr>
          <w:rFonts w:ascii="Myriad Pro" w:hAnsi="Myriad Pro"/>
          <w:sz w:val="22"/>
          <w:szCs w:val="22"/>
        </w:rPr>
        <w:t>Figure S</w:t>
      </w:r>
      <w:r w:rsidR="00082E71">
        <w:rPr>
          <w:rFonts w:ascii="Myriad Pro" w:hAnsi="Myriad Pro"/>
          <w:sz w:val="22"/>
          <w:szCs w:val="22"/>
        </w:rPr>
        <w:t>2</w:t>
      </w:r>
      <w:r w:rsidRPr="00517B41">
        <w:rPr>
          <w:rFonts w:ascii="Myriad Pro" w:hAnsi="Myriad Pro"/>
          <w:sz w:val="22"/>
          <w:szCs w:val="22"/>
        </w:rPr>
        <w:t>.</w:t>
      </w:r>
      <w:bookmarkEnd w:id="33"/>
      <w:r w:rsidRPr="00517B41">
        <w:rPr>
          <w:rFonts w:ascii="Myriad Pro" w:hAnsi="Myriad Pro"/>
          <w:sz w:val="22"/>
          <w:szCs w:val="22"/>
        </w:rPr>
        <w:t xml:space="preserve"> </w:t>
      </w:r>
      <w:r w:rsidRPr="00F6282B">
        <w:rPr>
          <w:rFonts w:ascii="Myriad Pro" w:hAnsi="Myriad Pro"/>
          <w:sz w:val="22"/>
          <w:szCs w:val="22"/>
        </w:rPr>
        <w:t>Epicentral distribution of the seismicity of the 5715 earthquakes of Soultz-sous-Forêts, 2004 catalog between September 13 and September 20</w:t>
      </w:r>
      <w:r w:rsidRPr="00D37DF4">
        <w:rPr>
          <w:rFonts w:ascii="Myriad Pro" w:hAnsi="Myriad Pro"/>
          <w:b w:val="0"/>
          <w:bCs w:val="0"/>
          <w:sz w:val="22"/>
          <w:szCs w:val="22"/>
        </w:rPr>
        <w:t>. The unused earthquakes for magnitude complexity testing are depicted in gray colors. The cluster that was finally selected to assess the magnitude distribution are represented with red color.</w:t>
      </w:r>
    </w:p>
    <w:p w14:paraId="1127B1B3" w14:textId="5033900F" w:rsidR="00F6282B" w:rsidRDefault="00F6282B">
      <w:r>
        <w:br w:type="page"/>
      </w:r>
    </w:p>
    <w:p w14:paraId="2E600BA1" w14:textId="53530A33" w:rsidR="009932D9" w:rsidRPr="00517B41" w:rsidRDefault="00E051F4"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33BB30B4" wp14:editId="364130B0">
            <wp:extent cx="3150177" cy="31432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57477" cy="3150534"/>
                    </a:xfrm>
                    <a:prstGeom prst="rect">
                      <a:avLst/>
                    </a:prstGeom>
                  </pic:spPr>
                </pic:pic>
              </a:graphicData>
            </a:graphic>
          </wp:inline>
        </w:drawing>
      </w:r>
    </w:p>
    <w:p w14:paraId="76B3D0A8" w14:textId="13904FCA" w:rsidR="009932D9" w:rsidRPr="00F6282B" w:rsidRDefault="009932D9" w:rsidP="00F6282B">
      <w:pPr>
        <w:pStyle w:val="SMHeading"/>
        <w:jc w:val="both"/>
        <w:rPr>
          <w:rFonts w:ascii="Myriad Pro" w:hAnsi="Myriad Pro"/>
          <w:b w:val="0"/>
          <w:bCs w:val="0"/>
          <w:sz w:val="22"/>
          <w:szCs w:val="22"/>
        </w:rPr>
      </w:pPr>
      <w:bookmarkStart w:id="34" w:name="_Toc162436033"/>
      <w:r w:rsidRPr="00517B41">
        <w:rPr>
          <w:rFonts w:ascii="Myriad Pro" w:hAnsi="Myriad Pro"/>
          <w:sz w:val="22"/>
          <w:szCs w:val="22"/>
        </w:rPr>
        <w:t>Figure S</w:t>
      </w:r>
      <w:r w:rsidR="00082E71">
        <w:rPr>
          <w:rFonts w:ascii="Myriad Pro" w:hAnsi="Myriad Pro"/>
          <w:sz w:val="22"/>
          <w:szCs w:val="22"/>
        </w:rPr>
        <w:t>3</w:t>
      </w:r>
      <w:r w:rsidRPr="00517B41">
        <w:rPr>
          <w:rFonts w:ascii="Myriad Pro" w:hAnsi="Myriad Pro"/>
          <w:sz w:val="22"/>
          <w:szCs w:val="22"/>
        </w:rPr>
        <w:t>.</w:t>
      </w:r>
      <w:bookmarkEnd w:id="34"/>
      <w:r w:rsidRPr="00517B41">
        <w:rPr>
          <w:rFonts w:ascii="Myriad Pro" w:hAnsi="Myriad Pro"/>
          <w:sz w:val="22"/>
          <w:szCs w:val="22"/>
        </w:rPr>
        <w:t xml:space="preserve"> </w:t>
      </w:r>
      <w:r w:rsidRPr="00F6282B">
        <w:rPr>
          <w:rFonts w:ascii="Myriad Pro" w:hAnsi="Myriad Pro"/>
          <w:b w:val="0"/>
          <w:bCs w:val="0"/>
          <w:sz w:val="22"/>
          <w:szCs w:val="22"/>
        </w:rPr>
        <w:t>Cumulative and incremental frequency magnitude distributions of the 5715 earthquakes of Soultz-sous-Forêts, 2004 catalog between September 13 and September 20. The chosen magnitude of completeness is marked by the vertical red line.</w:t>
      </w:r>
    </w:p>
    <w:p w14:paraId="6B58B357" w14:textId="77777777" w:rsidR="009932D9" w:rsidRPr="00517B41" w:rsidRDefault="009932D9" w:rsidP="009932D9">
      <w:pPr>
        <w:rPr>
          <w:rFonts w:ascii="Myriad Pro" w:hAnsi="Myriad Pro"/>
          <w:sz w:val="22"/>
          <w:szCs w:val="22"/>
        </w:rPr>
      </w:pPr>
    </w:p>
    <w:p w14:paraId="478A7A07" w14:textId="6D3497FA" w:rsidR="00402FCB" w:rsidRDefault="00402FCB" w:rsidP="00F6282B">
      <w:pPr>
        <w:jc w:val="center"/>
        <w:rPr>
          <w:rFonts w:ascii="Myriad Pro" w:hAnsi="Myriad Pro"/>
          <w:sz w:val="22"/>
          <w:szCs w:val="22"/>
        </w:rPr>
      </w:pPr>
      <w:r>
        <w:rPr>
          <w:rFonts w:ascii="Myriad Pro" w:hAnsi="Myriad Pro"/>
          <w:noProof/>
          <w:sz w:val="22"/>
          <w:szCs w:val="22"/>
          <w:lang w:val="en-IN" w:eastAsia="en-IN"/>
        </w:rPr>
        <w:drawing>
          <wp:inline distT="0" distB="0" distL="0" distR="0" wp14:anchorId="15B74EBB" wp14:editId="4919B2DD">
            <wp:extent cx="3181350" cy="336361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00235" cy="3383582"/>
                    </a:xfrm>
                    <a:prstGeom prst="rect">
                      <a:avLst/>
                    </a:prstGeom>
                  </pic:spPr>
                </pic:pic>
              </a:graphicData>
            </a:graphic>
          </wp:inline>
        </w:drawing>
      </w:r>
    </w:p>
    <w:p w14:paraId="583EC4A4" w14:textId="45887327" w:rsidR="00402FCB" w:rsidRPr="00114876" w:rsidRDefault="00402FCB" w:rsidP="00402FCB">
      <w:pPr>
        <w:pStyle w:val="SMHeading"/>
        <w:rPr>
          <w:rFonts w:ascii="Myriad Pro" w:hAnsi="Myriad Pro"/>
          <w:sz w:val="22"/>
          <w:szCs w:val="22"/>
        </w:rPr>
      </w:pPr>
      <w:r w:rsidRPr="00517B41">
        <w:rPr>
          <w:rFonts w:ascii="Myriad Pro" w:hAnsi="Myriad Pro"/>
          <w:sz w:val="22"/>
          <w:szCs w:val="22"/>
        </w:rPr>
        <w:t>Figure S</w:t>
      </w:r>
      <w:r>
        <w:rPr>
          <w:rFonts w:ascii="Myriad Pro" w:hAnsi="Myriad Pro"/>
          <w:sz w:val="22"/>
          <w:szCs w:val="22"/>
        </w:rPr>
        <w:t>4</w:t>
      </w:r>
      <w:r w:rsidRPr="00517B41">
        <w:rPr>
          <w:rFonts w:ascii="Myriad Pro" w:hAnsi="Myriad Pro"/>
          <w:sz w:val="22"/>
          <w:szCs w:val="22"/>
        </w:rPr>
        <w:t>.</w:t>
      </w:r>
      <w:r w:rsidR="00F6282B">
        <w:rPr>
          <w:rFonts w:ascii="Myriad Pro" w:hAnsi="Myriad Pro"/>
          <w:sz w:val="22"/>
          <w:szCs w:val="22"/>
        </w:rPr>
        <w:t xml:space="preserve"> </w:t>
      </w:r>
      <w:r w:rsidR="003249D8">
        <w:rPr>
          <w:rFonts w:ascii="Myriad Pro" w:hAnsi="Myriad Pro"/>
          <w:b w:val="0"/>
          <w:bCs w:val="0"/>
          <w:sz w:val="22"/>
          <w:szCs w:val="22"/>
        </w:rPr>
        <w:t>S</w:t>
      </w:r>
      <w:r w:rsidR="003249D8" w:rsidRPr="003249D8">
        <w:rPr>
          <w:rFonts w:ascii="Myriad Pro" w:hAnsi="Myriad Pro"/>
          <w:b w:val="0"/>
          <w:bCs w:val="0"/>
          <w:sz w:val="22"/>
          <w:szCs w:val="22"/>
        </w:rPr>
        <w:t xml:space="preserve">patial distribution of the magnitude of completeness over a gridded area for the </w:t>
      </w:r>
      <w:r w:rsidR="00114876" w:rsidRPr="00F6282B">
        <w:rPr>
          <w:rFonts w:ascii="Myriad Pro" w:hAnsi="Myriad Pro"/>
          <w:b w:val="0"/>
          <w:bCs w:val="0"/>
          <w:sz w:val="22"/>
          <w:szCs w:val="22"/>
        </w:rPr>
        <w:t>Soultz-sous-Forêts, 2004 catalog</w:t>
      </w:r>
    </w:p>
    <w:p w14:paraId="3DA586F6" w14:textId="426701D1" w:rsidR="00114876" w:rsidRDefault="00114876">
      <w:pPr>
        <w:rPr>
          <w:rFonts w:ascii="Myriad Pro" w:hAnsi="Myriad Pro"/>
          <w:sz w:val="22"/>
          <w:szCs w:val="22"/>
        </w:rPr>
      </w:pPr>
      <w:r>
        <w:rPr>
          <w:rFonts w:ascii="Myriad Pro" w:hAnsi="Myriad Pro"/>
          <w:sz w:val="22"/>
          <w:szCs w:val="22"/>
        </w:rPr>
        <w:br w:type="page"/>
      </w:r>
    </w:p>
    <w:p w14:paraId="21AEB35D" w14:textId="073996BA" w:rsidR="009932D9" w:rsidRPr="00517B41" w:rsidRDefault="001F3EAC"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47580C66" wp14:editId="5673CE58">
            <wp:extent cx="5105400" cy="2224158"/>
            <wp:effectExtent l="0" t="0" r="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13424" cy="2227654"/>
                    </a:xfrm>
                    <a:prstGeom prst="rect">
                      <a:avLst/>
                    </a:prstGeom>
                  </pic:spPr>
                </pic:pic>
              </a:graphicData>
            </a:graphic>
          </wp:inline>
        </w:drawing>
      </w:r>
    </w:p>
    <w:p w14:paraId="640D9E11" w14:textId="6999612D" w:rsidR="009932D9" w:rsidRPr="00114876" w:rsidRDefault="009932D9" w:rsidP="008F399C">
      <w:pPr>
        <w:pStyle w:val="SMHeading"/>
        <w:jc w:val="both"/>
        <w:rPr>
          <w:rFonts w:ascii="Myriad Pro" w:hAnsi="Myriad Pro"/>
          <w:b w:val="0"/>
          <w:bCs w:val="0"/>
          <w:sz w:val="22"/>
          <w:szCs w:val="22"/>
        </w:rPr>
      </w:pPr>
      <w:bookmarkStart w:id="35" w:name="_Toc162436034"/>
      <w:r w:rsidRPr="00517B41">
        <w:rPr>
          <w:rFonts w:ascii="Myriad Pro" w:hAnsi="Myriad Pro"/>
          <w:sz w:val="22"/>
          <w:szCs w:val="22"/>
        </w:rPr>
        <w:t>Figure S</w:t>
      </w:r>
      <w:r w:rsidR="00A53BB6">
        <w:rPr>
          <w:rFonts w:ascii="Myriad Pro" w:hAnsi="Myriad Pro"/>
          <w:sz w:val="22"/>
          <w:szCs w:val="22"/>
        </w:rPr>
        <w:t>5</w:t>
      </w:r>
      <w:r w:rsidRPr="00517B41">
        <w:rPr>
          <w:rFonts w:ascii="Myriad Pro" w:hAnsi="Myriad Pro"/>
          <w:sz w:val="22"/>
          <w:szCs w:val="22"/>
        </w:rPr>
        <w:t>.</w:t>
      </w:r>
      <w:bookmarkEnd w:id="35"/>
      <w:r w:rsidR="00114876">
        <w:rPr>
          <w:rFonts w:ascii="Myriad Pro" w:hAnsi="Myriad Pro"/>
          <w:sz w:val="22"/>
          <w:szCs w:val="22"/>
        </w:rPr>
        <w:t xml:space="preserve"> </w:t>
      </w:r>
      <w:r w:rsidRPr="00517B41">
        <w:rPr>
          <w:rFonts w:ascii="Myriad Pro" w:hAnsi="Myriad Pro"/>
          <w:sz w:val="22"/>
          <w:szCs w:val="22"/>
        </w:rPr>
        <w:t xml:space="preserve">Cumulative number of earthquakes above Mc versus time (Left y-axis) represented with black circles and injection rate versus time represented with red line (right y-axis). </w:t>
      </w:r>
      <w:r w:rsidRPr="00114876">
        <w:rPr>
          <w:rFonts w:ascii="Myriad Pro" w:hAnsi="Myriad Pro"/>
          <w:b w:val="0"/>
          <w:bCs w:val="0"/>
          <w:sz w:val="22"/>
          <w:szCs w:val="22"/>
        </w:rPr>
        <w:t>The stationary activity rate period is noted with red colored area. The same color is used in Fig. S</w:t>
      </w:r>
      <w:r w:rsidR="00082E71" w:rsidRPr="00114876">
        <w:rPr>
          <w:rFonts w:ascii="Myriad Pro" w:hAnsi="Myriad Pro"/>
          <w:b w:val="0"/>
          <w:bCs w:val="0"/>
          <w:sz w:val="22"/>
          <w:szCs w:val="22"/>
        </w:rPr>
        <w:t>2</w:t>
      </w:r>
      <w:r w:rsidRPr="00114876">
        <w:rPr>
          <w:rFonts w:ascii="Myriad Pro" w:hAnsi="Myriad Pro"/>
          <w:b w:val="0"/>
          <w:bCs w:val="0"/>
          <w:sz w:val="22"/>
          <w:szCs w:val="22"/>
        </w:rPr>
        <w:t xml:space="preserve"> for the epicentral distribution of events in this period.</w:t>
      </w:r>
    </w:p>
    <w:p w14:paraId="7975DD78" w14:textId="77777777" w:rsidR="009932D9" w:rsidRPr="00517B41" w:rsidRDefault="009932D9" w:rsidP="009932D9">
      <w:pPr>
        <w:rPr>
          <w:rFonts w:ascii="Myriad Pro" w:hAnsi="Myriad Pro" w:cstheme="minorHAnsi"/>
          <w:sz w:val="22"/>
          <w:szCs w:val="22"/>
        </w:rPr>
      </w:pPr>
    </w:p>
    <w:p w14:paraId="39BE48FE" w14:textId="43316B2C" w:rsidR="009932D9" w:rsidRPr="00517B41" w:rsidRDefault="009932D9" w:rsidP="009932D9">
      <w:pPr>
        <w:rPr>
          <w:rFonts w:ascii="Myriad Pro" w:hAnsi="Myriad Pro" w:cstheme="minorHAnsi"/>
          <w:sz w:val="22"/>
          <w:szCs w:val="22"/>
        </w:rPr>
      </w:pPr>
    </w:p>
    <w:p w14:paraId="5403109D"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drawing>
          <wp:inline distT="0" distB="0" distL="0" distR="0" wp14:anchorId="589CCFD3" wp14:editId="12DDB263">
            <wp:extent cx="5926191" cy="2592629"/>
            <wp:effectExtent l="0" t="0" r="0" b="0"/>
            <wp:docPr id="104193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93768" name="Picture 10419376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75508" cy="2614205"/>
                    </a:xfrm>
                    <a:prstGeom prst="rect">
                      <a:avLst/>
                    </a:prstGeom>
                  </pic:spPr>
                </pic:pic>
              </a:graphicData>
            </a:graphic>
          </wp:inline>
        </w:drawing>
      </w:r>
    </w:p>
    <w:p w14:paraId="07BFE8D5" w14:textId="0F0C3767" w:rsidR="009932D9" w:rsidRPr="00517B41" w:rsidRDefault="009932D9" w:rsidP="008F399C">
      <w:pPr>
        <w:pStyle w:val="SMHeading"/>
        <w:jc w:val="both"/>
        <w:rPr>
          <w:rFonts w:ascii="Myriad Pro" w:hAnsi="Myriad Pro"/>
          <w:sz w:val="22"/>
          <w:szCs w:val="22"/>
        </w:rPr>
      </w:pPr>
      <w:bookmarkStart w:id="36" w:name="_Toc162436035"/>
      <w:r w:rsidRPr="00517B41">
        <w:rPr>
          <w:rFonts w:ascii="Myriad Pro" w:hAnsi="Myriad Pro"/>
          <w:sz w:val="22"/>
          <w:szCs w:val="22"/>
        </w:rPr>
        <w:t>Figure S</w:t>
      </w:r>
      <w:r w:rsidR="00A53BB6">
        <w:rPr>
          <w:rFonts w:ascii="Myriad Pro" w:hAnsi="Myriad Pro"/>
          <w:sz w:val="22"/>
          <w:szCs w:val="22"/>
        </w:rPr>
        <w:t>6</w:t>
      </w:r>
      <w:r w:rsidRPr="00517B41">
        <w:rPr>
          <w:rFonts w:ascii="Myriad Pro" w:hAnsi="Myriad Pro"/>
          <w:sz w:val="22"/>
          <w:szCs w:val="22"/>
        </w:rPr>
        <w:t>.</w:t>
      </w:r>
      <w:bookmarkEnd w:id="36"/>
      <w:r w:rsidR="00114876">
        <w:rPr>
          <w:rFonts w:ascii="Myriad Pro" w:hAnsi="Myriad Pro"/>
          <w:sz w:val="22"/>
          <w:szCs w:val="22"/>
        </w:rPr>
        <w:t xml:space="preserve"> </w:t>
      </w:r>
      <w:r w:rsidRPr="00114876">
        <w:rPr>
          <w:rFonts w:ascii="Myriad Pro" w:hAnsi="Myriad Pro"/>
          <w:b w:val="0"/>
          <w:bCs w:val="0"/>
          <w:sz w:val="22"/>
          <w:szCs w:val="22"/>
        </w:rPr>
        <w:t>Seismicity of Soultz-sous-Forêts 2005 episode in 12-hour bins (blue histograms), along with injection rate for the GPK4 well (red line).</w:t>
      </w:r>
      <w:r w:rsidRPr="00517B41">
        <w:rPr>
          <w:rFonts w:ascii="Myriad Pro" w:hAnsi="Myriad Pro"/>
          <w:sz w:val="22"/>
          <w:szCs w:val="22"/>
        </w:rPr>
        <w:t xml:space="preserve"> </w:t>
      </w:r>
    </w:p>
    <w:p w14:paraId="78AEEFFE"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6A39CBB9" w14:textId="5897839E" w:rsidR="009932D9" w:rsidRPr="00517B41" w:rsidRDefault="00A036EC"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47A1389D" wp14:editId="5D4734CA">
            <wp:extent cx="3638652" cy="41052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54809" cy="4123504"/>
                    </a:xfrm>
                    <a:prstGeom prst="rect">
                      <a:avLst/>
                    </a:prstGeom>
                  </pic:spPr>
                </pic:pic>
              </a:graphicData>
            </a:graphic>
          </wp:inline>
        </w:drawing>
      </w:r>
    </w:p>
    <w:p w14:paraId="0713DA11" w14:textId="2E3C4A18" w:rsidR="009932D9" w:rsidRPr="008F399C" w:rsidRDefault="009932D9" w:rsidP="00C72376">
      <w:pPr>
        <w:pStyle w:val="SMHeading"/>
        <w:jc w:val="both"/>
        <w:rPr>
          <w:rFonts w:ascii="Myriad Pro" w:hAnsi="Myriad Pro"/>
          <w:b w:val="0"/>
          <w:bCs w:val="0"/>
          <w:sz w:val="22"/>
          <w:szCs w:val="22"/>
        </w:rPr>
      </w:pPr>
      <w:bookmarkStart w:id="37" w:name="_Toc162436036"/>
      <w:r w:rsidRPr="00517B41">
        <w:rPr>
          <w:rFonts w:ascii="Myriad Pro" w:hAnsi="Myriad Pro"/>
          <w:sz w:val="22"/>
          <w:szCs w:val="22"/>
        </w:rPr>
        <w:t>Figure S</w:t>
      </w:r>
      <w:r w:rsidR="00A53BB6">
        <w:rPr>
          <w:rFonts w:ascii="Myriad Pro" w:hAnsi="Myriad Pro"/>
          <w:sz w:val="22"/>
          <w:szCs w:val="22"/>
        </w:rPr>
        <w:t>7</w:t>
      </w:r>
      <w:r w:rsidRPr="00517B41">
        <w:rPr>
          <w:rFonts w:ascii="Myriad Pro" w:hAnsi="Myriad Pro"/>
          <w:sz w:val="22"/>
          <w:szCs w:val="22"/>
        </w:rPr>
        <w:t>.</w:t>
      </w:r>
      <w:bookmarkEnd w:id="37"/>
      <w:r w:rsidR="008F399C">
        <w:rPr>
          <w:rFonts w:ascii="Myriad Pro" w:hAnsi="Myriad Pro"/>
          <w:sz w:val="22"/>
          <w:szCs w:val="22"/>
        </w:rPr>
        <w:t xml:space="preserve"> </w:t>
      </w:r>
      <w:r w:rsidRPr="00517B41">
        <w:rPr>
          <w:rFonts w:ascii="Myriad Pro" w:hAnsi="Myriad Pro"/>
          <w:sz w:val="22"/>
          <w:szCs w:val="22"/>
        </w:rPr>
        <w:t xml:space="preserve">Epicentral distribution of the seismicity of the 3709 earthquakes of Soultz-sous-Forêts, 2005 EPISODE catalog. </w:t>
      </w:r>
      <w:r w:rsidRPr="008F399C">
        <w:rPr>
          <w:rFonts w:ascii="Myriad Pro" w:hAnsi="Myriad Pro"/>
          <w:b w:val="0"/>
          <w:bCs w:val="0"/>
          <w:sz w:val="22"/>
          <w:szCs w:val="22"/>
        </w:rPr>
        <w:t>The unused earthquakes for magnitude complexity testing are depicted in gray colors. The cluster that was finally selected to assess the magnitude distribution are represented with red color.</w:t>
      </w:r>
    </w:p>
    <w:p w14:paraId="1FA1807D" w14:textId="77777777" w:rsidR="009932D9" w:rsidRPr="00517B41" w:rsidRDefault="009932D9" w:rsidP="009932D9">
      <w:pPr>
        <w:jc w:val="center"/>
        <w:rPr>
          <w:rFonts w:ascii="Myriad Pro" w:hAnsi="Myriad Pro"/>
          <w:sz w:val="22"/>
          <w:szCs w:val="22"/>
        </w:rPr>
      </w:pPr>
    </w:p>
    <w:p w14:paraId="11CB0BBD"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52C2D7B7" wp14:editId="04A1F3DB">
            <wp:extent cx="3072725" cy="3028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72725" cy="3028950"/>
                    </a:xfrm>
                    <a:prstGeom prst="rect">
                      <a:avLst/>
                    </a:prstGeom>
                  </pic:spPr>
                </pic:pic>
              </a:graphicData>
            </a:graphic>
          </wp:inline>
        </w:drawing>
      </w:r>
    </w:p>
    <w:p w14:paraId="22C9F403" w14:textId="2555C509" w:rsidR="009932D9" w:rsidRPr="00517B41" w:rsidRDefault="009932D9" w:rsidP="008F399C">
      <w:pPr>
        <w:pStyle w:val="SMHeading"/>
        <w:jc w:val="both"/>
        <w:rPr>
          <w:rFonts w:ascii="Myriad Pro" w:hAnsi="Myriad Pro"/>
          <w:sz w:val="22"/>
          <w:szCs w:val="22"/>
        </w:rPr>
      </w:pPr>
      <w:bookmarkStart w:id="38" w:name="_Toc162436037"/>
      <w:r w:rsidRPr="00517B41">
        <w:rPr>
          <w:rFonts w:ascii="Myriad Pro" w:hAnsi="Myriad Pro"/>
          <w:sz w:val="22"/>
          <w:szCs w:val="22"/>
        </w:rPr>
        <w:t>Figure S</w:t>
      </w:r>
      <w:r w:rsidR="00A53BB6">
        <w:rPr>
          <w:rFonts w:ascii="Myriad Pro" w:hAnsi="Myriad Pro"/>
          <w:sz w:val="22"/>
          <w:szCs w:val="22"/>
        </w:rPr>
        <w:t>8</w:t>
      </w:r>
      <w:r w:rsidRPr="00517B41">
        <w:rPr>
          <w:rFonts w:ascii="Myriad Pro" w:hAnsi="Myriad Pro"/>
          <w:sz w:val="22"/>
          <w:szCs w:val="22"/>
        </w:rPr>
        <w:t>.</w:t>
      </w:r>
      <w:bookmarkEnd w:id="38"/>
      <w:r w:rsidR="008F399C">
        <w:rPr>
          <w:rFonts w:ascii="Myriad Pro" w:hAnsi="Myriad Pro"/>
          <w:sz w:val="22"/>
          <w:szCs w:val="22"/>
        </w:rPr>
        <w:t xml:space="preserve"> </w:t>
      </w:r>
      <w:r w:rsidRPr="008F399C">
        <w:rPr>
          <w:rFonts w:ascii="Myriad Pro" w:hAnsi="Myriad Pro"/>
          <w:b w:val="0"/>
          <w:bCs w:val="0"/>
          <w:sz w:val="22"/>
          <w:szCs w:val="22"/>
        </w:rPr>
        <w:t>Cumulative and incremental frequency magnitude distributions of the 1373 earthquakes of Soultz-sous-Forêts, 2005 during the first injection. The chosen magnitude of completeness is marked by the vertical red line.</w:t>
      </w:r>
    </w:p>
    <w:p w14:paraId="38A2DC19" w14:textId="77777777" w:rsidR="009932D9" w:rsidRPr="00517B41" w:rsidRDefault="009932D9" w:rsidP="009932D9">
      <w:pPr>
        <w:pStyle w:val="SMcaption"/>
        <w:jc w:val="both"/>
        <w:rPr>
          <w:rFonts w:ascii="Myriad Pro" w:hAnsi="Myriad Pro"/>
          <w:sz w:val="22"/>
          <w:szCs w:val="22"/>
        </w:rPr>
      </w:pPr>
    </w:p>
    <w:p w14:paraId="5AE29016" w14:textId="38FF79DD" w:rsidR="009932D9" w:rsidRDefault="00934B08" w:rsidP="008F399C">
      <w:pPr>
        <w:jc w:val="center"/>
        <w:rPr>
          <w:rFonts w:ascii="Myriad Pro" w:hAnsi="Myriad Pro"/>
          <w:sz w:val="22"/>
          <w:szCs w:val="22"/>
        </w:rPr>
      </w:pPr>
      <w:r>
        <w:rPr>
          <w:rFonts w:ascii="Myriad Pro" w:hAnsi="Myriad Pro"/>
          <w:noProof/>
          <w:sz w:val="22"/>
          <w:szCs w:val="22"/>
          <w:lang w:val="en-IN" w:eastAsia="en-IN"/>
        </w:rPr>
        <w:drawing>
          <wp:inline distT="0" distB="0" distL="0" distR="0" wp14:anchorId="3BF2E57B" wp14:editId="02B77E38">
            <wp:extent cx="3268639" cy="3464984"/>
            <wp:effectExtent l="0" t="0" r="8255"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75787" cy="3472561"/>
                    </a:xfrm>
                    <a:prstGeom prst="rect">
                      <a:avLst/>
                    </a:prstGeom>
                  </pic:spPr>
                </pic:pic>
              </a:graphicData>
            </a:graphic>
          </wp:inline>
        </w:drawing>
      </w:r>
    </w:p>
    <w:p w14:paraId="4CFBC070" w14:textId="667657D4" w:rsidR="000E04D3" w:rsidRPr="00517B41" w:rsidRDefault="000E04D3" w:rsidP="000E04D3">
      <w:pPr>
        <w:pStyle w:val="SMHeading"/>
        <w:rPr>
          <w:rFonts w:ascii="Myriad Pro" w:hAnsi="Myriad Pro"/>
          <w:sz w:val="22"/>
          <w:szCs w:val="22"/>
        </w:rPr>
      </w:pPr>
      <w:r w:rsidRPr="00517B41">
        <w:rPr>
          <w:rFonts w:ascii="Myriad Pro" w:hAnsi="Myriad Pro"/>
          <w:sz w:val="22"/>
          <w:szCs w:val="22"/>
        </w:rPr>
        <w:t>Figure S</w:t>
      </w:r>
      <w:r w:rsidR="00A53BB6">
        <w:rPr>
          <w:rFonts w:ascii="Myriad Pro" w:hAnsi="Myriad Pro"/>
          <w:sz w:val="22"/>
          <w:szCs w:val="22"/>
        </w:rPr>
        <w:t>9.</w:t>
      </w:r>
      <w:r w:rsidRPr="00517B41">
        <w:rPr>
          <w:rFonts w:ascii="Myriad Pro" w:hAnsi="Myriad Pro"/>
          <w:sz w:val="22"/>
          <w:szCs w:val="22"/>
        </w:rPr>
        <w:t xml:space="preserve"> </w:t>
      </w:r>
      <w:r w:rsidR="008F399C">
        <w:rPr>
          <w:rFonts w:ascii="Myriad Pro" w:hAnsi="Myriad Pro"/>
          <w:b w:val="0"/>
          <w:bCs w:val="0"/>
          <w:sz w:val="22"/>
          <w:szCs w:val="22"/>
        </w:rPr>
        <w:t>S</w:t>
      </w:r>
      <w:r w:rsidR="008F399C" w:rsidRPr="003249D8">
        <w:rPr>
          <w:rFonts w:ascii="Myriad Pro" w:hAnsi="Myriad Pro"/>
          <w:b w:val="0"/>
          <w:bCs w:val="0"/>
          <w:sz w:val="22"/>
          <w:szCs w:val="22"/>
        </w:rPr>
        <w:t xml:space="preserve">patial distribution of the magnitude of completeness over a gridded area for the </w:t>
      </w:r>
      <w:r w:rsidR="008F399C" w:rsidRPr="00F6282B">
        <w:rPr>
          <w:rFonts w:ascii="Myriad Pro" w:hAnsi="Myriad Pro"/>
          <w:b w:val="0"/>
          <w:bCs w:val="0"/>
          <w:sz w:val="22"/>
          <w:szCs w:val="22"/>
        </w:rPr>
        <w:t>Soultz-sous-Forêts, 200</w:t>
      </w:r>
      <w:r w:rsidR="008F399C">
        <w:rPr>
          <w:rFonts w:ascii="Myriad Pro" w:hAnsi="Myriad Pro"/>
          <w:b w:val="0"/>
          <w:bCs w:val="0"/>
          <w:sz w:val="22"/>
          <w:szCs w:val="22"/>
        </w:rPr>
        <w:t>5</w:t>
      </w:r>
      <w:r w:rsidR="008F399C" w:rsidRPr="00F6282B">
        <w:rPr>
          <w:rFonts w:ascii="Myriad Pro" w:hAnsi="Myriad Pro"/>
          <w:b w:val="0"/>
          <w:bCs w:val="0"/>
          <w:sz w:val="22"/>
          <w:szCs w:val="22"/>
        </w:rPr>
        <w:t xml:space="preserve"> catalog</w:t>
      </w:r>
    </w:p>
    <w:p w14:paraId="18B524DD" w14:textId="4D95F4D7" w:rsidR="00DA6956" w:rsidRDefault="00DA6956">
      <w:pPr>
        <w:rPr>
          <w:rFonts w:ascii="Myriad Pro" w:hAnsi="Myriad Pro"/>
          <w:sz w:val="22"/>
          <w:szCs w:val="22"/>
        </w:rPr>
      </w:pPr>
      <w:r>
        <w:rPr>
          <w:rFonts w:ascii="Myriad Pro" w:hAnsi="Myriad Pro"/>
          <w:sz w:val="22"/>
          <w:szCs w:val="22"/>
        </w:rPr>
        <w:br w:type="page"/>
      </w:r>
    </w:p>
    <w:p w14:paraId="64E0C7E1" w14:textId="77C74E7F" w:rsidR="009932D9" w:rsidRPr="00517B41" w:rsidRDefault="00A036EC"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341B4803" wp14:editId="299018C4">
            <wp:extent cx="5486400" cy="23628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6400" cy="2362835"/>
                    </a:xfrm>
                    <a:prstGeom prst="rect">
                      <a:avLst/>
                    </a:prstGeom>
                  </pic:spPr>
                </pic:pic>
              </a:graphicData>
            </a:graphic>
          </wp:inline>
        </w:drawing>
      </w:r>
    </w:p>
    <w:p w14:paraId="05DB215B" w14:textId="7A60D287" w:rsidR="009932D9" w:rsidRPr="00904A90" w:rsidRDefault="009932D9" w:rsidP="00440279">
      <w:pPr>
        <w:pStyle w:val="SMHeading"/>
        <w:jc w:val="both"/>
        <w:rPr>
          <w:rFonts w:ascii="Myriad Pro" w:hAnsi="Myriad Pro"/>
          <w:b w:val="0"/>
          <w:bCs w:val="0"/>
          <w:sz w:val="22"/>
          <w:szCs w:val="22"/>
        </w:rPr>
      </w:pPr>
      <w:bookmarkStart w:id="39" w:name="_Toc162436038"/>
      <w:r w:rsidRPr="00517B41">
        <w:rPr>
          <w:rFonts w:ascii="Myriad Pro" w:hAnsi="Myriad Pro"/>
          <w:sz w:val="22"/>
          <w:szCs w:val="22"/>
        </w:rPr>
        <w:t>Figure S</w:t>
      </w:r>
      <w:r w:rsidR="00A53BB6">
        <w:rPr>
          <w:rFonts w:ascii="Myriad Pro" w:hAnsi="Myriad Pro"/>
          <w:sz w:val="22"/>
          <w:szCs w:val="22"/>
        </w:rPr>
        <w:t>10</w:t>
      </w:r>
      <w:r w:rsidRPr="00517B41">
        <w:rPr>
          <w:rFonts w:ascii="Myriad Pro" w:hAnsi="Myriad Pro"/>
          <w:sz w:val="22"/>
          <w:szCs w:val="22"/>
        </w:rPr>
        <w:t>.</w:t>
      </w:r>
      <w:bookmarkEnd w:id="39"/>
      <w:r w:rsidRPr="00517B41">
        <w:rPr>
          <w:rFonts w:ascii="Myriad Pro" w:hAnsi="Myriad Pro"/>
          <w:sz w:val="22"/>
          <w:szCs w:val="22"/>
        </w:rPr>
        <w:t xml:space="preserve"> Cumulative number of earthquakes above Mc versus time (Left y-axis) represented with black circles and injection rate versus time represented with red line (right y-axis). </w:t>
      </w:r>
      <w:r w:rsidRPr="00904A90">
        <w:rPr>
          <w:rFonts w:ascii="Myriad Pro" w:hAnsi="Myriad Pro"/>
          <w:b w:val="0"/>
          <w:bCs w:val="0"/>
          <w:sz w:val="22"/>
          <w:szCs w:val="22"/>
        </w:rPr>
        <w:t>The stationary activity rate period is noted with red colored area. The same color is used in Fig. S</w:t>
      </w:r>
      <w:r w:rsidR="00C72376">
        <w:rPr>
          <w:rFonts w:ascii="Myriad Pro" w:hAnsi="Myriad Pro"/>
          <w:b w:val="0"/>
          <w:bCs w:val="0"/>
          <w:sz w:val="22"/>
          <w:szCs w:val="22"/>
        </w:rPr>
        <w:t>7</w:t>
      </w:r>
      <w:r w:rsidRPr="00904A90">
        <w:rPr>
          <w:rFonts w:ascii="Myriad Pro" w:hAnsi="Myriad Pro"/>
          <w:b w:val="0"/>
          <w:bCs w:val="0"/>
          <w:sz w:val="22"/>
          <w:szCs w:val="22"/>
        </w:rPr>
        <w:t xml:space="preserve"> for the epicentral distribution of events in this period.</w:t>
      </w:r>
    </w:p>
    <w:p w14:paraId="429B448D" w14:textId="77777777" w:rsidR="009932D9" w:rsidRDefault="009932D9" w:rsidP="009932D9">
      <w:pPr>
        <w:rPr>
          <w:rFonts w:ascii="Myriad Pro" w:hAnsi="Myriad Pro" w:cstheme="minorHAnsi"/>
          <w:sz w:val="22"/>
          <w:szCs w:val="22"/>
        </w:rPr>
      </w:pPr>
    </w:p>
    <w:p w14:paraId="6040A0E4" w14:textId="77777777" w:rsidR="00904A90" w:rsidRPr="00517B41" w:rsidRDefault="00904A90" w:rsidP="009932D9">
      <w:pPr>
        <w:rPr>
          <w:rFonts w:ascii="Myriad Pro" w:hAnsi="Myriad Pro" w:cstheme="minorHAnsi"/>
          <w:sz w:val="22"/>
          <w:szCs w:val="22"/>
        </w:rPr>
      </w:pPr>
    </w:p>
    <w:p w14:paraId="27A98E4F"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drawing>
          <wp:inline distT="0" distB="0" distL="0" distR="0" wp14:anchorId="34AD45AB" wp14:editId="76568410">
            <wp:extent cx="5921030" cy="2562045"/>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58811" cy="2578393"/>
                    </a:xfrm>
                    <a:prstGeom prst="rect">
                      <a:avLst/>
                    </a:prstGeom>
                  </pic:spPr>
                </pic:pic>
              </a:graphicData>
            </a:graphic>
          </wp:inline>
        </w:drawing>
      </w:r>
    </w:p>
    <w:p w14:paraId="5FB75EBF" w14:textId="105E4AF6" w:rsidR="009932D9" w:rsidRPr="00517B41" w:rsidRDefault="009932D9" w:rsidP="00904A90">
      <w:pPr>
        <w:pStyle w:val="SMHeading"/>
        <w:rPr>
          <w:rFonts w:ascii="Myriad Pro" w:hAnsi="Myriad Pro"/>
          <w:sz w:val="22"/>
          <w:szCs w:val="22"/>
        </w:rPr>
      </w:pPr>
      <w:bookmarkStart w:id="40" w:name="_Toc162436039"/>
      <w:r w:rsidRPr="00517B41">
        <w:rPr>
          <w:rFonts w:ascii="Myriad Pro" w:hAnsi="Myriad Pro"/>
          <w:sz w:val="22"/>
          <w:szCs w:val="22"/>
        </w:rPr>
        <w:t>Figure S</w:t>
      </w:r>
      <w:r w:rsidR="00A53BB6">
        <w:rPr>
          <w:rFonts w:ascii="Myriad Pro" w:hAnsi="Myriad Pro"/>
          <w:sz w:val="22"/>
          <w:szCs w:val="22"/>
        </w:rPr>
        <w:t>11</w:t>
      </w:r>
      <w:r w:rsidRPr="00517B41">
        <w:rPr>
          <w:rFonts w:ascii="Myriad Pro" w:hAnsi="Myriad Pro"/>
          <w:sz w:val="22"/>
          <w:szCs w:val="22"/>
        </w:rPr>
        <w:t>.</w:t>
      </w:r>
      <w:bookmarkEnd w:id="40"/>
      <w:r w:rsidR="00904A90">
        <w:rPr>
          <w:rFonts w:ascii="Myriad Pro" w:hAnsi="Myriad Pro"/>
          <w:sz w:val="22"/>
          <w:szCs w:val="22"/>
        </w:rPr>
        <w:t xml:space="preserve"> </w:t>
      </w:r>
      <w:r w:rsidRPr="00904A90">
        <w:rPr>
          <w:rFonts w:ascii="Myriad Pro" w:hAnsi="Myriad Pro"/>
          <w:b w:val="0"/>
          <w:bCs w:val="0"/>
          <w:sz w:val="22"/>
          <w:szCs w:val="22"/>
        </w:rPr>
        <w:t>Seismicity caused by the 2005 Habanero well injection in cooper basin in 12-hour bins (left y-axis, blue histograms), along with injection rate for the #1 well (right y-axis, red line).</w:t>
      </w:r>
      <w:r w:rsidRPr="00517B41">
        <w:rPr>
          <w:rFonts w:ascii="Myriad Pro" w:hAnsi="Myriad Pro"/>
          <w:sz w:val="22"/>
          <w:szCs w:val="22"/>
        </w:rPr>
        <w:t xml:space="preserve"> </w:t>
      </w:r>
    </w:p>
    <w:p w14:paraId="18BAA18D" w14:textId="77777777" w:rsidR="009932D9" w:rsidRPr="00517B41" w:rsidRDefault="009932D9" w:rsidP="009932D9">
      <w:pPr>
        <w:pStyle w:val="SMcaption"/>
        <w:jc w:val="both"/>
        <w:rPr>
          <w:rFonts w:ascii="Myriad Pro" w:hAnsi="Myriad Pro"/>
          <w:sz w:val="22"/>
          <w:szCs w:val="22"/>
        </w:rPr>
      </w:pPr>
    </w:p>
    <w:p w14:paraId="4AD461BC"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50B63606" w14:textId="68282BC8" w:rsidR="009932D9" w:rsidRPr="00517B41" w:rsidRDefault="00DA527B"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682493BC" wp14:editId="66464D3D">
            <wp:extent cx="4749808" cy="4371033"/>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54848" cy="4375671"/>
                    </a:xfrm>
                    <a:prstGeom prst="rect">
                      <a:avLst/>
                    </a:prstGeom>
                  </pic:spPr>
                </pic:pic>
              </a:graphicData>
            </a:graphic>
          </wp:inline>
        </w:drawing>
      </w:r>
    </w:p>
    <w:p w14:paraId="287AB77D" w14:textId="763B9C39" w:rsidR="009932D9" w:rsidRPr="00517B41" w:rsidRDefault="009932D9" w:rsidP="00440279">
      <w:pPr>
        <w:pStyle w:val="SMHeading"/>
        <w:jc w:val="both"/>
        <w:rPr>
          <w:rFonts w:ascii="Myriad Pro" w:hAnsi="Myriad Pro"/>
          <w:sz w:val="22"/>
          <w:szCs w:val="22"/>
        </w:rPr>
      </w:pPr>
      <w:bookmarkStart w:id="41" w:name="_Toc162436040"/>
      <w:r w:rsidRPr="00517B41">
        <w:rPr>
          <w:rFonts w:ascii="Myriad Pro" w:hAnsi="Myriad Pro"/>
          <w:sz w:val="22"/>
          <w:szCs w:val="22"/>
        </w:rPr>
        <w:t>Figure S</w:t>
      </w:r>
      <w:r w:rsidR="00D04F90">
        <w:rPr>
          <w:rFonts w:ascii="Myriad Pro" w:hAnsi="Myriad Pro"/>
          <w:sz w:val="22"/>
          <w:szCs w:val="22"/>
        </w:rPr>
        <w:t>1</w:t>
      </w:r>
      <w:r w:rsidR="00A53BB6">
        <w:rPr>
          <w:rFonts w:ascii="Myriad Pro" w:hAnsi="Myriad Pro"/>
          <w:sz w:val="22"/>
          <w:szCs w:val="22"/>
        </w:rPr>
        <w:t>2</w:t>
      </w:r>
      <w:r w:rsidRPr="00517B41">
        <w:rPr>
          <w:rFonts w:ascii="Myriad Pro" w:hAnsi="Myriad Pro"/>
          <w:sz w:val="22"/>
          <w:szCs w:val="22"/>
        </w:rPr>
        <w:t>.</w:t>
      </w:r>
      <w:bookmarkEnd w:id="41"/>
      <w:r w:rsidRPr="00517B41">
        <w:rPr>
          <w:rFonts w:ascii="Myriad Pro" w:hAnsi="Myriad Pro"/>
          <w:sz w:val="22"/>
          <w:szCs w:val="22"/>
        </w:rPr>
        <w:t xml:space="preserve"> Epicentral distribution of the seismicity of the Cooper basin 2005 stimulation. </w:t>
      </w:r>
      <w:r w:rsidRPr="00440279">
        <w:rPr>
          <w:rFonts w:ascii="Myriad Pro" w:hAnsi="Myriad Pro"/>
          <w:b w:val="0"/>
          <w:bCs w:val="0"/>
          <w:sz w:val="22"/>
          <w:szCs w:val="22"/>
        </w:rPr>
        <w:t>The unused earthquakes for magnitude complexity testing are depicted in gray colors. The earthquake cluster that were finally selected to assess the magnitude distribution are represented with red, green, cyan, blue, yellow and magenta colors. The well position is represented by the white diamond.</w:t>
      </w:r>
    </w:p>
    <w:p w14:paraId="1016B971" w14:textId="58706BC7" w:rsidR="00440279" w:rsidRDefault="00440279">
      <w:pPr>
        <w:rPr>
          <w:rFonts w:ascii="Myriad Pro" w:hAnsi="Myriad Pro"/>
          <w:sz w:val="22"/>
          <w:szCs w:val="22"/>
        </w:rPr>
      </w:pPr>
      <w:r>
        <w:rPr>
          <w:rFonts w:ascii="Myriad Pro" w:hAnsi="Myriad Pro"/>
          <w:sz w:val="22"/>
          <w:szCs w:val="22"/>
        </w:rPr>
        <w:br w:type="page"/>
      </w:r>
    </w:p>
    <w:p w14:paraId="52D4E78F" w14:textId="373C011B" w:rsidR="009932D9" w:rsidRPr="00517B41" w:rsidRDefault="0095420E"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14034B31" wp14:editId="722E6A49">
            <wp:extent cx="5486400" cy="28479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2847975"/>
                    </a:xfrm>
                    <a:prstGeom prst="rect">
                      <a:avLst/>
                    </a:prstGeom>
                  </pic:spPr>
                </pic:pic>
              </a:graphicData>
            </a:graphic>
          </wp:inline>
        </w:drawing>
      </w:r>
    </w:p>
    <w:p w14:paraId="21A5F579" w14:textId="3F4815ED" w:rsidR="009932D9" w:rsidRPr="00440279" w:rsidRDefault="009932D9" w:rsidP="00440279">
      <w:pPr>
        <w:pStyle w:val="SMHeading"/>
        <w:jc w:val="both"/>
        <w:rPr>
          <w:rFonts w:ascii="Myriad Pro" w:hAnsi="Myriad Pro"/>
          <w:b w:val="0"/>
          <w:bCs w:val="0"/>
          <w:sz w:val="22"/>
          <w:szCs w:val="22"/>
        </w:rPr>
      </w:pPr>
      <w:bookmarkStart w:id="42" w:name="_Toc162436041"/>
      <w:r w:rsidRPr="00517B41">
        <w:rPr>
          <w:rFonts w:ascii="Myriad Pro" w:hAnsi="Myriad Pro"/>
          <w:sz w:val="22"/>
          <w:szCs w:val="22"/>
        </w:rPr>
        <w:t>Figure S</w:t>
      </w:r>
      <w:r w:rsidR="00D04F90">
        <w:rPr>
          <w:rFonts w:ascii="Myriad Pro" w:hAnsi="Myriad Pro"/>
          <w:sz w:val="22"/>
          <w:szCs w:val="22"/>
        </w:rPr>
        <w:t>1</w:t>
      </w:r>
      <w:r w:rsidR="00A53BB6">
        <w:rPr>
          <w:rFonts w:ascii="Myriad Pro" w:hAnsi="Myriad Pro"/>
          <w:sz w:val="22"/>
          <w:szCs w:val="22"/>
        </w:rPr>
        <w:t>3</w:t>
      </w:r>
      <w:r w:rsidRPr="00517B41">
        <w:rPr>
          <w:rFonts w:ascii="Myriad Pro" w:hAnsi="Myriad Pro"/>
          <w:sz w:val="22"/>
          <w:szCs w:val="22"/>
        </w:rPr>
        <w:t>.</w:t>
      </w:r>
      <w:bookmarkEnd w:id="42"/>
      <w:r w:rsidR="00440279">
        <w:rPr>
          <w:rFonts w:ascii="Myriad Pro" w:hAnsi="Myriad Pro"/>
          <w:sz w:val="22"/>
          <w:szCs w:val="22"/>
        </w:rPr>
        <w:t xml:space="preserve"> </w:t>
      </w:r>
      <w:r w:rsidRPr="00517B41">
        <w:rPr>
          <w:rFonts w:ascii="Myriad Pro" w:hAnsi="Myriad Pro"/>
          <w:sz w:val="22"/>
          <w:szCs w:val="22"/>
        </w:rPr>
        <w:t>Cumulative and incremental frequency magnitude distributions of the 8283 earthquakes of 2005 Cooper Basin catalog</w:t>
      </w:r>
      <w:r w:rsidR="00C14694">
        <w:rPr>
          <w:rFonts w:ascii="Myriad Pro" w:hAnsi="Myriad Pro"/>
          <w:sz w:val="22"/>
          <w:szCs w:val="22"/>
        </w:rPr>
        <w:t xml:space="preserve"> </w:t>
      </w:r>
      <w:r w:rsidR="00C14694" w:rsidRPr="00440279">
        <w:rPr>
          <w:rFonts w:ascii="Myriad Pro" w:hAnsi="Myriad Pro"/>
          <w:b w:val="0"/>
          <w:bCs w:val="0"/>
          <w:sz w:val="22"/>
          <w:szCs w:val="22"/>
        </w:rPr>
        <w:t xml:space="preserve">for (a) the north cluster and (b) the south cluster. </w:t>
      </w:r>
      <w:r w:rsidRPr="00440279">
        <w:rPr>
          <w:rFonts w:ascii="Myriad Pro" w:hAnsi="Myriad Pro"/>
          <w:b w:val="0"/>
          <w:bCs w:val="0"/>
          <w:sz w:val="22"/>
          <w:szCs w:val="22"/>
        </w:rPr>
        <w:t>The chosen magnitude</w:t>
      </w:r>
      <w:r w:rsidR="00C14694" w:rsidRPr="00440279">
        <w:rPr>
          <w:rFonts w:ascii="Myriad Pro" w:hAnsi="Myriad Pro"/>
          <w:b w:val="0"/>
          <w:bCs w:val="0"/>
          <w:sz w:val="22"/>
          <w:szCs w:val="22"/>
        </w:rPr>
        <w:t>s</w:t>
      </w:r>
      <w:r w:rsidRPr="00440279">
        <w:rPr>
          <w:rFonts w:ascii="Myriad Pro" w:hAnsi="Myriad Pro"/>
          <w:b w:val="0"/>
          <w:bCs w:val="0"/>
          <w:sz w:val="22"/>
          <w:szCs w:val="22"/>
        </w:rPr>
        <w:t xml:space="preserve"> of completeness </w:t>
      </w:r>
      <w:r w:rsidR="00C14694" w:rsidRPr="00440279">
        <w:rPr>
          <w:rFonts w:ascii="Myriad Pro" w:hAnsi="Myriad Pro"/>
          <w:b w:val="0"/>
          <w:bCs w:val="0"/>
          <w:sz w:val="22"/>
          <w:szCs w:val="22"/>
        </w:rPr>
        <w:t>are</w:t>
      </w:r>
      <w:r w:rsidRPr="00440279">
        <w:rPr>
          <w:rFonts w:ascii="Myriad Pro" w:hAnsi="Myriad Pro"/>
          <w:b w:val="0"/>
          <w:bCs w:val="0"/>
          <w:sz w:val="22"/>
          <w:szCs w:val="22"/>
        </w:rPr>
        <w:t xml:space="preserve"> marked by the vertical red line</w:t>
      </w:r>
      <w:r w:rsidR="00C14694" w:rsidRPr="00440279">
        <w:rPr>
          <w:rFonts w:ascii="Myriad Pro" w:hAnsi="Myriad Pro"/>
          <w:b w:val="0"/>
          <w:bCs w:val="0"/>
          <w:sz w:val="22"/>
          <w:szCs w:val="22"/>
        </w:rPr>
        <w:t>s</w:t>
      </w:r>
      <w:r w:rsidRPr="00440279">
        <w:rPr>
          <w:rFonts w:ascii="Myriad Pro" w:hAnsi="Myriad Pro"/>
          <w:b w:val="0"/>
          <w:bCs w:val="0"/>
          <w:sz w:val="22"/>
          <w:szCs w:val="22"/>
        </w:rPr>
        <w:t>.</w:t>
      </w:r>
    </w:p>
    <w:p w14:paraId="76C6F4A0" w14:textId="1AF8E858" w:rsidR="0095420E" w:rsidRDefault="0095420E">
      <w:pPr>
        <w:rPr>
          <w:rFonts w:ascii="Myriad Pro" w:hAnsi="Myriad Pro"/>
          <w:sz w:val="22"/>
          <w:szCs w:val="22"/>
        </w:rPr>
      </w:pPr>
    </w:p>
    <w:p w14:paraId="5482FF5C" w14:textId="3C636F5F" w:rsidR="00A53BB6" w:rsidRDefault="00A53BB6">
      <w:pPr>
        <w:rPr>
          <w:rFonts w:ascii="Myriad Pro" w:hAnsi="Myriad Pro"/>
          <w:sz w:val="22"/>
          <w:szCs w:val="22"/>
        </w:rPr>
      </w:pPr>
      <w:r>
        <w:rPr>
          <w:rFonts w:ascii="Myriad Pro" w:hAnsi="Myriad Pro"/>
          <w:noProof/>
          <w:sz w:val="22"/>
          <w:szCs w:val="22"/>
          <w:lang w:val="en-IN" w:eastAsia="en-IN"/>
        </w:rPr>
        <w:drawing>
          <wp:inline distT="0" distB="0" distL="0" distR="0" wp14:anchorId="4DB463F5" wp14:editId="6CB90BC2">
            <wp:extent cx="5486400" cy="32645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86400" cy="3264535"/>
                    </a:xfrm>
                    <a:prstGeom prst="rect">
                      <a:avLst/>
                    </a:prstGeom>
                  </pic:spPr>
                </pic:pic>
              </a:graphicData>
            </a:graphic>
          </wp:inline>
        </w:drawing>
      </w:r>
    </w:p>
    <w:p w14:paraId="21082938" w14:textId="5E5F653F" w:rsidR="00A53BB6" w:rsidRPr="00517B41" w:rsidRDefault="00A53BB6" w:rsidP="00A53BB6">
      <w:pPr>
        <w:pStyle w:val="SMHeading"/>
        <w:rPr>
          <w:rFonts w:ascii="Myriad Pro" w:hAnsi="Myriad Pro"/>
          <w:sz w:val="22"/>
          <w:szCs w:val="22"/>
        </w:rPr>
      </w:pPr>
      <w:r w:rsidRPr="00517B41">
        <w:rPr>
          <w:rFonts w:ascii="Myriad Pro" w:hAnsi="Myriad Pro"/>
          <w:sz w:val="22"/>
          <w:szCs w:val="22"/>
        </w:rPr>
        <w:t>Figure S</w:t>
      </w:r>
      <w:r>
        <w:rPr>
          <w:rFonts w:ascii="Myriad Pro" w:hAnsi="Myriad Pro"/>
          <w:sz w:val="22"/>
          <w:szCs w:val="22"/>
        </w:rPr>
        <w:t>14</w:t>
      </w:r>
      <w:r w:rsidRPr="00517B41">
        <w:rPr>
          <w:rFonts w:ascii="Myriad Pro" w:hAnsi="Myriad Pro"/>
          <w:sz w:val="22"/>
          <w:szCs w:val="22"/>
        </w:rPr>
        <w:t xml:space="preserve">. </w:t>
      </w:r>
      <w:r w:rsidR="00440279">
        <w:rPr>
          <w:rFonts w:ascii="Myriad Pro" w:hAnsi="Myriad Pro"/>
          <w:b w:val="0"/>
          <w:bCs w:val="0"/>
          <w:sz w:val="22"/>
          <w:szCs w:val="22"/>
        </w:rPr>
        <w:t>S</w:t>
      </w:r>
      <w:r w:rsidR="00440279" w:rsidRPr="003249D8">
        <w:rPr>
          <w:rFonts w:ascii="Myriad Pro" w:hAnsi="Myriad Pro"/>
          <w:b w:val="0"/>
          <w:bCs w:val="0"/>
          <w:sz w:val="22"/>
          <w:szCs w:val="22"/>
        </w:rPr>
        <w:t xml:space="preserve">patial distribution of the magnitude of completeness over a gridded area </w:t>
      </w:r>
      <w:r w:rsidR="00510BAC">
        <w:rPr>
          <w:rFonts w:ascii="Myriad Pro" w:hAnsi="Myriad Pro"/>
          <w:b w:val="0"/>
          <w:bCs w:val="0"/>
          <w:sz w:val="22"/>
          <w:szCs w:val="22"/>
        </w:rPr>
        <w:t>for (a) the north and (b) the south cluster of the 2005 Cooper Basin catalog.</w:t>
      </w:r>
    </w:p>
    <w:p w14:paraId="2DF946C9" w14:textId="3B497391" w:rsidR="0065001E" w:rsidRDefault="0065001E">
      <w:pPr>
        <w:rPr>
          <w:rFonts w:ascii="Myriad Pro" w:hAnsi="Myriad Pro"/>
          <w:sz w:val="22"/>
          <w:szCs w:val="22"/>
        </w:rPr>
      </w:pPr>
      <w:r>
        <w:rPr>
          <w:rFonts w:ascii="Myriad Pro" w:hAnsi="Myriad Pro"/>
          <w:sz w:val="22"/>
          <w:szCs w:val="22"/>
        </w:rPr>
        <w:br w:type="page"/>
      </w:r>
    </w:p>
    <w:p w14:paraId="49A39DE1" w14:textId="68755321" w:rsidR="009932D9" w:rsidRPr="00517B41" w:rsidRDefault="0095420E"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7803106C" wp14:editId="2ABB1EF3">
            <wp:extent cx="5577950" cy="3752850"/>
            <wp:effectExtent l="0" t="0" r="381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78390" cy="3753146"/>
                    </a:xfrm>
                    <a:prstGeom prst="rect">
                      <a:avLst/>
                    </a:prstGeom>
                  </pic:spPr>
                </pic:pic>
              </a:graphicData>
            </a:graphic>
          </wp:inline>
        </w:drawing>
      </w:r>
    </w:p>
    <w:p w14:paraId="2238455B" w14:textId="19B2747E" w:rsidR="009932D9" w:rsidRPr="00517B41" w:rsidRDefault="009932D9" w:rsidP="0065001E">
      <w:pPr>
        <w:pStyle w:val="SMHeading"/>
        <w:jc w:val="both"/>
        <w:rPr>
          <w:rFonts w:ascii="Myriad Pro" w:hAnsi="Myriad Pro"/>
          <w:sz w:val="22"/>
          <w:szCs w:val="22"/>
        </w:rPr>
      </w:pPr>
      <w:bookmarkStart w:id="43" w:name="_Toc162436042"/>
      <w:r w:rsidRPr="00517B41">
        <w:rPr>
          <w:rFonts w:ascii="Myriad Pro" w:hAnsi="Myriad Pro"/>
          <w:sz w:val="22"/>
          <w:szCs w:val="22"/>
        </w:rPr>
        <w:t>Figure S</w:t>
      </w:r>
      <w:r w:rsidR="00D04F90">
        <w:rPr>
          <w:rFonts w:ascii="Myriad Pro" w:hAnsi="Myriad Pro"/>
          <w:sz w:val="22"/>
          <w:szCs w:val="22"/>
        </w:rPr>
        <w:t>1</w:t>
      </w:r>
      <w:r w:rsidR="00A53BB6">
        <w:rPr>
          <w:rFonts w:ascii="Myriad Pro" w:hAnsi="Myriad Pro"/>
          <w:sz w:val="22"/>
          <w:szCs w:val="22"/>
        </w:rPr>
        <w:t>5</w:t>
      </w:r>
      <w:r w:rsidRPr="00517B41">
        <w:rPr>
          <w:rFonts w:ascii="Myriad Pro" w:hAnsi="Myriad Pro"/>
          <w:sz w:val="22"/>
          <w:szCs w:val="22"/>
        </w:rPr>
        <w:t>.</w:t>
      </w:r>
      <w:bookmarkEnd w:id="43"/>
      <w:r w:rsidRPr="00517B41">
        <w:rPr>
          <w:rFonts w:ascii="Myriad Pro" w:hAnsi="Myriad Pro"/>
          <w:sz w:val="22"/>
          <w:szCs w:val="22"/>
        </w:rPr>
        <w:t xml:space="preserve"> Cumulative number of earthquakes above Mc versus time (Left y-axis) and injection rate versus time (right y-axis) for the north cluster (Top) and the south cluster (bottom). </w:t>
      </w:r>
      <w:r w:rsidRPr="0065001E">
        <w:rPr>
          <w:rFonts w:ascii="Myriad Pro" w:hAnsi="Myriad Pro"/>
          <w:b w:val="0"/>
          <w:bCs w:val="0"/>
          <w:sz w:val="22"/>
          <w:szCs w:val="22"/>
        </w:rPr>
        <w:t>The three stationary activity rate periods are noted with red, green and blue colors for the north cluster colors and the two stationary periods of the south cluster are noted by yellow and magenta colors. The same colors are used in Fig. S1</w:t>
      </w:r>
      <w:r w:rsidR="00F10188">
        <w:rPr>
          <w:rFonts w:ascii="Myriad Pro" w:hAnsi="Myriad Pro"/>
          <w:b w:val="0"/>
          <w:bCs w:val="0"/>
          <w:sz w:val="22"/>
          <w:szCs w:val="22"/>
        </w:rPr>
        <w:t>2</w:t>
      </w:r>
      <w:r w:rsidRPr="0065001E">
        <w:rPr>
          <w:rFonts w:ascii="Myriad Pro" w:hAnsi="Myriad Pro"/>
          <w:b w:val="0"/>
          <w:bCs w:val="0"/>
          <w:sz w:val="22"/>
          <w:szCs w:val="22"/>
        </w:rPr>
        <w:t xml:space="preserve"> for the epicentral distribution of events in those periods.</w:t>
      </w:r>
    </w:p>
    <w:p w14:paraId="63C97BEA" w14:textId="77777777" w:rsidR="009932D9" w:rsidRPr="00517B41" w:rsidRDefault="009932D9" w:rsidP="009932D9">
      <w:pPr>
        <w:rPr>
          <w:rFonts w:ascii="Myriad Pro" w:hAnsi="Myriad Pro" w:cstheme="minorHAnsi"/>
          <w:sz w:val="22"/>
          <w:szCs w:val="22"/>
        </w:rPr>
      </w:pPr>
    </w:p>
    <w:p w14:paraId="43A3A144" w14:textId="77777777" w:rsidR="009932D9" w:rsidRPr="00517B41" w:rsidRDefault="009932D9" w:rsidP="009932D9">
      <w:pPr>
        <w:rPr>
          <w:rFonts w:ascii="Myriad Pro" w:hAnsi="Myriad Pro" w:cstheme="minorHAnsi"/>
          <w:sz w:val="22"/>
          <w:szCs w:val="22"/>
        </w:rPr>
      </w:pPr>
      <w:r w:rsidRPr="00517B41">
        <w:rPr>
          <w:rFonts w:ascii="Myriad Pro" w:hAnsi="Myriad Pro" w:cstheme="minorHAnsi"/>
          <w:sz w:val="22"/>
          <w:szCs w:val="22"/>
        </w:rPr>
        <w:br w:type="page"/>
      </w:r>
    </w:p>
    <w:p w14:paraId="7E1B3DF2"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30BAADFF" wp14:editId="04B1E3EF">
            <wp:extent cx="5989121" cy="253738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31947" cy="2555529"/>
                    </a:xfrm>
                    <a:prstGeom prst="rect">
                      <a:avLst/>
                    </a:prstGeom>
                  </pic:spPr>
                </pic:pic>
              </a:graphicData>
            </a:graphic>
          </wp:inline>
        </w:drawing>
      </w:r>
    </w:p>
    <w:p w14:paraId="6B5BCD98" w14:textId="65876D14" w:rsidR="009932D9" w:rsidRPr="00517B41" w:rsidRDefault="009932D9" w:rsidP="005E5168">
      <w:pPr>
        <w:pStyle w:val="SMHeading"/>
        <w:jc w:val="both"/>
        <w:rPr>
          <w:rFonts w:ascii="Myriad Pro" w:hAnsi="Myriad Pro"/>
          <w:sz w:val="22"/>
          <w:szCs w:val="22"/>
        </w:rPr>
      </w:pPr>
      <w:bookmarkStart w:id="44" w:name="_Toc162436047"/>
      <w:r w:rsidRPr="00517B41">
        <w:rPr>
          <w:rFonts w:ascii="Myriad Pro" w:hAnsi="Myriad Pro"/>
          <w:sz w:val="22"/>
          <w:szCs w:val="22"/>
        </w:rPr>
        <w:t>Figure S</w:t>
      </w:r>
      <w:r w:rsidR="00280B49">
        <w:rPr>
          <w:rFonts w:ascii="Myriad Pro" w:hAnsi="Myriad Pro"/>
          <w:sz w:val="22"/>
          <w:szCs w:val="22"/>
        </w:rPr>
        <w:t>1</w:t>
      </w:r>
      <w:r w:rsidR="00C92C19">
        <w:rPr>
          <w:rFonts w:ascii="Myriad Pro" w:hAnsi="Myriad Pro"/>
          <w:sz w:val="22"/>
          <w:szCs w:val="22"/>
        </w:rPr>
        <w:t>6</w:t>
      </w:r>
      <w:r w:rsidRPr="00517B41">
        <w:rPr>
          <w:rFonts w:ascii="Myriad Pro" w:hAnsi="Myriad Pro"/>
          <w:sz w:val="22"/>
          <w:szCs w:val="22"/>
        </w:rPr>
        <w:t>.</w:t>
      </w:r>
      <w:bookmarkEnd w:id="44"/>
      <w:r w:rsidRPr="00517B41">
        <w:rPr>
          <w:rFonts w:ascii="Myriad Pro" w:hAnsi="Myriad Pro"/>
          <w:sz w:val="22"/>
          <w:szCs w:val="22"/>
        </w:rPr>
        <w:t xml:space="preserve"> </w:t>
      </w:r>
      <w:r w:rsidRPr="005E5168">
        <w:rPr>
          <w:rFonts w:ascii="Myriad Pro" w:hAnsi="Myriad Pro"/>
          <w:b w:val="0"/>
          <w:bCs w:val="0"/>
          <w:sz w:val="22"/>
          <w:szCs w:val="22"/>
        </w:rPr>
        <w:t>Seismicity in the vicinity of the Prati 9 and Prati 29 injection wells of the Geyshers geothermal field in 20-day bins, (blue histograms), along with injection rate for the Prati 9 (red line) and Prati 29 (magenta line) wells.</w:t>
      </w:r>
      <w:r w:rsidRPr="00517B41">
        <w:rPr>
          <w:rFonts w:ascii="Myriad Pro" w:hAnsi="Myriad Pro"/>
          <w:sz w:val="22"/>
          <w:szCs w:val="22"/>
        </w:rPr>
        <w:t xml:space="preserve"> </w:t>
      </w:r>
    </w:p>
    <w:p w14:paraId="3BEB41C5" w14:textId="77777777" w:rsidR="009932D9" w:rsidRPr="00517B41" w:rsidRDefault="009932D9" w:rsidP="009932D9">
      <w:pPr>
        <w:rPr>
          <w:rFonts w:ascii="Myriad Pro" w:hAnsi="Myriad Pro"/>
          <w:sz w:val="22"/>
          <w:szCs w:val="22"/>
        </w:rPr>
      </w:pPr>
    </w:p>
    <w:p w14:paraId="4B46FEA7"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7DA42F92" w14:textId="5EFCFCDA" w:rsidR="009932D9" w:rsidRPr="00517B41" w:rsidRDefault="001818E7"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2A7D1F92" wp14:editId="5E05E5E8">
            <wp:extent cx="4613851" cy="5154804"/>
            <wp:effectExtent l="0" t="0" r="0" b="698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13851" cy="5154804"/>
                    </a:xfrm>
                    <a:prstGeom prst="rect">
                      <a:avLst/>
                    </a:prstGeom>
                  </pic:spPr>
                </pic:pic>
              </a:graphicData>
            </a:graphic>
          </wp:inline>
        </w:drawing>
      </w:r>
    </w:p>
    <w:p w14:paraId="106ACFCB" w14:textId="6B93A955" w:rsidR="009932D9" w:rsidRPr="00517B41" w:rsidRDefault="009932D9" w:rsidP="00A26096">
      <w:pPr>
        <w:pStyle w:val="SMHeading"/>
        <w:jc w:val="both"/>
        <w:rPr>
          <w:rFonts w:ascii="Myriad Pro" w:hAnsi="Myriad Pro"/>
          <w:sz w:val="22"/>
          <w:szCs w:val="22"/>
        </w:rPr>
      </w:pPr>
      <w:bookmarkStart w:id="45" w:name="_Toc162436048"/>
      <w:r w:rsidRPr="00517B41">
        <w:rPr>
          <w:rFonts w:ascii="Myriad Pro" w:hAnsi="Myriad Pro"/>
          <w:sz w:val="22"/>
          <w:szCs w:val="22"/>
        </w:rPr>
        <w:t>Figure S</w:t>
      </w:r>
      <w:r w:rsidR="00725AEE">
        <w:rPr>
          <w:rFonts w:ascii="Myriad Pro" w:hAnsi="Myriad Pro"/>
          <w:sz w:val="22"/>
          <w:szCs w:val="22"/>
        </w:rPr>
        <w:t>1</w:t>
      </w:r>
      <w:r w:rsidR="00C92C19">
        <w:rPr>
          <w:rFonts w:ascii="Myriad Pro" w:hAnsi="Myriad Pro"/>
          <w:sz w:val="22"/>
          <w:szCs w:val="22"/>
        </w:rPr>
        <w:t>7</w:t>
      </w:r>
      <w:r w:rsidRPr="00517B41">
        <w:rPr>
          <w:rFonts w:ascii="Myriad Pro" w:hAnsi="Myriad Pro"/>
          <w:sz w:val="22"/>
          <w:szCs w:val="22"/>
        </w:rPr>
        <w:t>.</w:t>
      </w:r>
      <w:bookmarkEnd w:id="45"/>
      <w:r w:rsidRPr="00517B41">
        <w:rPr>
          <w:rFonts w:ascii="Myriad Pro" w:hAnsi="Myriad Pro"/>
          <w:sz w:val="22"/>
          <w:szCs w:val="22"/>
        </w:rPr>
        <w:t xml:space="preserve"> Epicentral distribution of the seismicity of the Geyshers episode catalog. </w:t>
      </w:r>
      <w:r w:rsidRPr="00A26096">
        <w:rPr>
          <w:rFonts w:ascii="Myriad Pro" w:hAnsi="Myriad Pro"/>
          <w:b w:val="0"/>
          <w:bCs w:val="0"/>
          <w:sz w:val="22"/>
          <w:szCs w:val="22"/>
        </w:rPr>
        <w:t xml:space="preserve">The unused earthquakes for magnitude complexity testing are depicted in gray colors. The earthquake cluster that </w:t>
      </w:r>
      <w:r w:rsidR="001818E7" w:rsidRPr="00A26096">
        <w:rPr>
          <w:rFonts w:ascii="Myriad Pro" w:hAnsi="Myriad Pro"/>
          <w:b w:val="0"/>
          <w:bCs w:val="0"/>
          <w:sz w:val="22"/>
          <w:szCs w:val="22"/>
        </w:rPr>
        <w:t>was</w:t>
      </w:r>
      <w:r w:rsidRPr="00A26096">
        <w:rPr>
          <w:rFonts w:ascii="Myriad Pro" w:hAnsi="Myriad Pro"/>
          <w:b w:val="0"/>
          <w:bCs w:val="0"/>
          <w:sz w:val="22"/>
          <w:szCs w:val="22"/>
        </w:rPr>
        <w:t xml:space="preserve"> selected to assess the magnitude distribution </w:t>
      </w:r>
      <w:r w:rsidR="001818E7" w:rsidRPr="00A26096">
        <w:rPr>
          <w:rFonts w:ascii="Myriad Pro" w:hAnsi="Myriad Pro"/>
          <w:b w:val="0"/>
          <w:bCs w:val="0"/>
          <w:sz w:val="22"/>
          <w:szCs w:val="22"/>
        </w:rPr>
        <w:t>is</w:t>
      </w:r>
      <w:r w:rsidRPr="00A26096">
        <w:rPr>
          <w:rFonts w:ascii="Myriad Pro" w:hAnsi="Myriad Pro"/>
          <w:b w:val="0"/>
          <w:bCs w:val="0"/>
          <w:sz w:val="22"/>
          <w:szCs w:val="22"/>
        </w:rPr>
        <w:t xml:space="preserve"> represented with red colors. The well positions are depicted by a magenta diamond for Prati 9 well and a red diamond for the Prati 29 well. The black line represents the Prati 9 well path while the cyan and blue lines represent the Prati 29 well paths.</w:t>
      </w:r>
    </w:p>
    <w:p w14:paraId="3094068B" w14:textId="68596D51" w:rsidR="001818E7" w:rsidRDefault="00725AEE" w:rsidP="001818E7">
      <w:pPr>
        <w:rPr>
          <w:rFonts w:ascii="Myriad Pro" w:hAnsi="Myriad Pro"/>
          <w:sz w:val="22"/>
          <w:szCs w:val="22"/>
        </w:rPr>
      </w:pPr>
      <w:r>
        <w:rPr>
          <w:rFonts w:ascii="Myriad Pro" w:hAnsi="Myriad Pro"/>
          <w:sz w:val="22"/>
          <w:szCs w:val="22"/>
        </w:rPr>
        <w:br w:type="page"/>
      </w:r>
    </w:p>
    <w:p w14:paraId="174A7F19" w14:textId="77777777" w:rsidR="001818E7" w:rsidRDefault="001818E7" w:rsidP="001818E7">
      <w:pPr>
        <w:jc w:val="center"/>
      </w:pPr>
      <w:r>
        <w:rPr>
          <w:noProof/>
          <w:lang w:val="en-IN" w:eastAsia="en-IN"/>
        </w:rPr>
        <w:lastRenderedPageBreak/>
        <w:drawing>
          <wp:inline distT="0" distB="0" distL="0" distR="0" wp14:anchorId="736055D4" wp14:editId="087BBF0F">
            <wp:extent cx="3124200" cy="3012105"/>
            <wp:effectExtent l="0" t="0" r="0" b="0"/>
            <wp:docPr id="622849545" name="Picture 622849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45" name="Picture 62284954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37803" cy="3025220"/>
                    </a:xfrm>
                    <a:prstGeom prst="rect">
                      <a:avLst/>
                    </a:prstGeom>
                  </pic:spPr>
                </pic:pic>
              </a:graphicData>
            </a:graphic>
          </wp:inline>
        </w:drawing>
      </w:r>
    </w:p>
    <w:p w14:paraId="4A3FA42E" w14:textId="316EA350" w:rsidR="00725AEE" w:rsidRPr="00A26096" w:rsidRDefault="00725AEE" w:rsidP="00A26096">
      <w:pPr>
        <w:pStyle w:val="SMHeading"/>
        <w:jc w:val="both"/>
        <w:rPr>
          <w:rFonts w:ascii="Myriad Pro" w:hAnsi="Myriad Pro"/>
          <w:b w:val="0"/>
          <w:bCs w:val="0"/>
          <w:sz w:val="22"/>
          <w:szCs w:val="22"/>
        </w:rPr>
      </w:pPr>
      <w:r w:rsidRPr="00517B41">
        <w:rPr>
          <w:rFonts w:ascii="Myriad Pro" w:hAnsi="Myriad Pro"/>
          <w:sz w:val="22"/>
          <w:szCs w:val="22"/>
        </w:rPr>
        <w:t>Figure S</w:t>
      </w:r>
      <w:r>
        <w:rPr>
          <w:rFonts w:ascii="Myriad Pro" w:hAnsi="Myriad Pro"/>
          <w:sz w:val="22"/>
          <w:szCs w:val="22"/>
        </w:rPr>
        <w:t>1</w:t>
      </w:r>
      <w:r w:rsidR="00C92C19">
        <w:rPr>
          <w:rFonts w:ascii="Myriad Pro" w:hAnsi="Myriad Pro"/>
          <w:sz w:val="22"/>
          <w:szCs w:val="22"/>
        </w:rPr>
        <w:t>8</w:t>
      </w:r>
      <w:r w:rsidRPr="00517B41">
        <w:rPr>
          <w:rFonts w:ascii="Myriad Pro" w:hAnsi="Myriad Pro"/>
          <w:sz w:val="22"/>
          <w:szCs w:val="22"/>
        </w:rPr>
        <w:t>.</w:t>
      </w:r>
      <w:r w:rsidR="00A26096">
        <w:rPr>
          <w:rFonts w:ascii="Myriad Pro" w:hAnsi="Myriad Pro"/>
          <w:sz w:val="22"/>
          <w:szCs w:val="22"/>
        </w:rPr>
        <w:t xml:space="preserve"> </w:t>
      </w:r>
      <w:r w:rsidRPr="00517B41">
        <w:rPr>
          <w:rFonts w:ascii="Myriad Pro" w:hAnsi="Myriad Pro"/>
          <w:sz w:val="22"/>
          <w:szCs w:val="22"/>
        </w:rPr>
        <w:t xml:space="preserve">Cumulative and incremental frequency magnitude distributions of the </w:t>
      </w:r>
      <w:r>
        <w:rPr>
          <w:rFonts w:ascii="Myriad Pro" w:hAnsi="Myriad Pro"/>
          <w:sz w:val="22"/>
          <w:szCs w:val="22"/>
        </w:rPr>
        <w:t>?</w:t>
      </w:r>
      <w:r w:rsidRPr="00517B41">
        <w:rPr>
          <w:rFonts w:ascii="Myriad Pro" w:hAnsi="Myriad Pro"/>
          <w:sz w:val="22"/>
          <w:szCs w:val="22"/>
        </w:rPr>
        <w:t xml:space="preserve"> earthquakes of </w:t>
      </w:r>
      <w:r>
        <w:rPr>
          <w:rFonts w:ascii="Myriad Pro" w:hAnsi="Myriad Pro"/>
          <w:sz w:val="22"/>
          <w:szCs w:val="22"/>
        </w:rPr>
        <w:t xml:space="preserve">the Geyshers Prati 9 and Prati 29 catalog. </w:t>
      </w:r>
      <w:r w:rsidRPr="00A26096">
        <w:rPr>
          <w:rFonts w:ascii="Myriad Pro" w:hAnsi="Myriad Pro"/>
          <w:b w:val="0"/>
          <w:bCs w:val="0"/>
          <w:sz w:val="22"/>
          <w:szCs w:val="22"/>
        </w:rPr>
        <w:t>The chosen magnitude of completeness is marked by the vertical red line.</w:t>
      </w:r>
    </w:p>
    <w:p w14:paraId="2B24F287" w14:textId="172F588F" w:rsidR="00725AEE" w:rsidRDefault="00725AEE">
      <w:pPr>
        <w:rPr>
          <w:rFonts w:ascii="Myriad Pro" w:hAnsi="Myriad Pro"/>
          <w:sz w:val="22"/>
          <w:szCs w:val="22"/>
        </w:rPr>
      </w:pPr>
    </w:p>
    <w:p w14:paraId="57F1D7BE" w14:textId="1E49D9D4" w:rsidR="003D0FD5" w:rsidRDefault="003D0FD5" w:rsidP="00C92C19">
      <w:pPr>
        <w:jc w:val="center"/>
        <w:rPr>
          <w:rFonts w:ascii="Myriad Pro" w:hAnsi="Myriad Pro"/>
          <w:sz w:val="22"/>
          <w:szCs w:val="22"/>
        </w:rPr>
      </w:pPr>
      <w:r>
        <w:rPr>
          <w:rFonts w:ascii="Myriad Pro" w:hAnsi="Myriad Pro"/>
          <w:noProof/>
          <w:sz w:val="22"/>
          <w:szCs w:val="22"/>
          <w:lang w:val="en-IN" w:eastAsia="en-IN"/>
        </w:rPr>
        <w:drawing>
          <wp:inline distT="0" distB="0" distL="0" distR="0" wp14:anchorId="12365DAE" wp14:editId="004E9458">
            <wp:extent cx="3133725" cy="3366216"/>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40307" cy="3373286"/>
                    </a:xfrm>
                    <a:prstGeom prst="rect">
                      <a:avLst/>
                    </a:prstGeom>
                  </pic:spPr>
                </pic:pic>
              </a:graphicData>
            </a:graphic>
          </wp:inline>
        </w:drawing>
      </w:r>
    </w:p>
    <w:p w14:paraId="1DD22217" w14:textId="7F46A229" w:rsidR="003D0FD5" w:rsidRPr="00517B41" w:rsidRDefault="003D0FD5" w:rsidP="003D0FD5">
      <w:pPr>
        <w:pStyle w:val="SMHeading"/>
        <w:rPr>
          <w:rFonts w:ascii="Myriad Pro" w:hAnsi="Myriad Pro"/>
          <w:sz w:val="22"/>
          <w:szCs w:val="22"/>
        </w:rPr>
      </w:pPr>
      <w:r w:rsidRPr="00517B41">
        <w:rPr>
          <w:rFonts w:ascii="Myriad Pro" w:hAnsi="Myriad Pro"/>
          <w:sz w:val="22"/>
          <w:szCs w:val="22"/>
        </w:rPr>
        <w:t>Figure S</w:t>
      </w:r>
      <w:r>
        <w:rPr>
          <w:rFonts w:ascii="Myriad Pro" w:hAnsi="Myriad Pro"/>
          <w:sz w:val="22"/>
          <w:szCs w:val="22"/>
        </w:rPr>
        <w:t>1</w:t>
      </w:r>
      <w:r w:rsidR="00C92C19">
        <w:rPr>
          <w:rFonts w:ascii="Myriad Pro" w:hAnsi="Myriad Pro"/>
          <w:sz w:val="22"/>
          <w:szCs w:val="22"/>
        </w:rPr>
        <w:t>9</w:t>
      </w:r>
      <w:r w:rsidRPr="00517B41">
        <w:rPr>
          <w:rFonts w:ascii="Myriad Pro" w:hAnsi="Myriad Pro"/>
          <w:sz w:val="22"/>
          <w:szCs w:val="22"/>
        </w:rPr>
        <w:t xml:space="preserve">. </w:t>
      </w:r>
      <w:r w:rsidR="00A26096">
        <w:rPr>
          <w:rFonts w:ascii="Myriad Pro" w:hAnsi="Myriad Pro"/>
          <w:b w:val="0"/>
          <w:bCs w:val="0"/>
          <w:sz w:val="22"/>
          <w:szCs w:val="22"/>
        </w:rPr>
        <w:t>S</w:t>
      </w:r>
      <w:r w:rsidR="00A26096" w:rsidRPr="003249D8">
        <w:rPr>
          <w:rFonts w:ascii="Myriad Pro" w:hAnsi="Myriad Pro"/>
          <w:b w:val="0"/>
          <w:bCs w:val="0"/>
          <w:sz w:val="22"/>
          <w:szCs w:val="22"/>
        </w:rPr>
        <w:t xml:space="preserve">patial distribution of the magnitude of completeness over a gridded area for </w:t>
      </w:r>
      <w:r w:rsidR="00A26096" w:rsidRPr="00A26096">
        <w:rPr>
          <w:rFonts w:ascii="Myriad Pro" w:hAnsi="Myriad Pro"/>
          <w:b w:val="0"/>
          <w:bCs w:val="0"/>
          <w:sz w:val="22"/>
          <w:szCs w:val="22"/>
        </w:rPr>
        <w:t>the Geyshers Prati 9 and Prati 29 catalog</w:t>
      </w:r>
      <w:r w:rsidR="00A26096">
        <w:rPr>
          <w:rFonts w:ascii="Myriad Pro" w:hAnsi="Myriad Pro"/>
          <w:b w:val="0"/>
          <w:bCs w:val="0"/>
          <w:sz w:val="22"/>
          <w:szCs w:val="22"/>
        </w:rPr>
        <w:t>.</w:t>
      </w:r>
    </w:p>
    <w:p w14:paraId="65D26E68" w14:textId="77777777" w:rsidR="003D0FD5" w:rsidRDefault="003D0FD5">
      <w:pPr>
        <w:rPr>
          <w:rFonts w:ascii="Myriad Pro" w:hAnsi="Myriad Pro"/>
          <w:sz w:val="22"/>
          <w:szCs w:val="22"/>
        </w:rPr>
      </w:pPr>
    </w:p>
    <w:p w14:paraId="10955B48" w14:textId="77777777" w:rsidR="00725AEE" w:rsidRPr="00517B41" w:rsidRDefault="00725AEE" w:rsidP="009932D9">
      <w:pPr>
        <w:jc w:val="center"/>
        <w:rPr>
          <w:rFonts w:ascii="Myriad Pro" w:hAnsi="Myriad Pro"/>
          <w:sz w:val="22"/>
          <w:szCs w:val="22"/>
        </w:rPr>
      </w:pPr>
    </w:p>
    <w:p w14:paraId="1062425F" w14:textId="6FD2327D" w:rsidR="009932D9" w:rsidRPr="00517B41" w:rsidRDefault="001818E7" w:rsidP="009932D9">
      <w:pPr>
        <w:jc w:val="center"/>
        <w:rPr>
          <w:rFonts w:ascii="Myriad Pro" w:hAnsi="Myriad Pro"/>
          <w:sz w:val="22"/>
          <w:szCs w:val="22"/>
        </w:rPr>
      </w:pPr>
      <w:r>
        <w:rPr>
          <w:rFonts w:ascii="Myriad Pro" w:hAnsi="Myriad Pro"/>
          <w:noProof/>
          <w:sz w:val="22"/>
          <w:szCs w:val="22"/>
          <w:lang w:val="en-IN" w:eastAsia="en-IN"/>
        </w:rPr>
        <w:drawing>
          <wp:inline distT="0" distB="0" distL="0" distR="0" wp14:anchorId="6DE7CAB6" wp14:editId="04E4332B">
            <wp:extent cx="5486400" cy="2356485"/>
            <wp:effectExtent l="0" t="0" r="0" b="5715"/>
            <wp:docPr id="622849546" name="Picture 622849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46" name="Picture 622849546"/>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86400" cy="2356485"/>
                    </a:xfrm>
                    <a:prstGeom prst="rect">
                      <a:avLst/>
                    </a:prstGeom>
                  </pic:spPr>
                </pic:pic>
              </a:graphicData>
            </a:graphic>
          </wp:inline>
        </w:drawing>
      </w:r>
    </w:p>
    <w:p w14:paraId="145EDC91" w14:textId="1B431A4F" w:rsidR="009932D9" w:rsidRPr="00A26096" w:rsidRDefault="009932D9" w:rsidP="00A26096">
      <w:pPr>
        <w:pStyle w:val="SMHeading"/>
        <w:jc w:val="both"/>
        <w:rPr>
          <w:rFonts w:ascii="Myriad Pro" w:hAnsi="Myriad Pro"/>
          <w:b w:val="0"/>
          <w:bCs w:val="0"/>
          <w:sz w:val="22"/>
          <w:szCs w:val="22"/>
        </w:rPr>
      </w:pPr>
      <w:bookmarkStart w:id="46" w:name="_Toc162436049"/>
      <w:r w:rsidRPr="00517B41">
        <w:rPr>
          <w:rFonts w:ascii="Myriad Pro" w:hAnsi="Myriad Pro"/>
          <w:sz w:val="22"/>
          <w:szCs w:val="22"/>
        </w:rPr>
        <w:t>Figure S</w:t>
      </w:r>
      <w:r w:rsidR="00C92C19">
        <w:rPr>
          <w:rFonts w:ascii="Myriad Pro" w:hAnsi="Myriad Pro"/>
          <w:sz w:val="22"/>
          <w:szCs w:val="22"/>
        </w:rPr>
        <w:t>20</w:t>
      </w:r>
      <w:r w:rsidRPr="00517B41">
        <w:rPr>
          <w:rFonts w:ascii="Myriad Pro" w:hAnsi="Myriad Pro"/>
          <w:sz w:val="22"/>
          <w:szCs w:val="22"/>
        </w:rPr>
        <w:t>.</w:t>
      </w:r>
      <w:bookmarkEnd w:id="46"/>
      <w:r w:rsidRPr="00517B41">
        <w:rPr>
          <w:rFonts w:ascii="Myriad Pro" w:hAnsi="Myriad Pro"/>
          <w:sz w:val="22"/>
          <w:szCs w:val="22"/>
        </w:rPr>
        <w:t xml:space="preserve"> Cumulative number of earthquakes above Mc versus time represented with black circles (Left y-axis) and injection rate versus time represented with red line (right y-axis). </w:t>
      </w:r>
      <w:r w:rsidRPr="00A26096">
        <w:rPr>
          <w:rFonts w:ascii="Myriad Pro" w:hAnsi="Myriad Pro"/>
          <w:b w:val="0"/>
          <w:bCs w:val="0"/>
          <w:sz w:val="22"/>
          <w:szCs w:val="22"/>
        </w:rPr>
        <w:t xml:space="preserve">The stationary activity rate period </w:t>
      </w:r>
      <w:r w:rsidR="001818E7" w:rsidRPr="00A26096">
        <w:rPr>
          <w:rFonts w:ascii="Myriad Pro" w:hAnsi="Myriad Pro"/>
          <w:b w:val="0"/>
          <w:bCs w:val="0"/>
          <w:sz w:val="22"/>
          <w:szCs w:val="22"/>
        </w:rPr>
        <w:t>is</w:t>
      </w:r>
      <w:r w:rsidRPr="00A26096">
        <w:rPr>
          <w:rFonts w:ascii="Myriad Pro" w:hAnsi="Myriad Pro"/>
          <w:b w:val="0"/>
          <w:bCs w:val="0"/>
          <w:sz w:val="22"/>
          <w:szCs w:val="22"/>
        </w:rPr>
        <w:t xml:space="preserve"> noted with red colored areas. The same color are used in Fig. S</w:t>
      </w:r>
      <w:r w:rsidR="001818E7" w:rsidRPr="00A26096">
        <w:rPr>
          <w:rFonts w:ascii="Myriad Pro" w:hAnsi="Myriad Pro"/>
          <w:b w:val="0"/>
          <w:bCs w:val="0"/>
          <w:sz w:val="22"/>
          <w:szCs w:val="22"/>
        </w:rPr>
        <w:t>1</w:t>
      </w:r>
      <w:r w:rsidR="00DD633F">
        <w:rPr>
          <w:rFonts w:ascii="Myriad Pro" w:hAnsi="Myriad Pro"/>
          <w:b w:val="0"/>
          <w:bCs w:val="0"/>
          <w:sz w:val="22"/>
          <w:szCs w:val="22"/>
        </w:rPr>
        <w:t>7</w:t>
      </w:r>
      <w:r w:rsidRPr="00A26096">
        <w:rPr>
          <w:rFonts w:ascii="Myriad Pro" w:hAnsi="Myriad Pro"/>
          <w:b w:val="0"/>
          <w:bCs w:val="0"/>
          <w:sz w:val="22"/>
          <w:szCs w:val="22"/>
        </w:rPr>
        <w:t xml:space="preserve"> for the epicentral distribution of events in </w:t>
      </w:r>
      <w:r w:rsidR="001818E7" w:rsidRPr="00A26096">
        <w:rPr>
          <w:rFonts w:ascii="Myriad Pro" w:hAnsi="Myriad Pro"/>
          <w:b w:val="0"/>
          <w:bCs w:val="0"/>
          <w:sz w:val="22"/>
          <w:szCs w:val="22"/>
        </w:rPr>
        <w:t>this</w:t>
      </w:r>
      <w:r w:rsidRPr="00A26096">
        <w:rPr>
          <w:rFonts w:ascii="Myriad Pro" w:hAnsi="Myriad Pro"/>
          <w:b w:val="0"/>
          <w:bCs w:val="0"/>
          <w:sz w:val="22"/>
          <w:szCs w:val="22"/>
        </w:rPr>
        <w:t xml:space="preserve"> period.</w:t>
      </w:r>
    </w:p>
    <w:p w14:paraId="16405A14"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3DCC7BF8"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1AE35BE0" wp14:editId="7760EB8D">
            <wp:extent cx="4371975" cy="4984673"/>
            <wp:effectExtent l="0" t="0" r="0" b="6985"/>
            <wp:docPr id="440333276" name="Picture 440333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417659" cy="5036759"/>
                    </a:xfrm>
                    <a:prstGeom prst="rect">
                      <a:avLst/>
                    </a:prstGeom>
                  </pic:spPr>
                </pic:pic>
              </a:graphicData>
            </a:graphic>
          </wp:inline>
        </w:drawing>
      </w:r>
    </w:p>
    <w:p w14:paraId="2AB62629" w14:textId="39C5C977" w:rsidR="009932D9" w:rsidRPr="00517B41" w:rsidRDefault="009932D9" w:rsidP="0038226E">
      <w:pPr>
        <w:pStyle w:val="SMHeading"/>
        <w:jc w:val="both"/>
        <w:rPr>
          <w:rFonts w:ascii="Myriad Pro" w:hAnsi="Myriad Pro"/>
          <w:sz w:val="22"/>
          <w:szCs w:val="22"/>
        </w:rPr>
      </w:pPr>
      <w:bookmarkStart w:id="47" w:name="_Toc162436050"/>
      <w:r w:rsidRPr="00517B41">
        <w:rPr>
          <w:rFonts w:ascii="Myriad Pro" w:hAnsi="Myriad Pro"/>
          <w:sz w:val="22"/>
          <w:szCs w:val="22"/>
        </w:rPr>
        <w:t>Figure S</w:t>
      </w:r>
      <w:r w:rsidR="00965482">
        <w:rPr>
          <w:rFonts w:ascii="Myriad Pro" w:hAnsi="Myriad Pro"/>
          <w:sz w:val="22"/>
          <w:szCs w:val="22"/>
        </w:rPr>
        <w:t>21</w:t>
      </w:r>
      <w:r w:rsidRPr="00517B41">
        <w:rPr>
          <w:rFonts w:ascii="Myriad Pro" w:hAnsi="Myriad Pro"/>
          <w:sz w:val="22"/>
          <w:szCs w:val="22"/>
        </w:rPr>
        <w:t>.</w:t>
      </w:r>
      <w:bookmarkEnd w:id="47"/>
      <w:r w:rsidR="0038226E">
        <w:rPr>
          <w:rFonts w:ascii="Myriad Pro" w:hAnsi="Myriad Pro"/>
          <w:sz w:val="22"/>
          <w:szCs w:val="22"/>
        </w:rPr>
        <w:t xml:space="preserve"> </w:t>
      </w:r>
      <w:r w:rsidRPr="00517B41">
        <w:rPr>
          <w:rFonts w:ascii="Myriad Pro" w:hAnsi="Myriad Pro"/>
          <w:sz w:val="22"/>
          <w:szCs w:val="22"/>
        </w:rPr>
        <w:t xml:space="preserve">Epicentral distribution of the seismicity of the St. Gallen episode catalog. </w:t>
      </w:r>
      <w:r w:rsidRPr="0038226E">
        <w:rPr>
          <w:rFonts w:ascii="Myriad Pro" w:hAnsi="Myriad Pro"/>
          <w:b w:val="0"/>
          <w:bCs w:val="0"/>
          <w:sz w:val="22"/>
          <w:szCs w:val="22"/>
        </w:rPr>
        <w:t>The unused earthquakes for magnitude complexity testing are depicted in gray colors. The earthquake subcatalog that was selected to assess the magnitude distribution is represented with green colors. The well position is depicted by a white diamond, the blue line represents the GT-1 well path and the red lines represent the fault system of the area.</w:t>
      </w:r>
    </w:p>
    <w:p w14:paraId="28E2C22C" w14:textId="73CEAC80" w:rsidR="0038226E" w:rsidRDefault="0038226E">
      <w:pPr>
        <w:rPr>
          <w:rFonts w:ascii="Myriad Pro" w:hAnsi="Myriad Pro"/>
          <w:sz w:val="22"/>
          <w:szCs w:val="22"/>
        </w:rPr>
      </w:pPr>
      <w:r>
        <w:rPr>
          <w:rFonts w:ascii="Myriad Pro" w:hAnsi="Myriad Pro"/>
          <w:sz w:val="22"/>
          <w:szCs w:val="22"/>
        </w:rPr>
        <w:br w:type="page"/>
      </w:r>
    </w:p>
    <w:p w14:paraId="1E3FCC35"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380CFE1B" wp14:editId="0F0FB181">
            <wp:extent cx="2952750" cy="3002663"/>
            <wp:effectExtent l="0" t="0" r="0" b="7620"/>
            <wp:docPr id="1026129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29818" name="Picture 102612981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01972" cy="3052717"/>
                    </a:xfrm>
                    <a:prstGeom prst="rect">
                      <a:avLst/>
                    </a:prstGeom>
                  </pic:spPr>
                </pic:pic>
              </a:graphicData>
            </a:graphic>
          </wp:inline>
        </w:drawing>
      </w:r>
    </w:p>
    <w:p w14:paraId="1079EEAF" w14:textId="016DD72F" w:rsidR="009932D9" w:rsidRPr="0038226E" w:rsidRDefault="009932D9" w:rsidP="0038226E">
      <w:pPr>
        <w:pStyle w:val="SMHeading"/>
        <w:jc w:val="both"/>
        <w:rPr>
          <w:rFonts w:ascii="Myriad Pro" w:hAnsi="Myriad Pro"/>
          <w:b w:val="0"/>
          <w:bCs w:val="0"/>
          <w:sz w:val="22"/>
          <w:szCs w:val="22"/>
        </w:rPr>
      </w:pPr>
      <w:bookmarkStart w:id="48" w:name="_Toc162436051"/>
      <w:r w:rsidRPr="00517B41">
        <w:rPr>
          <w:rFonts w:ascii="Myriad Pro" w:hAnsi="Myriad Pro"/>
          <w:sz w:val="22"/>
          <w:szCs w:val="22"/>
        </w:rPr>
        <w:t>Figure S</w:t>
      </w:r>
      <w:r w:rsidR="00965482">
        <w:rPr>
          <w:rFonts w:ascii="Myriad Pro" w:hAnsi="Myriad Pro"/>
          <w:sz w:val="22"/>
          <w:szCs w:val="22"/>
        </w:rPr>
        <w:t>22</w:t>
      </w:r>
      <w:r w:rsidRPr="00517B41">
        <w:rPr>
          <w:rFonts w:ascii="Myriad Pro" w:hAnsi="Myriad Pro"/>
          <w:sz w:val="22"/>
          <w:szCs w:val="22"/>
        </w:rPr>
        <w:t>.</w:t>
      </w:r>
      <w:bookmarkEnd w:id="48"/>
      <w:r w:rsidRPr="00517B41">
        <w:rPr>
          <w:rFonts w:ascii="Myriad Pro" w:hAnsi="Myriad Pro"/>
          <w:sz w:val="22"/>
          <w:szCs w:val="22"/>
        </w:rPr>
        <w:t xml:space="preserve"> Cumulative and incremental frequency magnitude distributions of the 347 earthquakes of St. Gallen episode catalog. </w:t>
      </w:r>
      <w:r w:rsidRPr="0038226E">
        <w:rPr>
          <w:rFonts w:ascii="Myriad Pro" w:hAnsi="Myriad Pro"/>
          <w:b w:val="0"/>
          <w:bCs w:val="0"/>
          <w:sz w:val="22"/>
          <w:szCs w:val="22"/>
        </w:rPr>
        <w:t>The chosen magnitude of completeness is marked by the vertical red line.</w:t>
      </w:r>
    </w:p>
    <w:p w14:paraId="30C67928" w14:textId="6DE4C458" w:rsidR="009932D9" w:rsidRDefault="009932D9" w:rsidP="009932D9">
      <w:pPr>
        <w:rPr>
          <w:rFonts w:ascii="Myriad Pro" w:hAnsi="Myriad Pro"/>
          <w:sz w:val="22"/>
          <w:szCs w:val="22"/>
        </w:rPr>
      </w:pPr>
    </w:p>
    <w:p w14:paraId="01CC48FD" w14:textId="74E2DB69" w:rsidR="00965482" w:rsidRDefault="00965482" w:rsidP="0038226E">
      <w:pPr>
        <w:jc w:val="center"/>
        <w:rPr>
          <w:rFonts w:ascii="Myriad Pro" w:hAnsi="Myriad Pro"/>
          <w:sz w:val="22"/>
          <w:szCs w:val="22"/>
        </w:rPr>
      </w:pPr>
      <w:r>
        <w:rPr>
          <w:rFonts w:ascii="Myriad Pro" w:hAnsi="Myriad Pro"/>
          <w:noProof/>
          <w:sz w:val="22"/>
          <w:szCs w:val="22"/>
          <w:lang w:val="en-IN" w:eastAsia="en-IN"/>
        </w:rPr>
        <w:drawing>
          <wp:inline distT="0" distB="0" distL="0" distR="0" wp14:anchorId="3E0830E6" wp14:editId="75BCB42E">
            <wp:extent cx="3081945" cy="3267075"/>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8246" cy="3273754"/>
                    </a:xfrm>
                    <a:prstGeom prst="rect">
                      <a:avLst/>
                    </a:prstGeom>
                  </pic:spPr>
                </pic:pic>
              </a:graphicData>
            </a:graphic>
          </wp:inline>
        </w:drawing>
      </w:r>
    </w:p>
    <w:p w14:paraId="37AD2A20" w14:textId="0B8768C7" w:rsidR="00965482" w:rsidRPr="00517B41" w:rsidRDefault="00965482" w:rsidP="00965482">
      <w:pPr>
        <w:pStyle w:val="SMHeading"/>
        <w:rPr>
          <w:rFonts w:ascii="Myriad Pro" w:hAnsi="Myriad Pro"/>
          <w:sz w:val="22"/>
          <w:szCs w:val="22"/>
        </w:rPr>
      </w:pPr>
      <w:r w:rsidRPr="00517B41">
        <w:rPr>
          <w:rFonts w:ascii="Myriad Pro" w:hAnsi="Myriad Pro"/>
          <w:sz w:val="22"/>
          <w:szCs w:val="22"/>
        </w:rPr>
        <w:t>Figure S</w:t>
      </w:r>
      <w:r>
        <w:rPr>
          <w:rFonts w:ascii="Myriad Pro" w:hAnsi="Myriad Pro"/>
          <w:sz w:val="22"/>
          <w:szCs w:val="22"/>
        </w:rPr>
        <w:t>23</w:t>
      </w:r>
      <w:r w:rsidRPr="00517B41">
        <w:rPr>
          <w:rFonts w:ascii="Myriad Pro" w:hAnsi="Myriad Pro"/>
          <w:sz w:val="22"/>
          <w:szCs w:val="22"/>
        </w:rPr>
        <w:t xml:space="preserve">. </w:t>
      </w:r>
      <w:r w:rsidR="0038226E">
        <w:rPr>
          <w:rFonts w:ascii="Myriad Pro" w:hAnsi="Myriad Pro"/>
          <w:b w:val="0"/>
          <w:bCs w:val="0"/>
          <w:sz w:val="22"/>
          <w:szCs w:val="22"/>
        </w:rPr>
        <w:t>S</w:t>
      </w:r>
      <w:r w:rsidR="0038226E" w:rsidRPr="003249D8">
        <w:rPr>
          <w:rFonts w:ascii="Myriad Pro" w:hAnsi="Myriad Pro"/>
          <w:b w:val="0"/>
          <w:bCs w:val="0"/>
          <w:sz w:val="22"/>
          <w:szCs w:val="22"/>
        </w:rPr>
        <w:t xml:space="preserve">patial distribution of the magnitude of completeness over a gridded area for </w:t>
      </w:r>
      <w:r w:rsidR="0038226E">
        <w:rPr>
          <w:rFonts w:ascii="Myriad Pro" w:hAnsi="Myriad Pro"/>
          <w:b w:val="0"/>
          <w:bCs w:val="0"/>
          <w:sz w:val="22"/>
          <w:szCs w:val="22"/>
        </w:rPr>
        <w:t>the St. Gallen episode</w:t>
      </w:r>
      <w:r w:rsidR="0038226E" w:rsidRPr="00A26096">
        <w:rPr>
          <w:rFonts w:ascii="Myriad Pro" w:hAnsi="Myriad Pro"/>
          <w:b w:val="0"/>
          <w:bCs w:val="0"/>
          <w:sz w:val="22"/>
          <w:szCs w:val="22"/>
        </w:rPr>
        <w:t xml:space="preserve"> catalog</w:t>
      </w:r>
      <w:r w:rsidR="0038226E">
        <w:rPr>
          <w:rFonts w:ascii="Myriad Pro" w:hAnsi="Myriad Pro"/>
          <w:b w:val="0"/>
          <w:bCs w:val="0"/>
          <w:sz w:val="22"/>
          <w:szCs w:val="22"/>
        </w:rPr>
        <w:t>.</w:t>
      </w:r>
    </w:p>
    <w:p w14:paraId="5982D3B0" w14:textId="19271BC5" w:rsidR="0067781F" w:rsidRDefault="0067781F">
      <w:pPr>
        <w:rPr>
          <w:rFonts w:ascii="Myriad Pro" w:hAnsi="Myriad Pro"/>
          <w:sz w:val="22"/>
          <w:szCs w:val="22"/>
        </w:rPr>
      </w:pPr>
      <w:r>
        <w:rPr>
          <w:rFonts w:ascii="Myriad Pro" w:hAnsi="Myriad Pro"/>
          <w:sz w:val="22"/>
          <w:szCs w:val="22"/>
        </w:rPr>
        <w:br w:type="page"/>
      </w:r>
    </w:p>
    <w:p w14:paraId="4922B53E"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0BD2AA12" wp14:editId="19CCDEDC">
            <wp:extent cx="5314950" cy="2579966"/>
            <wp:effectExtent l="0" t="0" r="0" b="0"/>
            <wp:docPr id="93195568" name="Picture 93195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350346" cy="2597148"/>
                    </a:xfrm>
                    <a:prstGeom prst="rect">
                      <a:avLst/>
                    </a:prstGeom>
                  </pic:spPr>
                </pic:pic>
              </a:graphicData>
            </a:graphic>
          </wp:inline>
        </w:drawing>
      </w:r>
    </w:p>
    <w:p w14:paraId="5416BEAB" w14:textId="7CACEEAC" w:rsidR="009932D9" w:rsidRPr="00517B41" w:rsidRDefault="009932D9" w:rsidP="0067781F">
      <w:pPr>
        <w:pStyle w:val="SMHeading"/>
        <w:jc w:val="both"/>
        <w:rPr>
          <w:rFonts w:ascii="Myriad Pro" w:hAnsi="Myriad Pro"/>
          <w:sz w:val="22"/>
          <w:szCs w:val="22"/>
        </w:rPr>
      </w:pPr>
      <w:bookmarkStart w:id="49" w:name="_Toc162436052"/>
      <w:r w:rsidRPr="00517B41">
        <w:rPr>
          <w:rFonts w:ascii="Myriad Pro" w:hAnsi="Myriad Pro"/>
          <w:sz w:val="22"/>
          <w:szCs w:val="22"/>
        </w:rPr>
        <w:t>Figure S</w:t>
      </w:r>
      <w:r w:rsidR="00965482">
        <w:rPr>
          <w:rFonts w:ascii="Myriad Pro" w:hAnsi="Myriad Pro"/>
          <w:sz w:val="22"/>
          <w:szCs w:val="22"/>
        </w:rPr>
        <w:t>24</w:t>
      </w:r>
      <w:r w:rsidRPr="00517B41">
        <w:rPr>
          <w:rFonts w:ascii="Myriad Pro" w:hAnsi="Myriad Pro"/>
          <w:sz w:val="22"/>
          <w:szCs w:val="22"/>
        </w:rPr>
        <w:t>.</w:t>
      </w:r>
      <w:bookmarkEnd w:id="49"/>
      <w:r w:rsidRPr="00517B41">
        <w:rPr>
          <w:rFonts w:ascii="Myriad Pro" w:hAnsi="Myriad Pro"/>
          <w:sz w:val="22"/>
          <w:szCs w:val="22"/>
        </w:rPr>
        <w:t xml:space="preserve"> Cumulative number of earthquakes above Mc versus time represented with black circles. </w:t>
      </w:r>
      <w:r w:rsidRPr="0067781F">
        <w:rPr>
          <w:rFonts w:ascii="Myriad Pro" w:hAnsi="Myriad Pro"/>
          <w:b w:val="0"/>
          <w:bCs w:val="0"/>
          <w:sz w:val="22"/>
          <w:szCs w:val="22"/>
        </w:rPr>
        <w:t>The stationary activity rate period is noted by the green colored area. The same color is used in Fig. S</w:t>
      </w:r>
      <w:r w:rsidR="00A57B43">
        <w:rPr>
          <w:rFonts w:ascii="Myriad Pro" w:hAnsi="Myriad Pro"/>
          <w:b w:val="0"/>
          <w:bCs w:val="0"/>
          <w:sz w:val="22"/>
          <w:szCs w:val="22"/>
        </w:rPr>
        <w:t>2</w:t>
      </w:r>
      <w:r w:rsidR="0032141A" w:rsidRPr="0067781F">
        <w:rPr>
          <w:rFonts w:ascii="Myriad Pro" w:hAnsi="Myriad Pro"/>
          <w:b w:val="0"/>
          <w:bCs w:val="0"/>
          <w:sz w:val="22"/>
          <w:szCs w:val="22"/>
        </w:rPr>
        <w:t>1</w:t>
      </w:r>
      <w:r w:rsidRPr="0067781F">
        <w:rPr>
          <w:rFonts w:ascii="Myriad Pro" w:hAnsi="Myriad Pro"/>
          <w:b w:val="0"/>
          <w:bCs w:val="0"/>
          <w:sz w:val="22"/>
          <w:szCs w:val="22"/>
        </w:rPr>
        <w:t xml:space="preserve"> for the epicentral distribution of events in this period.</w:t>
      </w:r>
    </w:p>
    <w:p w14:paraId="079D952B"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43704D71"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5DB5FE81" wp14:editId="20363CFF">
            <wp:extent cx="5695950" cy="3355440"/>
            <wp:effectExtent l="0" t="0" r="0" b="0"/>
            <wp:docPr id="622849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78" name="Picture 622849578"/>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6921" cy="3379576"/>
                    </a:xfrm>
                    <a:prstGeom prst="rect">
                      <a:avLst/>
                    </a:prstGeom>
                  </pic:spPr>
                </pic:pic>
              </a:graphicData>
            </a:graphic>
          </wp:inline>
        </w:drawing>
      </w:r>
    </w:p>
    <w:p w14:paraId="2D5794CA" w14:textId="2FBEB268" w:rsidR="009932D9" w:rsidRPr="0000522C" w:rsidRDefault="009932D9" w:rsidP="0000522C">
      <w:pPr>
        <w:pStyle w:val="SMHeading"/>
        <w:jc w:val="both"/>
        <w:rPr>
          <w:rFonts w:ascii="Myriad Pro" w:hAnsi="Myriad Pro"/>
          <w:b w:val="0"/>
          <w:bCs w:val="0"/>
          <w:sz w:val="22"/>
          <w:szCs w:val="22"/>
        </w:rPr>
      </w:pPr>
      <w:bookmarkStart w:id="50" w:name="_Toc162436053"/>
      <w:r w:rsidRPr="00517B41">
        <w:rPr>
          <w:rFonts w:ascii="Myriad Pro" w:hAnsi="Myriad Pro"/>
          <w:sz w:val="22"/>
          <w:szCs w:val="22"/>
        </w:rPr>
        <w:t>Figure S</w:t>
      </w:r>
      <w:r w:rsidR="00AD5A1A">
        <w:rPr>
          <w:rFonts w:ascii="Myriad Pro" w:hAnsi="Myriad Pro"/>
          <w:sz w:val="22"/>
          <w:szCs w:val="22"/>
        </w:rPr>
        <w:t>2</w:t>
      </w:r>
      <w:r w:rsidR="00965482">
        <w:rPr>
          <w:rFonts w:ascii="Myriad Pro" w:hAnsi="Myriad Pro"/>
          <w:sz w:val="22"/>
          <w:szCs w:val="22"/>
        </w:rPr>
        <w:t>5</w:t>
      </w:r>
      <w:r w:rsidRPr="00517B41">
        <w:rPr>
          <w:rFonts w:ascii="Myriad Pro" w:hAnsi="Myriad Pro"/>
          <w:sz w:val="22"/>
          <w:szCs w:val="22"/>
        </w:rPr>
        <w:t>.</w:t>
      </w:r>
      <w:bookmarkEnd w:id="50"/>
      <w:r w:rsidR="0000522C">
        <w:rPr>
          <w:rFonts w:ascii="Myriad Pro" w:hAnsi="Myriad Pro"/>
          <w:sz w:val="22"/>
          <w:szCs w:val="22"/>
        </w:rPr>
        <w:t xml:space="preserve"> </w:t>
      </w:r>
      <w:r w:rsidRPr="00517B41">
        <w:rPr>
          <w:rFonts w:ascii="Myriad Pro" w:hAnsi="Myriad Pro"/>
          <w:sz w:val="22"/>
          <w:szCs w:val="22"/>
        </w:rPr>
        <w:t xml:space="preserve">Epicentral distribution of the seismicity of the Carbfix episode catalog earthquakes. </w:t>
      </w:r>
      <w:r w:rsidRPr="0000522C">
        <w:rPr>
          <w:rFonts w:ascii="Myriad Pro" w:hAnsi="Myriad Pro"/>
          <w:b w:val="0"/>
          <w:bCs w:val="0"/>
          <w:sz w:val="22"/>
          <w:szCs w:val="22"/>
        </w:rPr>
        <w:t>On the left subplot the six clusters chosen initially are identified by different colors. On the right subplot only the final subclusters that were selected to assess the magnitude distribution complexity are represented by red and magenta colors. The unused earthquakes for magnitude complexity testing are depicted in gray colors. The injection wells positions are depicted as white diamonds.</w:t>
      </w:r>
    </w:p>
    <w:p w14:paraId="0C640A46" w14:textId="41CF13DA" w:rsidR="009932D9" w:rsidRPr="00517B41" w:rsidRDefault="009932D9" w:rsidP="009932D9">
      <w:pPr>
        <w:rPr>
          <w:rFonts w:ascii="Myriad Pro" w:hAnsi="Myriad Pro"/>
          <w:sz w:val="22"/>
          <w:szCs w:val="22"/>
        </w:rPr>
      </w:pPr>
    </w:p>
    <w:p w14:paraId="74EAD2FA"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drawing>
          <wp:inline distT="0" distB="0" distL="0" distR="0" wp14:anchorId="31A091D6" wp14:editId="78078D7D">
            <wp:extent cx="5899408" cy="2036506"/>
            <wp:effectExtent l="0" t="0" r="6350" b="1905"/>
            <wp:docPr id="1820207962" name="Picture 182020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07962" name="Picture 182020796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25503" cy="2045514"/>
                    </a:xfrm>
                    <a:prstGeom prst="rect">
                      <a:avLst/>
                    </a:prstGeom>
                  </pic:spPr>
                </pic:pic>
              </a:graphicData>
            </a:graphic>
          </wp:inline>
        </w:drawing>
      </w:r>
    </w:p>
    <w:p w14:paraId="5147D6FF" w14:textId="0B9A1F04" w:rsidR="009932D9" w:rsidRPr="0000522C" w:rsidRDefault="009932D9" w:rsidP="00D061AC">
      <w:pPr>
        <w:pStyle w:val="SMHeading"/>
        <w:jc w:val="both"/>
        <w:rPr>
          <w:rFonts w:ascii="Myriad Pro" w:hAnsi="Myriad Pro"/>
          <w:b w:val="0"/>
          <w:bCs w:val="0"/>
          <w:sz w:val="22"/>
          <w:szCs w:val="22"/>
        </w:rPr>
      </w:pPr>
      <w:bookmarkStart w:id="51" w:name="_Toc162436054"/>
      <w:r w:rsidRPr="00517B41">
        <w:rPr>
          <w:rFonts w:ascii="Myriad Pro" w:hAnsi="Myriad Pro"/>
          <w:sz w:val="22"/>
          <w:szCs w:val="22"/>
        </w:rPr>
        <w:t>Figure S</w:t>
      </w:r>
      <w:r w:rsidR="00AD5A1A">
        <w:rPr>
          <w:rFonts w:ascii="Myriad Pro" w:hAnsi="Myriad Pro"/>
          <w:sz w:val="22"/>
          <w:szCs w:val="22"/>
        </w:rPr>
        <w:t>2</w:t>
      </w:r>
      <w:r w:rsidR="00965482">
        <w:rPr>
          <w:rFonts w:ascii="Myriad Pro" w:hAnsi="Myriad Pro"/>
          <w:sz w:val="22"/>
          <w:szCs w:val="22"/>
        </w:rPr>
        <w:t>6</w:t>
      </w:r>
      <w:r w:rsidRPr="00517B41">
        <w:rPr>
          <w:rFonts w:ascii="Myriad Pro" w:hAnsi="Myriad Pro"/>
          <w:sz w:val="22"/>
          <w:szCs w:val="22"/>
        </w:rPr>
        <w:t>.</w:t>
      </w:r>
      <w:bookmarkEnd w:id="51"/>
      <w:r w:rsidRPr="00517B41">
        <w:rPr>
          <w:rFonts w:ascii="Myriad Pro" w:hAnsi="Myriad Pro"/>
          <w:sz w:val="22"/>
          <w:szCs w:val="22"/>
        </w:rPr>
        <w:t xml:space="preserve">Hypocentral distribution of the identified clusters of east (left), north (middle) and central part of the Carbfix Episode catalog. </w:t>
      </w:r>
      <w:r w:rsidRPr="0000522C">
        <w:rPr>
          <w:rFonts w:ascii="Myriad Pro" w:hAnsi="Myriad Pro"/>
          <w:b w:val="0"/>
          <w:bCs w:val="0"/>
          <w:sz w:val="22"/>
          <w:szCs w:val="22"/>
        </w:rPr>
        <w:t>The colors used correspond to the colors used for the same clusters in the left subplot of Fig. S</w:t>
      </w:r>
      <w:r w:rsidR="00F91B38" w:rsidRPr="0000522C">
        <w:rPr>
          <w:rFonts w:ascii="Myriad Pro" w:hAnsi="Myriad Pro"/>
          <w:b w:val="0"/>
          <w:bCs w:val="0"/>
          <w:sz w:val="22"/>
          <w:szCs w:val="22"/>
          <w:lang w:val="el-GR"/>
        </w:rPr>
        <w:t>2</w:t>
      </w:r>
      <w:r w:rsidR="0000522C">
        <w:rPr>
          <w:rFonts w:ascii="Myriad Pro" w:hAnsi="Myriad Pro"/>
          <w:b w:val="0"/>
          <w:bCs w:val="0"/>
          <w:sz w:val="22"/>
          <w:szCs w:val="22"/>
        </w:rPr>
        <w:t>5</w:t>
      </w:r>
      <w:r w:rsidRPr="0000522C">
        <w:rPr>
          <w:rFonts w:ascii="Myriad Pro" w:hAnsi="Myriad Pro"/>
          <w:b w:val="0"/>
          <w:bCs w:val="0"/>
          <w:sz w:val="22"/>
          <w:szCs w:val="22"/>
        </w:rPr>
        <w:t>.</w:t>
      </w:r>
    </w:p>
    <w:p w14:paraId="4C0FCA48" w14:textId="77777777" w:rsidR="009932D9" w:rsidRPr="00517B41" w:rsidRDefault="009932D9" w:rsidP="009932D9">
      <w:pPr>
        <w:pStyle w:val="SMcaption"/>
        <w:jc w:val="both"/>
        <w:rPr>
          <w:rFonts w:ascii="Myriad Pro" w:hAnsi="Myriad Pro"/>
          <w:sz w:val="22"/>
          <w:szCs w:val="22"/>
        </w:rPr>
      </w:pPr>
    </w:p>
    <w:p w14:paraId="14CFF73D"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094C92CA" w14:textId="6ADE9D8F" w:rsidR="009932D9" w:rsidRPr="00517B41" w:rsidRDefault="00626FFC"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794F731A" wp14:editId="0F266641">
            <wp:extent cx="5486400" cy="4287520"/>
            <wp:effectExtent l="0" t="0" r="0" b="0"/>
            <wp:docPr id="622849547" name="Picture 622849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47" name="Picture 62284954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86400" cy="4287520"/>
                    </a:xfrm>
                    <a:prstGeom prst="rect">
                      <a:avLst/>
                    </a:prstGeom>
                  </pic:spPr>
                </pic:pic>
              </a:graphicData>
            </a:graphic>
          </wp:inline>
        </w:drawing>
      </w:r>
    </w:p>
    <w:p w14:paraId="1E5FD9A3" w14:textId="0414D0BF" w:rsidR="009932D9" w:rsidRPr="00D061AC" w:rsidRDefault="009932D9" w:rsidP="00D061AC">
      <w:pPr>
        <w:pStyle w:val="SMHeading"/>
        <w:jc w:val="both"/>
        <w:rPr>
          <w:rFonts w:ascii="Myriad Pro" w:hAnsi="Myriad Pro"/>
          <w:b w:val="0"/>
          <w:bCs w:val="0"/>
          <w:sz w:val="22"/>
          <w:szCs w:val="22"/>
        </w:rPr>
      </w:pPr>
      <w:bookmarkStart w:id="52" w:name="_Toc162436055"/>
      <w:r w:rsidRPr="00517B41">
        <w:rPr>
          <w:rFonts w:ascii="Myriad Pro" w:hAnsi="Myriad Pro"/>
          <w:sz w:val="22"/>
          <w:szCs w:val="22"/>
        </w:rPr>
        <w:t>Figure S</w:t>
      </w:r>
      <w:r w:rsidR="00EF1A59">
        <w:rPr>
          <w:rFonts w:ascii="Myriad Pro" w:hAnsi="Myriad Pro"/>
          <w:sz w:val="22"/>
          <w:szCs w:val="22"/>
        </w:rPr>
        <w:t>2</w:t>
      </w:r>
      <w:r w:rsidR="008E2592">
        <w:rPr>
          <w:rFonts w:ascii="Myriad Pro" w:hAnsi="Myriad Pro"/>
          <w:sz w:val="22"/>
          <w:szCs w:val="22"/>
        </w:rPr>
        <w:t>7</w:t>
      </w:r>
      <w:r w:rsidRPr="00517B41">
        <w:rPr>
          <w:rFonts w:ascii="Myriad Pro" w:hAnsi="Myriad Pro"/>
          <w:sz w:val="22"/>
          <w:szCs w:val="22"/>
        </w:rPr>
        <w:t>.</w:t>
      </w:r>
      <w:bookmarkEnd w:id="52"/>
      <w:r w:rsidRPr="00517B41">
        <w:rPr>
          <w:rFonts w:ascii="Myriad Pro" w:hAnsi="Myriad Pro"/>
          <w:sz w:val="22"/>
          <w:szCs w:val="22"/>
        </w:rPr>
        <w:t xml:space="preserve"> Cumulative and incremental frequency magnitude distributions of the six clusters of seismicity. </w:t>
      </w:r>
      <w:r w:rsidRPr="00D061AC">
        <w:rPr>
          <w:rFonts w:ascii="Myriad Pro" w:hAnsi="Myriad Pro"/>
          <w:b w:val="0"/>
          <w:bCs w:val="0"/>
          <w:sz w:val="22"/>
          <w:szCs w:val="22"/>
        </w:rPr>
        <w:t>The chosen magnitudes of completeness are marked by the vertical red lines.</w:t>
      </w:r>
    </w:p>
    <w:p w14:paraId="5E2D1130" w14:textId="7A0C84D1" w:rsidR="009932D9" w:rsidRPr="00D061AC" w:rsidRDefault="009932D9" w:rsidP="009932D9">
      <w:pPr>
        <w:rPr>
          <w:rFonts w:ascii="Myriad Pro" w:hAnsi="Myriad Pro"/>
          <w:sz w:val="22"/>
          <w:szCs w:val="22"/>
        </w:rPr>
      </w:pPr>
    </w:p>
    <w:p w14:paraId="1BE9EE60" w14:textId="2CC1F169" w:rsidR="008E2592" w:rsidRPr="00517B41" w:rsidRDefault="008E2592" w:rsidP="0064071B">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27570683" wp14:editId="13787D1F">
            <wp:extent cx="5210175" cy="3921501"/>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219394" cy="3928440"/>
                    </a:xfrm>
                    <a:prstGeom prst="rect">
                      <a:avLst/>
                    </a:prstGeom>
                  </pic:spPr>
                </pic:pic>
              </a:graphicData>
            </a:graphic>
          </wp:inline>
        </w:drawing>
      </w:r>
    </w:p>
    <w:p w14:paraId="01D2DCF6" w14:textId="2D7918A8" w:rsidR="0064071B" w:rsidRPr="00517B41" w:rsidRDefault="0064071B" w:rsidP="00AC0362">
      <w:pPr>
        <w:pStyle w:val="SMHeading"/>
        <w:tabs>
          <w:tab w:val="left" w:pos="3150"/>
        </w:tabs>
        <w:jc w:val="both"/>
        <w:rPr>
          <w:rFonts w:ascii="Myriad Pro" w:hAnsi="Myriad Pro"/>
          <w:sz w:val="22"/>
          <w:szCs w:val="22"/>
        </w:rPr>
      </w:pPr>
      <w:r w:rsidRPr="00517B41">
        <w:rPr>
          <w:rFonts w:ascii="Myriad Pro" w:hAnsi="Myriad Pro"/>
          <w:sz w:val="22"/>
          <w:szCs w:val="22"/>
        </w:rPr>
        <w:t>Figure S</w:t>
      </w:r>
      <w:r>
        <w:rPr>
          <w:rFonts w:ascii="Myriad Pro" w:hAnsi="Myriad Pro"/>
          <w:sz w:val="22"/>
          <w:szCs w:val="22"/>
        </w:rPr>
        <w:t>28</w:t>
      </w:r>
      <w:r w:rsidRPr="00517B41">
        <w:rPr>
          <w:rFonts w:ascii="Myriad Pro" w:hAnsi="Myriad Pro"/>
          <w:sz w:val="22"/>
          <w:szCs w:val="22"/>
        </w:rPr>
        <w:t xml:space="preserve">. </w:t>
      </w:r>
      <w:r w:rsidR="00D061AC">
        <w:rPr>
          <w:rFonts w:ascii="Myriad Pro" w:hAnsi="Myriad Pro"/>
          <w:b w:val="0"/>
          <w:bCs w:val="0"/>
          <w:sz w:val="22"/>
          <w:szCs w:val="22"/>
        </w:rPr>
        <w:t>S</w:t>
      </w:r>
      <w:r w:rsidR="00D061AC" w:rsidRPr="003249D8">
        <w:rPr>
          <w:rFonts w:ascii="Myriad Pro" w:hAnsi="Myriad Pro"/>
          <w:b w:val="0"/>
          <w:bCs w:val="0"/>
          <w:sz w:val="22"/>
          <w:szCs w:val="22"/>
        </w:rPr>
        <w:t xml:space="preserve">patial distribution of the magnitude of completeness over a gridded area for </w:t>
      </w:r>
      <w:r w:rsidR="00D061AC">
        <w:rPr>
          <w:rFonts w:ascii="Myriad Pro" w:hAnsi="Myriad Pro"/>
          <w:b w:val="0"/>
          <w:bCs w:val="0"/>
          <w:sz w:val="22"/>
          <w:szCs w:val="22"/>
        </w:rPr>
        <w:t xml:space="preserve">the </w:t>
      </w:r>
      <w:r w:rsidR="005417D7">
        <w:rPr>
          <w:rFonts w:ascii="Myriad Pro" w:hAnsi="Myriad Pro"/>
          <w:b w:val="0"/>
          <w:bCs w:val="0"/>
          <w:sz w:val="22"/>
          <w:szCs w:val="22"/>
        </w:rPr>
        <w:t xml:space="preserve">clusters of the Carbfix </w:t>
      </w:r>
      <w:r w:rsidR="00D061AC">
        <w:rPr>
          <w:rFonts w:ascii="Myriad Pro" w:hAnsi="Myriad Pro"/>
          <w:b w:val="0"/>
          <w:bCs w:val="0"/>
          <w:sz w:val="22"/>
          <w:szCs w:val="22"/>
        </w:rPr>
        <w:t>episode</w:t>
      </w:r>
      <w:r w:rsidR="00D061AC" w:rsidRPr="00A26096">
        <w:rPr>
          <w:rFonts w:ascii="Myriad Pro" w:hAnsi="Myriad Pro"/>
          <w:b w:val="0"/>
          <w:bCs w:val="0"/>
          <w:sz w:val="22"/>
          <w:szCs w:val="22"/>
        </w:rPr>
        <w:t xml:space="preserve"> catalog</w:t>
      </w:r>
      <w:r w:rsidR="00D061AC">
        <w:rPr>
          <w:rFonts w:ascii="Myriad Pro" w:hAnsi="Myriad Pro"/>
          <w:b w:val="0"/>
          <w:bCs w:val="0"/>
          <w:sz w:val="22"/>
          <w:szCs w:val="22"/>
        </w:rPr>
        <w:t>.</w:t>
      </w:r>
      <w:r w:rsidR="005417D7">
        <w:rPr>
          <w:rFonts w:ascii="Myriad Pro" w:hAnsi="Myriad Pro"/>
          <w:b w:val="0"/>
          <w:bCs w:val="0"/>
          <w:sz w:val="22"/>
          <w:szCs w:val="22"/>
        </w:rPr>
        <w:t xml:space="preserve"> The two northernmost clusters </w:t>
      </w:r>
      <w:r w:rsidR="00AC0362">
        <w:rPr>
          <w:rFonts w:ascii="Myriad Pro" w:hAnsi="Myriad Pro"/>
          <w:b w:val="0"/>
          <w:bCs w:val="0"/>
          <w:sz w:val="22"/>
          <w:szCs w:val="22"/>
        </w:rPr>
        <w:t>were</w:t>
      </w:r>
      <w:r w:rsidR="005417D7">
        <w:rPr>
          <w:rFonts w:ascii="Myriad Pro" w:hAnsi="Myriad Pro"/>
          <w:b w:val="0"/>
          <w:bCs w:val="0"/>
          <w:sz w:val="22"/>
          <w:szCs w:val="22"/>
        </w:rPr>
        <w:t xml:space="preserve"> </w:t>
      </w:r>
      <w:r w:rsidR="00AC0362">
        <w:rPr>
          <w:rFonts w:ascii="Myriad Pro" w:hAnsi="Myriad Pro"/>
          <w:b w:val="0"/>
          <w:bCs w:val="0"/>
          <w:sz w:val="22"/>
          <w:szCs w:val="22"/>
        </w:rPr>
        <w:t>discarded due to low number of events (Fig. 27).</w:t>
      </w:r>
      <w:r w:rsidR="005417D7">
        <w:rPr>
          <w:rFonts w:ascii="Myriad Pro" w:hAnsi="Myriad Pro"/>
          <w:b w:val="0"/>
          <w:bCs w:val="0"/>
          <w:sz w:val="22"/>
          <w:szCs w:val="22"/>
        </w:rPr>
        <w:t xml:space="preserve"> </w:t>
      </w:r>
    </w:p>
    <w:p w14:paraId="01F94984" w14:textId="19B3A805" w:rsidR="00AC0362" w:rsidRDefault="00AC0362">
      <w:pPr>
        <w:rPr>
          <w:rFonts w:ascii="Myriad Pro" w:hAnsi="Myriad Pro"/>
          <w:sz w:val="22"/>
          <w:szCs w:val="22"/>
        </w:rPr>
      </w:pPr>
      <w:r>
        <w:rPr>
          <w:rFonts w:ascii="Myriad Pro" w:hAnsi="Myriad Pro"/>
          <w:sz w:val="22"/>
          <w:szCs w:val="22"/>
        </w:rPr>
        <w:br w:type="page"/>
      </w:r>
    </w:p>
    <w:p w14:paraId="1C418A21" w14:textId="77777777" w:rsidR="009932D9" w:rsidRPr="00517B41" w:rsidRDefault="009932D9" w:rsidP="009932D9">
      <w:pPr>
        <w:pStyle w:val="SMcaption"/>
        <w:jc w:val="both"/>
        <w:rPr>
          <w:rFonts w:ascii="Myriad Pro" w:hAnsi="Myriad Pro"/>
          <w:sz w:val="22"/>
          <w:szCs w:val="22"/>
        </w:rPr>
      </w:pPr>
    </w:p>
    <w:p w14:paraId="5385EFB8" w14:textId="6FC07A69" w:rsidR="009932D9" w:rsidRPr="00517B41" w:rsidRDefault="003E45C2" w:rsidP="009932D9">
      <w:pPr>
        <w:jc w:val="center"/>
        <w:rPr>
          <w:rFonts w:ascii="Myriad Pro" w:hAnsi="Myriad Pro"/>
          <w:sz w:val="22"/>
          <w:szCs w:val="22"/>
        </w:rPr>
      </w:pPr>
      <w:r>
        <w:rPr>
          <w:rFonts w:ascii="Myriad Pro" w:hAnsi="Myriad Pro"/>
          <w:noProof/>
          <w:sz w:val="22"/>
          <w:szCs w:val="22"/>
          <w:lang w:val="en-IN" w:eastAsia="en-IN"/>
        </w:rPr>
        <w:drawing>
          <wp:inline distT="0" distB="0" distL="0" distR="0" wp14:anchorId="46251338" wp14:editId="4BD18358">
            <wp:extent cx="5486400" cy="4606290"/>
            <wp:effectExtent l="0" t="0" r="0" b="3810"/>
            <wp:docPr id="622849548" name="Picture 622849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48" name="Picture 622849548"/>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86400" cy="4606290"/>
                    </a:xfrm>
                    <a:prstGeom prst="rect">
                      <a:avLst/>
                    </a:prstGeom>
                  </pic:spPr>
                </pic:pic>
              </a:graphicData>
            </a:graphic>
          </wp:inline>
        </w:drawing>
      </w:r>
    </w:p>
    <w:p w14:paraId="4117F2A0" w14:textId="3695A099" w:rsidR="009932D9" w:rsidRPr="005417D7" w:rsidRDefault="009932D9" w:rsidP="005417D7">
      <w:pPr>
        <w:pStyle w:val="SMHeading"/>
        <w:jc w:val="both"/>
        <w:rPr>
          <w:rFonts w:ascii="Myriad Pro" w:hAnsi="Myriad Pro"/>
          <w:b w:val="0"/>
          <w:bCs w:val="0"/>
          <w:sz w:val="22"/>
          <w:szCs w:val="22"/>
        </w:rPr>
      </w:pPr>
      <w:bookmarkStart w:id="53" w:name="_Toc162436056"/>
      <w:r w:rsidRPr="00517B41">
        <w:rPr>
          <w:rFonts w:ascii="Myriad Pro" w:hAnsi="Myriad Pro"/>
          <w:sz w:val="22"/>
          <w:szCs w:val="22"/>
        </w:rPr>
        <w:t>Figure S</w:t>
      </w:r>
      <w:r w:rsidR="00086348">
        <w:rPr>
          <w:rFonts w:ascii="Myriad Pro" w:hAnsi="Myriad Pro"/>
          <w:sz w:val="22"/>
          <w:szCs w:val="22"/>
        </w:rPr>
        <w:t>2</w:t>
      </w:r>
      <w:r w:rsidR="0064071B">
        <w:rPr>
          <w:rFonts w:ascii="Myriad Pro" w:hAnsi="Myriad Pro"/>
          <w:sz w:val="22"/>
          <w:szCs w:val="22"/>
        </w:rPr>
        <w:t>9</w:t>
      </w:r>
      <w:r w:rsidRPr="00517B41">
        <w:rPr>
          <w:rFonts w:ascii="Myriad Pro" w:hAnsi="Myriad Pro"/>
          <w:sz w:val="22"/>
          <w:szCs w:val="22"/>
        </w:rPr>
        <w:t>.</w:t>
      </w:r>
      <w:bookmarkEnd w:id="53"/>
      <w:r w:rsidR="005417D7">
        <w:rPr>
          <w:rFonts w:ascii="Myriad Pro" w:hAnsi="Myriad Pro"/>
          <w:sz w:val="22"/>
          <w:szCs w:val="22"/>
        </w:rPr>
        <w:t xml:space="preserve"> </w:t>
      </w:r>
      <w:r w:rsidRPr="00517B41">
        <w:rPr>
          <w:rFonts w:ascii="Myriad Pro" w:hAnsi="Myriad Pro"/>
          <w:sz w:val="22"/>
          <w:szCs w:val="22"/>
        </w:rPr>
        <w:t xml:space="preserve">Cumulative number of earthquakes above Mc versus time represented with black circles for each cluster. </w:t>
      </w:r>
      <w:r w:rsidRPr="005417D7">
        <w:rPr>
          <w:rFonts w:ascii="Myriad Pro" w:hAnsi="Myriad Pro"/>
          <w:b w:val="0"/>
          <w:bCs w:val="0"/>
          <w:sz w:val="22"/>
          <w:szCs w:val="22"/>
        </w:rPr>
        <w:t>The stationary activity rate periods in (b) and (c) are noted by the magenta and red colored areas. The same colors are used in the right subplot of Fig. S</w:t>
      </w:r>
      <w:r w:rsidR="008743F6" w:rsidRPr="005417D7">
        <w:rPr>
          <w:rFonts w:ascii="Myriad Pro" w:hAnsi="Myriad Pro"/>
          <w:b w:val="0"/>
          <w:bCs w:val="0"/>
          <w:sz w:val="22"/>
          <w:szCs w:val="22"/>
        </w:rPr>
        <w:t>2</w:t>
      </w:r>
      <w:r w:rsidR="005417D7" w:rsidRPr="005417D7">
        <w:rPr>
          <w:rFonts w:ascii="Myriad Pro" w:hAnsi="Myriad Pro"/>
          <w:b w:val="0"/>
          <w:bCs w:val="0"/>
          <w:sz w:val="22"/>
          <w:szCs w:val="22"/>
        </w:rPr>
        <w:t>5</w:t>
      </w:r>
      <w:r w:rsidR="00086348" w:rsidRPr="005417D7">
        <w:rPr>
          <w:rFonts w:ascii="Myriad Pro" w:hAnsi="Myriad Pro"/>
          <w:b w:val="0"/>
          <w:bCs w:val="0"/>
          <w:sz w:val="22"/>
          <w:szCs w:val="22"/>
        </w:rPr>
        <w:t>b</w:t>
      </w:r>
      <w:r w:rsidRPr="005417D7">
        <w:rPr>
          <w:rFonts w:ascii="Myriad Pro" w:hAnsi="Myriad Pro"/>
          <w:b w:val="0"/>
          <w:bCs w:val="0"/>
          <w:sz w:val="22"/>
          <w:szCs w:val="22"/>
        </w:rPr>
        <w:t xml:space="preserve"> for the epicentral distribution of events in those periods.</w:t>
      </w:r>
    </w:p>
    <w:p w14:paraId="4EC3C8D4"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34EF08F4"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46319546" wp14:editId="7738768B">
            <wp:extent cx="5958479" cy="2545308"/>
            <wp:effectExtent l="0" t="0" r="444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31882" cy="2576664"/>
                    </a:xfrm>
                    <a:prstGeom prst="rect">
                      <a:avLst/>
                    </a:prstGeom>
                  </pic:spPr>
                </pic:pic>
              </a:graphicData>
            </a:graphic>
          </wp:inline>
        </w:drawing>
      </w:r>
    </w:p>
    <w:p w14:paraId="530AC2DB" w14:textId="6148B1B1" w:rsidR="009932D9" w:rsidRPr="00517B41" w:rsidRDefault="009932D9" w:rsidP="008E2477">
      <w:pPr>
        <w:pStyle w:val="SMHeading"/>
        <w:jc w:val="both"/>
        <w:rPr>
          <w:rFonts w:ascii="Myriad Pro" w:hAnsi="Myriad Pro"/>
          <w:sz w:val="22"/>
          <w:szCs w:val="22"/>
        </w:rPr>
      </w:pPr>
      <w:bookmarkStart w:id="54" w:name="_Toc162436057"/>
      <w:r w:rsidRPr="00517B41">
        <w:rPr>
          <w:rFonts w:ascii="Myriad Pro" w:hAnsi="Myriad Pro"/>
          <w:sz w:val="22"/>
          <w:szCs w:val="22"/>
        </w:rPr>
        <w:t xml:space="preserve">Figure </w:t>
      </w:r>
      <w:r w:rsidR="008E2A2E">
        <w:rPr>
          <w:rFonts w:ascii="Myriad Pro" w:hAnsi="Myriad Pro"/>
          <w:sz w:val="22"/>
          <w:szCs w:val="22"/>
        </w:rPr>
        <w:t>S</w:t>
      </w:r>
      <w:r w:rsidR="008E2477">
        <w:rPr>
          <w:rFonts w:ascii="Myriad Pro" w:hAnsi="Myriad Pro"/>
          <w:sz w:val="22"/>
          <w:szCs w:val="22"/>
        </w:rPr>
        <w:t>30</w:t>
      </w:r>
      <w:r w:rsidRPr="00517B41">
        <w:rPr>
          <w:rFonts w:ascii="Myriad Pro" w:hAnsi="Myriad Pro"/>
          <w:sz w:val="22"/>
          <w:szCs w:val="22"/>
        </w:rPr>
        <w:t>.</w:t>
      </w:r>
      <w:bookmarkEnd w:id="54"/>
      <w:r w:rsidR="008E2477">
        <w:rPr>
          <w:rFonts w:ascii="Myriad Pro" w:hAnsi="Myriad Pro"/>
          <w:sz w:val="22"/>
          <w:szCs w:val="22"/>
        </w:rPr>
        <w:t xml:space="preserve"> </w:t>
      </w:r>
      <w:r w:rsidRPr="008E2477">
        <w:rPr>
          <w:rFonts w:ascii="Myriad Pro" w:hAnsi="Myriad Pro"/>
          <w:b w:val="0"/>
          <w:bCs w:val="0"/>
          <w:sz w:val="22"/>
          <w:szCs w:val="22"/>
        </w:rPr>
        <w:t>Seismicity of the Cotton valley Episode catalog represented by gray histograms in 10-minute bins (left y-axis), along with slurry flow rate, represented by a red line (right y-axis).</w:t>
      </w:r>
      <w:r w:rsidRPr="00517B41">
        <w:rPr>
          <w:rFonts w:ascii="Myriad Pro" w:hAnsi="Myriad Pro"/>
          <w:sz w:val="22"/>
          <w:szCs w:val="22"/>
        </w:rPr>
        <w:t xml:space="preserve"> </w:t>
      </w:r>
    </w:p>
    <w:p w14:paraId="5EE21C1B" w14:textId="77777777" w:rsidR="009932D9" w:rsidRPr="00517B41" w:rsidRDefault="009932D9" w:rsidP="009932D9">
      <w:pPr>
        <w:pStyle w:val="SMcaption"/>
        <w:jc w:val="both"/>
        <w:rPr>
          <w:rFonts w:ascii="Myriad Pro" w:hAnsi="Myriad Pro"/>
          <w:sz w:val="22"/>
          <w:szCs w:val="22"/>
        </w:rPr>
      </w:pPr>
    </w:p>
    <w:p w14:paraId="235D1BC4" w14:textId="2480A374" w:rsidR="009932D9" w:rsidRPr="00517B41" w:rsidRDefault="009932D9" w:rsidP="009932D9">
      <w:pPr>
        <w:rPr>
          <w:rFonts w:ascii="Myriad Pro" w:hAnsi="Myriad Pro"/>
          <w:sz w:val="22"/>
          <w:szCs w:val="22"/>
        </w:rPr>
      </w:pPr>
    </w:p>
    <w:p w14:paraId="45FEED84"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drawing>
          <wp:inline distT="0" distB="0" distL="0" distR="0" wp14:anchorId="4C28A3B6" wp14:editId="65846E19">
            <wp:extent cx="3790950" cy="3150122"/>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828165" cy="3181046"/>
                    </a:xfrm>
                    <a:prstGeom prst="rect">
                      <a:avLst/>
                    </a:prstGeom>
                  </pic:spPr>
                </pic:pic>
              </a:graphicData>
            </a:graphic>
          </wp:inline>
        </w:drawing>
      </w:r>
    </w:p>
    <w:p w14:paraId="4DD88F37" w14:textId="797F6D6E" w:rsidR="009932D9" w:rsidRPr="00517B41" w:rsidRDefault="009932D9" w:rsidP="00ED692D">
      <w:pPr>
        <w:pStyle w:val="SMHeading"/>
        <w:jc w:val="both"/>
        <w:rPr>
          <w:rFonts w:ascii="Myriad Pro" w:hAnsi="Myriad Pro"/>
          <w:sz w:val="22"/>
          <w:szCs w:val="22"/>
        </w:rPr>
      </w:pPr>
      <w:bookmarkStart w:id="55" w:name="_Toc162436058"/>
      <w:r w:rsidRPr="00517B41">
        <w:rPr>
          <w:rFonts w:ascii="Myriad Pro" w:hAnsi="Myriad Pro"/>
          <w:sz w:val="22"/>
          <w:szCs w:val="22"/>
        </w:rPr>
        <w:t>Figure S</w:t>
      </w:r>
      <w:r w:rsidR="00ED692D">
        <w:rPr>
          <w:rFonts w:ascii="Myriad Pro" w:hAnsi="Myriad Pro"/>
          <w:sz w:val="22"/>
          <w:szCs w:val="22"/>
        </w:rPr>
        <w:t>31</w:t>
      </w:r>
      <w:r w:rsidRPr="00517B41">
        <w:rPr>
          <w:rFonts w:ascii="Myriad Pro" w:hAnsi="Myriad Pro"/>
          <w:sz w:val="22"/>
          <w:szCs w:val="22"/>
        </w:rPr>
        <w:t>.</w:t>
      </w:r>
      <w:bookmarkEnd w:id="55"/>
      <w:r w:rsidR="00ED692D">
        <w:rPr>
          <w:rFonts w:ascii="Myriad Pro" w:hAnsi="Myriad Pro"/>
          <w:sz w:val="22"/>
          <w:szCs w:val="22"/>
        </w:rPr>
        <w:t xml:space="preserve"> </w:t>
      </w:r>
      <w:r w:rsidRPr="00517B41">
        <w:rPr>
          <w:rFonts w:ascii="Myriad Pro" w:hAnsi="Myriad Pro"/>
          <w:sz w:val="22"/>
          <w:szCs w:val="22"/>
        </w:rPr>
        <w:t xml:space="preserve">Epicentral distribution of the seismicity of the Cotton Valley episode catalog. </w:t>
      </w:r>
      <w:r w:rsidRPr="00ED692D">
        <w:rPr>
          <w:rFonts w:ascii="Myriad Pro" w:hAnsi="Myriad Pro"/>
          <w:b w:val="0"/>
          <w:bCs w:val="0"/>
          <w:sz w:val="22"/>
          <w:szCs w:val="22"/>
        </w:rPr>
        <w:t>The unused earthquakes for magnitude complexity testing are depicted in gray colors. The earthquake subcatalogs that were selected to assess the magnitude distribution complexity are represented by red, green and yellow circles. The injection well position is plotted as a white diamond.</w:t>
      </w:r>
    </w:p>
    <w:p w14:paraId="463C7C0E"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196FF650"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59442827" wp14:editId="2CAD13F7">
            <wp:extent cx="2952750" cy="2849470"/>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94256" cy="2889524"/>
                    </a:xfrm>
                    <a:prstGeom prst="rect">
                      <a:avLst/>
                    </a:prstGeom>
                  </pic:spPr>
                </pic:pic>
              </a:graphicData>
            </a:graphic>
          </wp:inline>
        </w:drawing>
      </w:r>
    </w:p>
    <w:p w14:paraId="482A1C88" w14:textId="530D987B" w:rsidR="009932D9" w:rsidRPr="00517B41" w:rsidRDefault="009932D9" w:rsidP="00ED692D">
      <w:pPr>
        <w:pStyle w:val="SMHeading"/>
        <w:rPr>
          <w:rFonts w:ascii="Myriad Pro" w:hAnsi="Myriad Pro"/>
          <w:sz w:val="22"/>
          <w:szCs w:val="22"/>
        </w:rPr>
      </w:pPr>
      <w:bookmarkStart w:id="56" w:name="_Toc162436059"/>
      <w:r w:rsidRPr="00517B41">
        <w:rPr>
          <w:rFonts w:ascii="Myriad Pro" w:hAnsi="Myriad Pro"/>
          <w:sz w:val="22"/>
          <w:szCs w:val="22"/>
        </w:rPr>
        <w:t>Figure S</w:t>
      </w:r>
      <w:r w:rsidR="00ED692D">
        <w:rPr>
          <w:rFonts w:ascii="Myriad Pro" w:hAnsi="Myriad Pro"/>
          <w:sz w:val="22"/>
          <w:szCs w:val="22"/>
        </w:rPr>
        <w:t>32</w:t>
      </w:r>
      <w:r w:rsidRPr="00517B41">
        <w:rPr>
          <w:rFonts w:ascii="Myriad Pro" w:hAnsi="Myriad Pro"/>
          <w:sz w:val="22"/>
          <w:szCs w:val="22"/>
        </w:rPr>
        <w:t>.</w:t>
      </w:r>
      <w:bookmarkEnd w:id="56"/>
      <w:r w:rsidR="00ED692D">
        <w:rPr>
          <w:rFonts w:ascii="Myriad Pro" w:hAnsi="Myriad Pro"/>
          <w:sz w:val="22"/>
          <w:szCs w:val="22"/>
        </w:rPr>
        <w:t xml:space="preserve"> </w:t>
      </w:r>
      <w:r w:rsidRPr="00517B41">
        <w:rPr>
          <w:rFonts w:ascii="Myriad Pro" w:hAnsi="Myriad Pro"/>
          <w:sz w:val="22"/>
          <w:szCs w:val="22"/>
        </w:rPr>
        <w:t xml:space="preserve">Cumulative and incremental frequency magnitude distributions of the 888 earthquakes of Cotton Valley episode catalog. </w:t>
      </w:r>
      <w:r w:rsidRPr="00ED692D">
        <w:rPr>
          <w:rFonts w:ascii="Myriad Pro" w:hAnsi="Myriad Pro"/>
          <w:b w:val="0"/>
          <w:bCs w:val="0"/>
          <w:sz w:val="22"/>
          <w:szCs w:val="22"/>
        </w:rPr>
        <w:t>The chosen magnitude of completeness is marked by the vertical red line.</w:t>
      </w:r>
    </w:p>
    <w:p w14:paraId="12955710" w14:textId="77777777" w:rsidR="009932D9" w:rsidRPr="00517B41" w:rsidRDefault="009932D9" w:rsidP="009932D9">
      <w:pPr>
        <w:pStyle w:val="SMcaption"/>
        <w:jc w:val="both"/>
        <w:rPr>
          <w:rFonts w:ascii="Myriad Pro" w:hAnsi="Myriad Pro"/>
          <w:sz w:val="22"/>
          <w:szCs w:val="22"/>
        </w:rPr>
      </w:pPr>
    </w:p>
    <w:p w14:paraId="77C845CE" w14:textId="5D113AEE" w:rsidR="00ED692D" w:rsidRDefault="00ED692D" w:rsidP="004A240B">
      <w:pPr>
        <w:jc w:val="center"/>
        <w:rPr>
          <w:rFonts w:ascii="Myriad Pro" w:hAnsi="Myriad Pro"/>
          <w:sz w:val="22"/>
          <w:szCs w:val="22"/>
        </w:rPr>
      </w:pPr>
      <w:r>
        <w:rPr>
          <w:rFonts w:ascii="Myriad Pro" w:hAnsi="Myriad Pro"/>
          <w:noProof/>
          <w:sz w:val="22"/>
          <w:szCs w:val="22"/>
          <w:lang w:val="en-IN" w:eastAsia="en-IN"/>
        </w:rPr>
        <w:drawing>
          <wp:inline distT="0" distB="0" distL="0" distR="0" wp14:anchorId="790EAA01" wp14:editId="265C3E2F">
            <wp:extent cx="3476625" cy="368546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484693" cy="3694015"/>
                    </a:xfrm>
                    <a:prstGeom prst="rect">
                      <a:avLst/>
                    </a:prstGeom>
                  </pic:spPr>
                </pic:pic>
              </a:graphicData>
            </a:graphic>
          </wp:inline>
        </w:drawing>
      </w:r>
    </w:p>
    <w:p w14:paraId="7D06A48A" w14:textId="07AC425B" w:rsidR="004A240B" w:rsidRDefault="00034461" w:rsidP="00034461">
      <w:pPr>
        <w:pStyle w:val="SMHeading"/>
      </w:pPr>
      <w:r w:rsidRPr="00517B41">
        <w:t>Figure S</w:t>
      </w:r>
      <w:r>
        <w:t>3</w:t>
      </w:r>
      <w:r w:rsidR="004A240B">
        <w:t xml:space="preserve">3 </w:t>
      </w:r>
      <w:r w:rsidR="004A240B">
        <w:rPr>
          <w:rFonts w:ascii="Myriad Pro" w:hAnsi="Myriad Pro"/>
          <w:b w:val="0"/>
          <w:bCs w:val="0"/>
          <w:sz w:val="22"/>
          <w:szCs w:val="22"/>
        </w:rPr>
        <w:t>S</w:t>
      </w:r>
      <w:r w:rsidR="004A240B" w:rsidRPr="003249D8">
        <w:rPr>
          <w:rFonts w:ascii="Myriad Pro" w:hAnsi="Myriad Pro"/>
          <w:b w:val="0"/>
          <w:bCs w:val="0"/>
          <w:sz w:val="22"/>
          <w:szCs w:val="22"/>
        </w:rPr>
        <w:t xml:space="preserve">patial distribution of the magnitude of completeness over a gridded area for the </w:t>
      </w:r>
      <w:r w:rsidR="004A240B">
        <w:rPr>
          <w:rFonts w:ascii="Myriad Pro" w:hAnsi="Myriad Pro"/>
          <w:b w:val="0"/>
          <w:bCs w:val="0"/>
          <w:sz w:val="22"/>
          <w:szCs w:val="22"/>
        </w:rPr>
        <w:t>Cotton Valley episode</w:t>
      </w:r>
      <w:r w:rsidR="004A240B" w:rsidRPr="00F6282B">
        <w:rPr>
          <w:rFonts w:ascii="Myriad Pro" w:hAnsi="Myriad Pro"/>
          <w:b w:val="0"/>
          <w:bCs w:val="0"/>
          <w:sz w:val="22"/>
          <w:szCs w:val="22"/>
        </w:rPr>
        <w:t xml:space="preserve"> catalog</w:t>
      </w:r>
      <w:r w:rsidR="004A240B">
        <w:rPr>
          <w:rFonts w:ascii="Myriad Pro" w:hAnsi="Myriad Pro"/>
          <w:b w:val="0"/>
          <w:bCs w:val="0"/>
          <w:sz w:val="22"/>
          <w:szCs w:val="22"/>
        </w:rPr>
        <w:t>.</w:t>
      </w:r>
    </w:p>
    <w:p w14:paraId="28A26E0B" w14:textId="06E3B3A4" w:rsidR="004A240B" w:rsidRDefault="004A240B">
      <w:r>
        <w:br w:type="page"/>
      </w:r>
    </w:p>
    <w:p w14:paraId="71F3C7F4"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7AF8463C" wp14:editId="21AB6ACD">
            <wp:extent cx="5933240" cy="2554712"/>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020211" cy="2592160"/>
                    </a:xfrm>
                    <a:prstGeom prst="rect">
                      <a:avLst/>
                    </a:prstGeom>
                  </pic:spPr>
                </pic:pic>
              </a:graphicData>
            </a:graphic>
          </wp:inline>
        </w:drawing>
      </w:r>
    </w:p>
    <w:p w14:paraId="5F085A89" w14:textId="325397BB" w:rsidR="009932D9" w:rsidRPr="00517B41" w:rsidRDefault="009932D9" w:rsidP="00AE4C49">
      <w:pPr>
        <w:pStyle w:val="SMHeading"/>
        <w:jc w:val="both"/>
        <w:rPr>
          <w:rFonts w:ascii="Myriad Pro" w:hAnsi="Myriad Pro"/>
          <w:sz w:val="22"/>
          <w:szCs w:val="22"/>
        </w:rPr>
      </w:pPr>
      <w:bookmarkStart w:id="57" w:name="_Toc162436060"/>
      <w:r w:rsidRPr="00517B41">
        <w:rPr>
          <w:rFonts w:ascii="Myriad Pro" w:hAnsi="Myriad Pro"/>
          <w:sz w:val="22"/>
          <w:szCs w:val="22"/>
        </w:rPr>
        <w:t>Figure S</w:t>
      </w:r>
      <w:r w:rsidR="00AE4C49">
        <w:rPr>
          <w:rFonts w:ascii="Myriad Pro" w:hAnsi="Myriad Pro"/>
          <w:sz w:val="22"/>
          <w:szCs w:val="22"/>
        </w:rPr>
        <w:t>34</w:t>
      </w:r>
      <w:r w:rsidRPr="00517B41">
        <w:rPr>
          <w:rFonts w:ascii="Myriad Pro" w:hAnsi="Myriad Pro"/>
          <w:sz w:val="22"/>
          <w:szCs w:val="22"/>
        </w:rPr>
        <w:t>.</w:t>
      </w:r>
      <w:bookmarkEnd w:id="57"/>
      <w:r w:rsidRPr="00517B41">
        <w:rPr>
          <w:rFonts w:ascii="Myriad Pro" w:hAnsi="Myriad Pro"/>
          <w:sz w:val="22"/>
          <w:szCs w:val="22"/>
        </w:rPr>
        <w:t xml:space="preserve"> Cumulative number of earthquakes above Mc versus time represented with black circles (Left y-axis) and injection rate versus time represented with red line (right y-axis). </w:t>
      </w:r>
      <w:r w:rsidRPr="00AE4C49">
        <w:rPr>
          <w:rFonts w:ascii="Myriad Pro" w:hAnsi="Myriad Pro"/>
          <w:b w:val="0"/>
          <w:bCs w:val="0"/>
          <w:sz w:val="22"/>
          <w:szCs w:val="22"/>
        </w:rPr>
        <w:t>The three stationary activity rate periods are noted with red-, green- and yellow-colored areas. The same colors are used in Fig. S</w:t>
      </w:r>
      <w:r w:rsidR="00AE4C49" w:rsidRPr="00AE4C49">
        <w:rPr>
          <w:rFonts w:ascii="Myriad Pro" w:hAnsi="Myriad Pro"/>
          <w:b w:val="0"/>
          <w:bCs w:val="0"/>
          <w:sz w:val="22"/>
          <w:szCs w:val="22"/>
        </w:rPr>
        <w:t>31</w:t>
      </w:r>
      <w:r w:rsidRPr="00AE4C49">
        <w:rPr>
          <w:rFonts w:ascii="Myriad Pro" w:hAnsi="Myriad Pro"/>
          <w:b w:val="0"/>
          <w:bCs w:val="0"/>
          <w:sz w:val="22"/>
          <w:szCs w:val="22"/>
        </w:rPr>
        <w:t xml:space="preserve"> for the epicentral distribution of earthquakes in those periods.</w:t>
      </w:r>
    </w:p>
    <w:p w14:paraId="5E862C09"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5C542F2F" w14:textId="77777777" w:rsidR="009932D9" w:rsidRPr="00517B41" w:rsidRDefault="009932D9" w:rsidP="009932D9">
      <w:pPr>
        <w:jc w:val="both"/>
        <w:rPr>
          <w:rFonts w:ascii="Myriad Pro" w:hAnsi="Myriad Pro"/>
          <w:sz w:val="22"/>
          <w:szCs w:val="22"/>
        </w:rPr>
      </w:pPr>
    </w:p>
    <w:p w14:paraId="24A2F6B7" w14:textId="4F71A1F8" w:rsidR="009932D9" w:rsidRPr="00517B41" w:rsidRDefault="00834103" w:rsidP="009932D9">
      <w:pPr>
        <w:jc w:val="center"/>
        <w:rPr>
          <w:rFonts w:ascii="Myriad Pro" w:hAnsi="Myriad Pro"/>
          <w:sz w:val="22"/>
          <w:szCs w:val="22"/>
        </w:rPr>
      </w:pPr>
      <w:r>
        <w:rPr>
          <w:rFonts w:ascii="Myriad Pro" w:hAnsi="Myriad Pro"/>
          <w:noProof/>
          <w:sz w:val="22"/>
          <w:szCs w:val="22"/>
          <w:lang w:val="en-IN" w:eastAsia="en-IN"/>
        </w:rPr>
        <w:drawing>
          <wp:inline distT="0" distB="0" distL="0" distR="0" wp14:anchorId="555F98AF" wp14:editId="134BF018">
            <wp:extent cx="5275385" cy="4563452"/>
            <wp:effectExtent l="0" t="0" r="1905" b="8890"/>
            <wp:docPr id="622849550" name="Picture 622849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50" name="Picture 622849550"/>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279464" cy="4566981"/>
                    </a:xfrm>
                    <a:prstGeom prst="rect">
                      <a:avLst/>
                    </a:prstGeom>
                  </pic:spPr>
                </pic:pic>
              </a:graphicData>
            </a:graphic>
          </wp:inline>
        </w:drawing>
      </w:r>
    </w:p>
    <w:p w14:paraId="1000575A" w14:textId="53FF2CB6" w:rsidR="009932D9" w:rsidRPr="00517B41" w:rsidRDefault="009932D9" w:rsidP="00E9265B">
      <w:pPr>
        <w:pStyle w:val="SMHeading"/>
        <w:jc w:val="both"/>
        <w:rPr>
          <w:rFonts w:ascii="Myriad Pro" w:hAnsi="Myriad Pro"/>
          <w:sz w:val="22"/>
          <w:szCs w:val="22"/>
        </w:rPr>
      </w:pPr>
      <w:bookmarkStart w:id="58" w:name="_Toc162436061"/>
      <w:r w:rsidRPr="00517B41">
        <w:rPr>
          <w:rFonts w:ascii="Myriad Pro" w:hAnsi="Myriad Pro"/>
          <w:sz w:val="22"/>
          <w:szCs w:val="22"/>
        </w:rPr>
        <w:t>Figure S</w:t>
      </w:r>
      <w:r w:rsidR="00E9265B">
        <w:rPr>
          <w:rFonts w:ascii="Myriad Pro" w:hAnsi="Myriad Pro"/>
          <w:sz w:val="22"/>
          <w:szCs w:val="22"/>
        </w:rPr>
        <w:t>35</w:t>
      </w:r>
      <w:r w:rsidRPr="00517B41">
        <w:rPr>
          <w:rFonts w:ascii="Myriad Pro" w:hAnsi="Myriad Pro"/>
          <w:sz w:val="22"/>
          <w:szCs w:val="22"/>
        </w:rPr>
        <w:t>.</w:t>
      </w:r>
      <w:bookmarkEnd w:id="58"/>
      <w:r w:rsidRPr="00517B41">
        <w:rPr>
          <w:rFonts w:ascii="Myriad Pro" w:hAnsi="Myriad Pro"/>
          <w:sz w:val="22"/>
          <w:szCs w:val="22"/>
        </w:rPr>
        <w:t xml:space="preserve"> (a) </w:t>
      </w:r>
      <w:r w:rsidRPr="00E9265B">
        <w:rPr>
          <w:rFonts w:ascii="Myriad Pro" w:hAnsi="Myriad Pro"/>
          <w:b w:val="0"/>
          <w:bCs w:val="0"/>
          <w:sz w:val="22"/>
          <w:szCs w:val="22"/>
        </w:rPr>
        <w:t xml:space="preserve">Seismicity of the Groningen field Episode catalog represented by gray histograms in 180-day bins and </w:t>
      </w:r>
      <w:r w:rsidRPr="00E9265B">
        <w:rPr>
          <w:rFonts w:ascii="Myriad Pro" w:hAnsi="Myriad Pro"/>
          <w:sz w:val="22"/>
          <w:szCs w:val="22"/>
        </w:rPr>
        <w:t>(b)</w:t>
      </w:r>
      <w:r w:rsidRPr="00E9265B">
        <w:rPr>
          <w:rFonts w:ascii="Myriad Pro" w:hAnsi="Myriad Pro"/>
          <w:b w:val="0"/>
          <w:bCs w:val="0"/>
          <w:sz w:val="22"/>
          <w:szCs w:val="22"/>
        </w:rPr>
        <w:t xml:space="preserve"> evolution of the completeness level of the earthquakes estimated with the Maximum Curvature method (red line) along with the recorded earthquake magnitudes (blue circles)</w:t>
      </w:r>
      <w:r w:rsidRPr="00517B41">
        <w:rPr>
          <w:rFonts w:ascii="Myriad Pro" w:hAnsi="Myriad Pro"/>
          <w:sz w:val="22"/>
          <w:szCs w:val="22"/>
        </w:rPr>
        <w:t xml:space="preserve"> </w:t>
      </w:r>
    </w:p>
    <w:p w14:paraId="7823DFEC" w14:textId="7F631D9A" w:rsidR="00E9265B" w:rsidRDefault="00E9265B">
      <w:pPr>
        <w:rPr>
          <w:rFonts w:ascii="Myriad Pro" w:hAnsi="Myriad Pro"/>
          <w:sz w:val="22"/>
          <w:szCs w:val="22"/>
        </w:rPr>
      </w:pPr>
      <w:r>
        <w:rPr>
          <w:rFonts w:ascii="Myriad Pro" w:hAnsi="Myriad Pro"/>
          <w:sz w:val="22"/>
          <w:szCs w:val="22"/>
        </w:rPr>
        <w:br w:type="page"/>
      </w:r>
    </w:p>
    <w:p w14:paraId="135264D6" w14:textId="38E82DA5" w:rsidR="009932D9" w:rsidRPr="00517B41" w:rsidRDefault="00005543"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3E2BE118" wp14:editId="0258E51D">
            <wp:extent cx="5293110" cy="4886325"/>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294164" cy="4887298"/>
                    </a:xfrm>
                    <a:prstGeom prst="rect">
                      <a:avLst/>
                    </a:prstGeom>
                  </pic:spPr>
                </pic:pic>
              </a:graphicData>
            </a:graphic>
          </wp:inline>
        </w:drawing>
      </w:r>
    </w:p>
    <w:p w14:paraId="521B54B9" w14:textId="6157EEE3" w:rsidR="009932D9" w:rsidRPr="00517B41" w:rsidRDefault="009932D9" w:rsidP="00156A3C">
      <w:pPr>
        <w:pStyle w:val="SMHeading"/>
        <w:jc w:val="both"/>
        <w:rPr>
          <w:rFonts w:ascii="Myriad Pro" w:hAnsi="Myriad Pro"/>
          <w:sz w:val="22"/>
          <w:szCs w:val="22"/>
        </w:rPr>
      </w:pPr>
      <w:bookmarkStart w:id="59" w:name="_Toc162436062"/>
      <w:r w:rsidRPr="00517B41">
        <w:rPr>
          <w:rFonts w:ascii="Myriad Pro" w:hAnsi="Myriad Pro"/>
          <w:sz w:val="22"/>
          <w:szCs w:val="22"/>
        </w:rPr>
        <w:t>Figure S</w:t>
      </w:r>
      <w:r w:rsidR="00E9265B">
        <w:rPr>
          <w:rFonts w:ascii="Myriad Pro" w:hAnsi="Myriad Pro"/>
          <w:sz w:val="22"/>
          <w:szCs w:val="22"/>
        </w:rPr>
        <w:t>36</w:t>
      </w:r>
      <w:r w:rsidRPr="00517B41">
        <w:rPr>
          <w:rFonts w:ascii="Myriad Pro" w:hAnsi="Myriad Pro"/>
          <w:sz w:val="22"/>
          <w:szCs w:val="22"/>
        </w:rPr>
        <w:t>.</w:t>
      </w:r>
      <w:bookmarkEnd w:id="59"/>
      <w:r w:rsidRPr="00517B41">
        <w:rPr>
          <w:rFonts w:ascii="Myriad Pro" w:hAnsi="Myriad Pro"/>
          <w:sz w:val="22"/>
          <w:szCs w:val="22"/>
        </w:rPr>
        <w:t xml:space="preserve"> Epicentral distribution of the seismicity of the north eastern part of the Groningen episode catalog. </w:t>
      </w:r>
      <w:r w:rsidRPr="00E9265B">
        <w:rPr>
          <w:rFonts w:ascii="Myriad Pro" w:hAnsi="Myriad Pro"/>
          <w:b w:val="0"/>
          <w:bCs w:val="0"/>
          <w:sz w:val="22"/>
          <w:szCs w:val="22"/>
        </w:rPr>
        <w:t>The unused earthquakes for magnitude complexity testing are depicted in gray colors. The earthquake subcatalogs that were selected to assess the magnitude distribution complexity are represented by red, green and yellow circles. The production cluster positions are plotted as white diamonds.</w:t>
      </w:r>
    </w:p>
    <w:p w14:paraId="7D8E1206" w14:textId="58C54FD5" w:rsidR="000C759C" w:rsidRDefault="000C759C">
      <w:pPr>
        <w:rPr>
          <w:rFonts w:ascii="Myriad Pro" w:hAnsi="Myriad Pro"/>
          <w:sz w:val="22"/>
          <w:szCs w:val="22"/>
        </w:rPr>
      </w:pPr>
      <w:r>
        <w:rPr>
          <w:rFonts w:ascii="Myriad Pro" w:hAnsi="Myriad Pro"/>
          <w:sz w:val="22"/>
          <w:szCs w:val="22"/>
        </w:rPr>
        <w:br w:type="page"/>
      </w:r>
    </w:p>
    <w:p w14:paraId="2494755F" w14:textId="6C82BF17" w:rsidR="009932D9" w:rsidRPr="00517B41" w:rsidRDefault="00005543"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6EE9D029" wp14:editId="37DE58F8">
            <wp:extent cx="5486400" cy="18789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486400" cy="1878965"/>
                    </a:xfrm>
                    <a:prstGeom prst="rect">
                      <a:avLst/>
                    </a:prstGeom>
                  </pic:spPr>
                </pic:pic>
              </a:graphicData>
            </a:graphic>
          </wp:inline>
        </w:drawing>
      </w:r>
    </w:p>
    <w:p w14:paraId="62EECAB2" w14:textId="33601527" w:rsidR="009932D9" w:rsidRPr="00517B41" w:rsidRDefault="009932D9" w:rsidP="001C4E6B">
      <w:pPr>
        <w:pStyle w:val="SMHeading"/>
        <w:jc w:val="both"/>
        <w:rPr>
          <w:rFonts w:ascii="Myriad Pro" w:hAnsi="Myriad Pro"/>
          <w:sz w:val="22"/>
          <w:szCs w:val="22"/>
        </w:rPr>
      </w:pPr>
      <w:bookmarkStart w:id="60" w:name="_Toc162436063"/>
      <w:r w:rsidRPr="00517B41">
        <w:rPr>
          <w:rFonts w:ascii="Myriad Pro" w:hAnsi="Myriad Pro"/>
          <w:sz w:val="22"/>
          <w:szCs w:val="22"/>
        </w:rPr>
        <w:t>Figure S</w:t>
      </w:r>
      <w:r w:rsidR="00F935D8">
        <w:rPr>
          <w:rFonts w:ascii="Myriad Pro" w:hAnsi="Myriad Pro"/>
          <w:sz w:val="22"/>
          <w:szCs w:val="22"/>
        </w:rPr>
        <w:t>3</w:t>
      </w:r>
      <w:r w:rsidR="001C4E6B">
        <w:rPr>
          <w:rFonts w:ascii="Myriad Pro" w:hAnsi="Myriad Pro"/>
          <w:sz w:val="22"/>
          <w:szCs w:val="22"/>
        </w:rPr>
        <w:t>7</w:t>
      </w:r>
      <w:r w:rsidRPr="00517B41">
        <w:rPr>
          <w:rFonts w:ascii="Myriad Pro" w:hAnsi="Myriad Pro"/>
          <w:sz w:val="22"/>
          <w:szCs w:val="22"/>
        </w:rPr>
        <w:t>.</w:t>
      </w:r>
      <w:bookmarkEnd w:id="60"/>
      <w:r w:rsidRPr="00517B41">
        <w:rPr>
          <w:rFonts w:ascii="Myriad Pro" w:hAnsi="Myriad Pro"/>
          <w:sz w:val="22"/>
          <w:szCs w:val="22"/>
        </w:rPr>
        <w:t xml:space="preserve"> </w:t>
      </w:r>
      <w:r w:rsidRPr="001C4E6B">
        <w:rPr>
          <w:rFonts w:ascii="Myriad Pro" w:hAnsi="Myriad Pro"/>
          <w:b w:val="0"/>
          <w:bCs w:val="0"/>
          <w:sz w:val="22"/>
          <w:szCs w:val="22"/>
        </w:rPr>
        <w:t>Cumulative and incremental frequency magnitude distributions of Groningen filed catalog in the area shown in Fig. S</w:t>
      </w:r>
      <w:r w:rsidR="001C4E6B" w:rsidRPr="001C4E6B">
        <w:rPr>
          <w:rFonts w:ascii="Myriad Pro" w:hAnsi="Myriad Pro"/>
          <w:b w:val="0"/>
          <w:bCs w:val="0"/>
          <w:sz w:val="22"/>
          <w:szCs w:val="22"/>
        </w:rPr>
        <w:t>3</w:t>
      </w:r>
      <w:r w:rsidR="001C4E6B">
        <w:rPr>
          <w:rFonts w:ascii="Myriad Pro" w:hAnsi="Myriad Pro"/>
          <w:b w:val="0"/>
          <w:bCs w:val="0"/>
          <w:sz w:val="22"/>
          <w:szCs w:val="22"/>
        </w:rPr>
        <w:t>6</w:t>
      </w:r>
      <w:r w:rsidRPr="001C4E6B">
        <w:rPr>
          <w:rFonts w:ascii="Myriad Pro" w:hAnsi="Myriad Pro"/>
          <w:b w:val="0"/>
          <w:bCs w:val="0"/>
          <w:sz w:val="22"/>
          <w:szCs w:val="22"/>
        </w:rPr>
        <w:t xml:space="preserve"> for, </w:t>
      </w:r>
      <w:r w:rsidRPr="001C4E6B">
        <w:rPr>
          <w:rFonts w:ascii="Myriad Pro" w:hAnsi="Myriad Pro"/>
          <w:sz w:val="22"/>
          <w:szCs w:val="22"/>
        </w:rPr>
        <w:t xml:space="preserve">(a) </w:t>
      </w:r>
      <w:r w:rsidRPr="001C4E6B">
        <w:rPr>
          <w:rFonts w:ascii="Myriad Pro" w:hAnsi="Myriad Pro"/>
          <w:b w:val="0"/>
          <w:bCs w:val="0"/>
          <w:sz w:val="22"/>
          <w:szCs w:val="22"/>
        </w:rPr>
        <w:t xml:space="preserve">the first examined period between December 1991 and February 2011 and </w:t>
      </w:r>
      <w:r w:rsidRPr="001C4E6B">
        <w:rPr>
          <w:rFonts w:ascii="Myriad Pro" w:hAnsi="Myriad Pro"/>
          <w:sz w:val="22"/>
          <w:szCs w:val="22"/>
        </w:rPr>
        <w:t>(b)</w:t>
      </w:r>
      <w:r w:rsidRPr="001C4E6B">
        <w:rPr>
          <w:rFonts w:ascii="Myriad Pro" w:hAnsi="Myriad Pro"/>
          <w:b w:val="0"/>
          <w:bCs w:val="0"/>
          <w:sz w:val="22"/>
          <w:szCs w:val="22"/>
        </w:rPr>
        <w:t xml:space="preserve"> the second examined period between February 2011 and </w:t>
      </w:r>
      <w:r w:rsidR="00A31FDC" w:rsidRPr="001C4E6B">
        <w:rPr>
          <w:rFonts w:ascii="Myriad Pro" w:hAnsi="Myriad Pro"/>
          <w:b w:val="0"/>
          <w:bCs w:val="0"/>
          <w:sz w:val="22"/>
          <w:szCs w:val="22"/>
        </w:rPr>
        <w:t xml:space="preserve">mid-February 2015 and </w:t>
      </w:r>
      <w:r w:rsidR="00A31FDC" w:rsidRPr="001C4E6B">
        <w:rPr>
          <w:rFonts w:ascii="Myriad Pro" w:hAnsi="Myriad Pro"/>
          <w:sz w:val="22"/>
          <w:szCs w:val="22"/>
        </w:rPr>
        <w:t>(c)</w:t>
      </w:r>
      <w:r w:rsidR="00A31FDC" w:rsidRPr="001C4E6B">
        <w:rPr>
          <w:rFonts w:ascii="Myriad Pro" w:hAnsi="Myriad Pro"/>
          <w:b w:val="0"/>
          <w:bCs w:val="0"/>
          <w:sz w:val="22"/>
          <w:szCs w:val="22"/>
        </w:rPr>
        <w:t xml:space="preserve"> the third examined period from</w:t>
      </w:r>
      <w:r w:rsidR="00D35F57" w:rsidRPr="001C4E6B">
        <w:rPr>
          <w:rFonts w:ascii="Myriad Pro" w:hAnsi="Myriad Pro"/>
          <w:b w:val="0"/>
          <w:bCs w:val="0"/>
          <w:sz w:val="22"/>
          <w:szCs w:val="22"/>
        </w:rPr>
        <w:t xml:space="preserve"> mid-February 2015 until</w:t>
      </w:r>
      <w:r w:rsidR="00A31FDC" w:rsidRPr="001C4E6B">
        <w:rPr>
          <w:rFonts w:ascii="Myriad Pro" w:hAnsi="Myriad Pro"/>
          <w:b w:val="0"/>
          <w:bCs w:val="0"/>
          <w:sz w:val="22"/>
          <w:szCs w:val="22"/>
        </w:rPr>
        <w:t xml:space="preserve"> </w:t>
      </w:r>
      <w:r w:rsidRPr="001C4E6B">
        <w:rPr>
          <w:rFonts w:ascii="Myriad Pro" w:hAnsi="Myriad Pro"/>
          <w:b w:val="0"/>
          <w:bCs w:val="0"/>
          <w:sz w:val="22"/>
          <w:szCs w:val="22"/>
        </w:rPr>
        <w:t xml:space="preserve">July 2022. The </w:t>
      </w:r>
      <w:r w:rsidR="00D35F57" w:rsidRPr="001C4E6B">
        <w:rPr>
          <w:rFonts w:ascii="Myriad Pro" w:hAnsi="Myriad Pro"/>
          <w:b w:val="0"/>
          <w:bCs w:val="0"/>
          <w:sz w:val="22"/>
          <w:szCs w:val="22"/>
        </w:rPr>
        <w:t>selected</w:t>
      </w:r>
      <w:r w:rsidRPr="001C4E6B">
        <w:rPr>
          <w:rFonts w:ascii="Myriad Pro" w:hAnsi="Myriad Pro"/>
          <w:b w:val="0"/>
          <w:bCs w:val="0"/>
          <w:sz w:val="22"/>
          <w:szCs w:val="22"/>
        </w:rPr>
        <w:t xml:space="preserve"> magnitudes of completeness are marked by the vertical red lines.</w:t>
      </w:r>
    </w:p>
    <w:p w14:paraId="0648FFAB" w14:textId="08183D6E" w:rsidR="009932D9" w:rsidRDefault="009932D9" w:rsidP="009932D9">
      <w:pPr>
        <w:rPr>
          <w:rFonts w:ascii="Myriad Pro" w:hAnsi="Myriad Pro"/>
          <w:sz w:val="22"/>
          <w:szCs w:val="22"/>
        </w:rPr>
      </w:pPr>
    </w:p>
    <w:p w14:paraId="3E196330" w14:textId="77777777" w:rsidR="001C4E6B" w:rsidRDefault="001C4E6B" w:rsidP="009932D9">
      <w:pPr>
        <w:rPr>
          <w:rFonts w:ascii="Myriad Pro" w:hAnsi="Myriad Pro"/>
          <w:sz w:val="22"/>
          <w:szCs w:val="22"/>
        </w:rPr>
      </w:pPr>
    </w:p>
    <w:p w14:paraId="0F7D12F0" w14:textId="21E39710" w:rsidR="001C4E6B" w:rsidRDefault="001C4E6B" w:rsidP="009932D9">
      <w:pPr>
        <w:rPr>
          <w:rFonts w:ascii="Myriad Pro" w:hAnsi="Myriad Pro"/>
          <w:sz w:val="22"/>
          <w:szCs w:val="22"/>
        </w:rPr>
      </w:pPr>
      <w:r>
        <w:rPr>
          <w:rFonts w:ascii="Myriad Pro" w:hAnsi="Myriad Pro"/>
          <w:noProof/>
          <w:sz w:val="22"/>
          <w:szCs w:val="22"/>
          <w:lang w:val="en-IN" w:eastAsia="en-IN"/>
        </w:rPr>
        <w:drawing>
          <wp:inline distT="0" distB="0" distL="0" distR="0" wp14:anchorId="332700CD" wp14:editId="3DD7B519">
            <wp:extent cx="5676900" cy="2265504"/>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684584" cy="2268571"/>
                    </a:xfrm>
                    <a:prstGeom prst="rect">
                      <a:avLst/>
                    </a:prstGeom>
                  </pic:spPr>
                </pic:pic>
              </a:graphicData>
            </a:graphic>
          </wp:inline>
        </w:drawing>
      </w:r>
    </w:p>
    <w:p w14:paraId="6F5AB9BC" w14:textId="14AEF7CB" w:rsidR="001C4E6B" w:rsidRPr="00517B41" w:rsidRDefault="001C4E6B" w:rsidP="001C4E6B">
      <w:pPr>
        <w:pStyle w:val="SMHeading"/>
        <w:jc w:val="both"/>
        <w:rPr>
          <w:rFonts w:ascii="Myriad Pro" w:hAnsi="Myriad Pro"/>
          <w:sz w:val="22"/>
          <w:szCs w:val="22"/>
        </w:rPr>
      </w:pPr>
      <w:r w:rsidRPr="00517B41">
        <w:rPr>
          <w:rFonts w:ascii="Myriad Pro" w:hAnsi="Myriad Pro"/>
          <w:sz w:val="22"/>
          <w:szCs w:val="22"/>
        </w:rPr>
        <w:t>Figure S</w:t>
      </w:r>
      <w:r>
        <w:rPr>
          <w:rFonts w:ascii="Myriad Pro" w:hAnsi="Myriad Pro"/>
          <w:sz w:val="22"/>
          <w:szCs w:val="22"/>
        </w:rPr>
        <w:t>38</w:t>
      </w:r>
      <w:r w:rsidRPr="00517B41">
        <w:rPr>
          <w:rFonts w:ascii="Myriad Pro" w:hAnsi="Myriad Pro"/>
          <w:sz w:val="22"/>
          <w:szCs w:val="22"/>
        </w:rPr>
        <w:t xml:space="preserve">. </w:t>
      </w:r>
      <w:r>
        <w:rPr>
          <w:rFonts w:ascii="Myriad Pro" w:hAnsi="Myriad Pro"/>
          <w:b w:val="0"/>
          <w:bCs w:val="0"/>
          <w:sz w:val="22"/>
          <w:szCs w:val="22"/>
        </w:rPr>
        <w:t>S</w:t>
      </w:r>
      <w:r w:rsidRPr="003249D8">
        <w:rPr>
          <w:rFonts w:ascii="Myriad Pro" w:hAnsi="Myriad Pro"/>
          <w:b w:val="0"/>
          <w:bCs w:val="0"/>
          <w:sz w:val="22"/>
          <w:szCs w:val="22"/>
        </w:rPr>
        <w:t xml:space="preserve">patial distribution of the magnitude of completeness over a gridded area for </w:t>
      </w:r>
      <w:r>
        <w:rPr>
          <w:rFonts w:ascii="Myriad Pro" w:hAnsi="Myriad Pro"/>
          <w:b w:val="0"/>
          <w:bCs w:val="0"/>
          <w:sz w:val="22"/>
          <w:szCs w:val="22"/>
        </w:rPr>
        <w:t xml:space="preserve">the </w:t>
      </w:r>
      <w:r w:rsidR="000A65BE">
        <w:rPr>
          <w:rFonts w:ascii="Myriad Pro" w:hAnsi="Myriad Pro"/>
          <w:b w:val="0"/>
          <w:bCs w:val="0"/>
          <w:sz w:val="22"/>
          <w:szCs w:val="22"/>
        </w:rPr>
        <w:t>selected time periods</w:t>
      </w:r>
      <w:r>
        <w:rPr>
          <w:rFonts w:ascii="Myriad Pro" w:hAnsi="Myriad Pro"/>
          <w:b w:val="0"/>
          <w:bCs w:val="0"/>
          <w:sz w:val="22"/>
          <w:szCs w:val="22"/>
        </w:rPr>
        <w:t xml:space="preserve"> of the Groningen field episode</w:t>
      </w:r>
      <w:r w:rsidRPr="00A26096">
        <w:rPr>
          <w:rFonts w:ascii="Myriad Pro" w:hAnsi="Myriad Pro"/>
          <w:b w:val="0"/>
          <w:bCs w:val="0"/>
          <w:sz w:val="22"/>
          <w:szCs w:val="22"/>
        </w:rPr>
        <w:t xml:space="preserve"> catalog</w:t>
      </w:r>
      <w:r>
        <w:rPr>
          <w:rFonts w:ascii="Myriad Pro" w:hAnsi="Myriad Pro"/>
          <w:b w:val="0"/>
          <w:bCs w:val="0"/>
          <w:sz w:val="22"/>
          <w:szCs w:val="22"/>
        </w:rPr>
        <w:t xml:space="preserve">. </w:t>
      </w:r>
    </w:p>
    <w:p w14:paraId="3B17837D" w14:textId="41F152C8" w:rsidR="001C4E6B" w:rsidRPr="00517B41" w:rsidRDefault="001C4E6B" w:rsidP="009932D9">
      <w:pPr>
        <w:rPr>
          <w:rFonts w:ascii="Myriad Pro" w:hAnsi="Myriad Pro"/>
          <w:sz w:val="22"/>
          <w:szCs w:val="22"/>
        </w:rPr>
      </w:pPr>
      <w:r>
        <w:rPr>
          <w:rFonts w:ascii="Myriad Pro" w:hAnsi="Myriad Pro"/>
          <w:sz w:val="22"/>
          <w:szCs w:val="22"/>
        </w:rPr>
        <w:br w:type="page"/>
      </w:r>
    </w:p>
    <w:p w14:paraId="3984E8A9" w14:textId="719833BB" w:rsidR="009932D9" w:rsidRPr="00517B41" w:rsidRDefault="00005543"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770586FD" wp14:editId="57935B1B">
            <wp:extent cx="5486400" cy="245364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486400" cy="2453640"/>
                    </a:xfrm>
                    <a:prstGeom prst="rect">
                      <a:avLst/>
                    </a:prstGeom>
                  </pic:spPr>
                </pic:pic>
              </a:graphicData>
            </a:graphic>
          </wp:inline>
        </w:drawing>
      </w:r>
    </w:p>
    <w:p w14:paraId="5D164EDF" w14:textId="3272EE7B" w:rsidR="009932D9" w:rsidRPr="00517B41" w:rsidRDefault="009932D9" w:rsidP="00ED338B">
      <w:pPr>
        <w:pStyle w:val="SMHeading"/>
        <w:jc w:val="both"/>
        <w:rPr>
          <w:rFonts w:ascii="Myriad Pro" w:hAnsi="Myriad Pro"/>
          <w:sz w:val="22"/>
          <w:szCs w:val="22"/>
        </w:rPr>
      </w:pPr>
      <w:bookmarkStart w:id="61" w:name="_Toc162436064"/>
      <w:r w:rsidRPr="00517B41">
        <w:rPr>
          <w:rFonts w:ascii="Myriad Pro" w:hAnsi="Myriad Pro"/>
          <w:sz w:val="22"/>
          <w:szCs w:val="22"/>
        </w:rPr>
        <w:t>Figure S</w:t>
      </w:r>
      <w:r w:rsidR="00F935D8">
        <w:rPr>
          <w:rFonts w:ascii="Myriad Pro" w:hAnsi="Myriad Pro"/>
          <w:sz w:val="22"/>
          <w:szCs w:val="22"/>
        </w:rPr>
        <w:t>3</w:t>
      </w:r>
      <w:r w:rsidR="000A65BE">
        <w:rPr>
          <w:rFonts w:ascii="Myriad Pro" w:hAnsi="Myriad Pro"/>
          <w:sz w:val="22"/>
          <w:szCs w:val="22"/>
        </w:rPr>
        <w:t>9</w:t>
      </w:r>
      <w:r w:rsidRPr="00517B41">
        <w:rPr>
          <w:rFonts w:ascii="Myriad Pro" w:hAnsi="Myriad Pro"/>
          <w:sz w:val="22"/>
          <w:szCs w:val="22"/>
        </w:rPr>
        <w:t>.</w:t>
      </w:r>
      <w:bookmarkEnd w:id="61"/>
      <w:r w:rsidRPr="00517B41">
        <w:rPr>
          <w:rFonts w:ascii="Myriad Pro" w:hAnsi="Myriad Pro"/>
          <w:sz w:val="22"/>
          <w:szCs w:val="22"/>
        </w:rPr>
        <w:t xml:space="preserve"> Cumulative number of earthquakes above Mc versus time represented with black circles for (a) </w:t>
      </w:r>
      <w:r w:rsidRPr="00ED338B">
        <w:rPr>
          <w:rFonts w:ascii="Myriad Pro" w:hAnsi="Myriad Pro"/>
          <w:b w:val="0"/>
          <w:bCs w:val="0"/>
          <w:sz w:val="22"/>
          <w:szCs w:val="22"/>
        </w:rPr>
        <w:t xml:space="preserve">the first examined period between December 1991 and </w:t>
      </w:r>
      <w:r w:rsidR="00985678" w:rsidRPr="00ED338B">
        <w:rPr>
          <w:rFonts w:ascii="Myriad Pro" w:hAnsi="Myriad Pro"/>
          <w:b w:val="0"/>
          <w:bCs w:val="0"/>
          <w:sz w:val="22"/>
          <w:szCs w:val="22"/>
        </w:rPr>
        <w:t>December</w:t>
      </w:r>
      <w:r w:rsidRPr="00ED338B">
        <w:rPr>
          <w:rFonts w:ascii="Myriad Pro" w:hAnsi="Myriad Pro"/>
          <w:b w:val="0"/>
          <w:bCs w:val="0"/>
          <w:sz w:val="22"/>
          <w:szCs w:val="22"/>
        </w:rPr>
        <w:t xml:space="preserve"> 2011 and </w:t>
      </w:r>
      <w:r w:rsidRPr="00ED338B">
        <w:rPr>
          <w:rFonts w:ascii="Myriad Pro" w:hAnsi="Myriad Pro"/>
          <w:sz w:val="22"/>
          <w:szCs w:val="22"/>
        </w:rPr>
        <w:t>(b)</w:t>
      </w:r>
      <w:r w:rsidRPr="00ED338B">
        <w:rPr>
          <w:rFonts w:ascii="Myriad Pro" w:hAnsi="Myriad Pro"/>
          <w:b w:val="0"/>
          <w:bCs w:val="0"/>
          <w:sz w:val="22"/>
          <w:szCs w:val="22"/>
        </w:rPr>
        <w:t xml:space="preserve"> the second examined period between </w:t>
      </w:r>
      <w:r w:rsidR="00985678" w:rsidRPr="00ED338B">
        <w:rPr>
          <w:rFonts w:ascii="Myriad Pro" w:hAnsi="Myriad Pro"/>
          <w:b w:val="0"/>
          <w:bCs w:val="0"/>
          <w:sz w:val="22"/>
          <w:szCs w:val="22"/>
        </w:rPr>
        <w:t>December</w:t>
      </w:r>
      <w:r w:rsidRPr="00ED338B">
        <w:rPr>
          <w:rFonts w:ascii="Myriad Pro" w:hAnsi="Myriad Pro"/>
          <w:b w:val="0"/>
          <w:bCs w:val="0"/>
          <w:sz w:val="22"/>
          <w:szCs w:val="22"/>
        </w:rPr>
        <w:t xml:space="preserve"> 2011 and </w:t>
      </w:r>
      <w:r w:rsidR="00A55B6A" w:rsidRPr="00ED338B">
        <w:rPr>
          <w:rFonts w:ascii="Myriad Pro" w:hAnsi="Myriad Pro"/>
          <w:b w:val="0"/>
          <w:bCs w:val="0"/>
          <w:sz w:val="22"/>
          <w:szCs w:val="22"/>
        </w:rPr>
        <w:t xml:space="preserve">mid-February 2015 and </w:t>
      </w:r>
      <w:r w:rsidR="00A55B6A" w:rsidRPr="00ED338B">
        <w:rPr>
          <w:rFonts w:ascii="Myriad Pro" w:hAnsi="Myriad Pro"/>
          <w:sz w:val="22"/>
          <w:szCs w:val="22"/>
        </w:rPr>
        <w:t>(c)</w:t>
      </w:r>
      <w:r w:rsidR="00A55B6A" w:rsidRPr="00ED338B">
        <w:rPr>
          <w:rFonts w:ascii="Myriad Pro" w:hAnsi="Myriad Pro"/>
          <w:b w:val="0"/>
          <w:bCs w:val="0"/>
          <w:sz w:val="22"/>
          <w:szCs w:val="22"/>
        </w:rPr>
        <w:t xml:space="preserve"> the third period between mid-February 2015 until </w:t>
      </w:r>
      <w:r w:rsidRPr="00ED338B">
        <w:rPr>
          <w:rFonts w:ascii="Myriad Pro" w:hAnsi="Myriad Pro"/>
          <w:b w:val="0"/>
          <w:bCs w:val="0"/>
          <w:sz w:val="22"/>
          <w:szCs w:val="22"/>
        </w:rPr>
        <w:t xml:space="preserve">July 2022. The </w:t>
      </w:r>
      <w:r w:rsidR="00A55B6A" w:rsidRPr="00ED338B">
        <w:rPr>
          <w:rFonts w:ascii="Myriad Pro" w:hAnsi="Myriad Pro"/>
          <w:b w:val="0"/>
          <w:bCs w:val="0"/>
          <w:sz w:val="22"/>
          <w:szCs w:val="22"/>
        </w:rPr>
        <w:t>four</w:t>
      </w:r>
      <w:r w:rsidRPr="00ED338B">
        <w:rPr>
          <w:rFonts w:ascii="Myriad Pro" w:hAnsi="Myriad Pro"/>
          <w:b w:val="0"/>
          <w:bCs w:val="0"/>
          <w:sz w:val="22"/>
          <w:szCs w:val="22"/>
        </w:rPr>
        <w:t xml:space="preserve"> stationary activity rate periods are noted with red</w:t>
      </w:r>
      <w:r w:rsidR="00F9771B" w:rsidRPr="00ED338B">
        <w:rPr>
          <w:rFonts w:ascii="Myriad Pro" w:hAnsi="Myriad Pro"/>
          <w:b w:val="0"/>
          <w:bCs w:val="0"/>
          <w:sz w:val="22"/>
          <w:szCs w:val="22"/>
        </w:rPr>
        <w:t>,</w:t>
      </w:r>
      <w:r w:rsidRPr="00ED338B">
        <w:rPr>
          <w:rFonts w:ascii="Myriad Pro" w:hAnsi="Myriad Pro"/>
          <w:b w:val="0"/>
          <w:bCs w:val="0"/>
          <w:sz w:val="22"/>
          <w:szCs w:val="22"/>
        </w:rPr>
        <w:t xml:space="preserve"> green</w:t>
      </w:r>
      <w:r w:rsidR="00A55B6A" w:rsidRPr="00ED338B">
        <w:rPr>
          <w:rFonts w:ascii="Myriad Pro" w:hAnsi="Myriad Pro"/>
          <w:b w:val="0"/>
          <w:bCs w:val="0"/>
          <w:sz w:val="22"/>
          <w:szCs w:val="22"/>
        </w:rPr>
        <w:t>,</w:t>
      </w:r>
      <w:r w:rsidRPr="00ED338B">
        <w:rPr>
          <w:rFonts w:ascii="Myriad Pro" w:hAnsi="Myriad Pro"/>
          <w:b w:val="0"/>
          <w:bCs w:val="0"/>
          <w:sz w:val="22"/>
          <w:szCs w:val="22"/>
        </w:rPr>
        <w:t xml:space="preserve"> yellow</w:t>
      </w:r>
      <w:r w:rsidR="00A55B6A" w:rsidRPr="00ED338B">
        <w:rPr>
          <w:rFonts w:ascii="Myriad Pro" w:hAnsi="Myriad Pro"/>
          <w:b w:val="0"/>
          <w:bCs w:val="0"/>
          <w:sz w:val="22"/>
          <w:szCs w:val="22"/>
        </w:rPr>
        <w:t xml:space="preserve"> and blue</w:t>
      </w:r>
      <w:r w:rsidR="00F9771B" w:rsidRPr="00ED338B">
        <w:rPr>
          <w:rFonts w:ascii="Myriad Pro" w:hAnsi="Myriad Pro"/>
          <w:b w:val="0"/>
          <w:bCs w:val="0"/>
          <w:sz w:val="22"/>
          <w:szCs w:val="22"/>
        </w:rPr>
        <w:t xml:space="preserve"> </w:t>
      </w:r>
      <w:r w:rsidRPr="00ED338B">
        <w:rPr>
          <w:rFonts w:ascii="Myriad Pro" w:hAnsi="Myriad Pro"/>
          <w:b w:val="0"/>
          <w:bCs w:val="0"/>
          <w:sz w:val="22"/>
          <w:szCs w:val="22"/>
        </w:rPr>
        <w:t>colored areas. The same colors are used in Fig. S</w:t>
      </w:r>
      <w:r w:rsidR="00ED338B">
        <w:rPr>
          <w:rFonts w:ascii="Myriad Pro" w:hAnsi="Myriad Pro"/>
          <w:b w:val="0"/>
          <w:bCs w:val="0"/>
          <w:sz w:val="22"/>
          <w:szCs w:val="22"/>
        </w:rPr>
        <w:t>3</w:t>
      </w:r>
      <w:r w:rsidR="000873DD">
        <w:rPr>
          <w:rFonts w:ascii="Myriad Pro" w:hAnsi="Myriad Pro"/>
          <w:b w:val="0"/>
          <w:bCs w:val="0"/>
          <w:sz w:val="22"/>
          <w:szCs w:val="22"/>
        </w:rPr>
        <w:t>6</w:t>
      </w:r>
      <w:r w:rsidRPr="00ED338B">
        <w:rPr>
          <w:rFonts w:ascii="Myriad Pro" w:hAnsi="Myriad Pro"/>
          <w:b w:val="0"/>
          <w:bCs w:val="0"/>
          <w:sz w:val="22"/>
          <w:szCs w:val="22"/>
        </w:rPr>
        <w:t xml:space="preserve"> for the epicentral distribution of earthquakes in those periods.</w:t>
      </w:r>
    </w:p>
    <w:p w14:paraId="3BDCB5FA"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1D3E170E"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65950EBC" wp14:editId="22633D1B">
            <wp:extent cx="5925665" cy="5397107"/>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62171" cy="5430357"/>
                    </a:xfrm>
                    <a:prstGeom prst="rect">
                      <a:avLst/>
                    </a:prstGeom>
                  </pic:spPr>
                </pic:pic>
              </a:graphicData>
            </a:graphic>
          </wp:inline>
        </w:drawing>
      </w:r>
    </w:p>
    <w:p w14:paraId="1C7EF7B2" w14:textId="46A0E37F" w:rsidR="009932D9" w:rsidRPr="00517B41" w:rsidRDefault="009932D9" w:rsidP="00ED338B">
      <w:pPr>
        <w:pStyle w:val="SMHeading"/>
        <w:jc w:val="both"/>
        <w:rPr>
          <w:rFonts w:ascii="Myriad Pro" w:hAnsi="Myriad Pro"/>
          <w:sz w:val="22"/>
          <w:szCs w:val="22"/>
        </w:rPr>
      </w:pPr>
      <w:bookmarkStart w:id="62" w:name="_Toc162436065"/>
      <w:r w:rsidRPr="00517B41">
        <w:rPr>
          <w:rFonts w:ascii="Myriad Pro" w:hAnsi="Myriad Pro"/>
          <w:sz w:val="22"/>
          <w:szCs w:val="22"/>
        </w:rPr>
        <w:t>Figure S</w:t>
      </w:r>
      <w:r w:rsidR="00ED338B">
        <w:rPr>
          <w:rFonts w:ascii="Myriad Pro" w:hAnsi="Myriad Pro"/>
          <w:sz w:val="22"/>
          <w:szCs w:val="22"/>
        </w:rPr>
        <w:t>40</w:t>
      </w:r>
      <w:r w:rsidRPr="00517B41">
        <w:rPr>
          <w:rFonts w:ascii="Myriad Pro" w:hAnsi="Myriad Pro"/>
          <w:sz w:val="22"/>
          <w:szCs w:val="22"/>
        </w:rPr>
        <w:t>.</w:t>
      </w:r>
      <w:bookmarkEnd w:id="62"/>
      <w:r w:rsidRPr="00517B41">
        <w:rPr>
          <w:rFonts w:ascii="Myriad Pro" w:hAnsi="Myriad Pro"/>
          <w:sz w:val="22"/>
          <w:szCs w:val="22"/>
        </w:rPr>
        <w:t xml:space="preserve"> (a) </w:t>
      </w:r>
      <w:r w:rsidRPr="00ED338B">
        <w:rPr>
          <w:rFonts w:ascii="Myriad Pro" w:hAnsi="Myriad Pro"/>
          <w:b w:val="0"/>
          <w:bCs w:val="0"/>
          <w:sz w:val="22"/>
          <w:szCs w:val="22"/>
        </w:rPr>
        <w:t xml:space="preserve">Seismicity of the LACQ field episode catalog represented by blue histograms in 6-month bins (left y-axis) along with total waste water injection represented by a red continuous line (right y-axis) and, </w:t>
      </w:r>
      <w:r w:rsidRPr="00ED338B">
        <w:rPr>
          <w:rFonts w:ascii="Myriad Pro" w:hAnsi="Myriad Pro"/>
          <w:sz w:val="22"/>
          <w:szCs w:val="22"/>
        </w:rPr>
        <w:t>(b)</w:t>
      </w:r>
      <w:r w:rsidRPr="00ED338B">
        <w:rPr>
          <w:rFonts w:ascii="Myriad Pro" w:hAnsi="Myriad Pro"/>
          <w:b w:val="0"/>
          <w:bCs w:val="0"/>
          <w:sz w:val="22"/>
          <w:szCs w:val="22"/>
        </w:rPr>
        <w:t xml:space="preserve"> evolution of the completeness level of the earthquakes estimated with the Maximum Curvature method (red line) along with the recorded earthquake magnitudes (blue circles)</w:t>
      </w:r>
      <w:r w:rsidRPr="00517B41">
        <w:rPr>
          <w:rFonts w:ascii="Myriad Pro" w:hAnsi="Myriad Pro"/>
          <w:sz w:val="22"/>
          <w:szCs w:val="22"/>
        </w:rPr>
        <w:t xml:space="preserve"> </w:t>
      </w:r>
    </w:p>
    <w:p w14:paraId="4DF12A93" w14:textId="77777777" w:rsidR="009932D9" w:rsidRPr="00517B41" w:rsidRDefault="009932D9" w:rsidP="009932D9">
      <w:pPr>
        <w:jc w:val="center"/>
        <w:rPr>
          <w:rFonts w:ascii="Myriad Pro" w:hAnsi="Myriad Pro"/>
          <w:sz w:val="22"/>
          <w:szCs w:val="22"/>
        </w:rPr>
      </w:pPr>
    </w:p>
    <w:p w14:paraId="37FB2B1C" w14:textId="00323709" w:rsidR="009932D9" w:rsidRPr="00517B41" w:rsidRDefault="00194619"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2176129D" wp14:editId="4663E8F3">
            <wp:extent cx="3333750" cy="3352272"/>
            <wp:effectExtent l="0" t="0" r="0" b="635"/>
            <wp:docPr id="622849555" name="Picture 622849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55" name="Picture 62284955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347613" cy="3366212"/>
                    </a:xfrm>
                    <a:prstGeom prst="rect">
                      <a:avLst/>
                    </a:prstGeom>
                  </pic:spPr>
                </pic:pic>
              </a:graphicData>
            </a:graphic>
          </wp:inline>
        </w:drawing>
      </w:r>
    </w:p>
    <w:p w14:paraId="70044119" w14:textId="143E7AE3" w:rsidR="009932D9" w:rsidRPr="00517B41" w:rsidRDefault="009932D9" w:rsidP="00ED338B">
      <w:pPr>
        <w:pStyle w:val="SMHeading"/>
        <w:jc w:val="both"/>
        <w:rPr>
          <w:rFonts w:ascii="Myriad Pro" w:hAnsi="Myriad Pro"/>
          <w:sz w:val="22"/>
          <w:szCs w:val="22"/>
        </w:rPr>
      </w:pPr>
      <w:bookmarkStart w:id="63" w:name="_Toc162436066"/>
      <w:r w:rsidRPr="00517B41">
        <w:rPr>
          <w:rFonts w:ascii="Myriad Pro" w:hAnsi="Myriad Pro"/>
          <w:sz w:val="22"/>
          <w:szCs w:val="22"/>
        </w:rPr>
        <w:t>Figure S</w:t>
      </w:r>
      <w:r w:rsidR="00ED338B">
        <w:rPr>
          <w:rFonts w:ascii="Myriad Pro" w:hAnsi="Myriad Pro"/>
          <w:sz w:val="22"/>
          <w:szCs w:val="22"/>
        </w:rPr>
        <w:t>41</w:t>
      </w:r>
      <w:r w:rsidRPr="00517B41">
        <w:rPr>
          <w:rFonts w:ascii="Myriad Pro" w:hAnsi="Myriad Pro"/>
          <w:sz w:val="22"/>
          <w:szCs w:val="22"/>
        </w:rPr>
        <w:t>.</w:t>
      </w:r>
      <w:bookmarkEnd w:id="63"/>
      <w:r w:rsidRPr="00517B41">
        <w:rPr>
          <w:rFonts w:ascii="Myriad Pro" w:hAnsi="Myriad Pro"/>
          <w:sz w:val="22"/>
          <w:szCs w:val="22"/>
        </w:rPr>
        <w:t xml:space="preserve"> Epicentral distribution of the seismicity of the LACQ episode catalog. </w:t>
      </w:r>
      <w:r w:rsidRPr="00ED338B">
        <w:rPr>
          <w:rFonts w:ascii="Myriad Pro" w:hAnsi="Myriad Pro"/>
          <w:b w:val="0"/>
          <w:bCs w:val="0"/>
          <w:sz w:val="22"/>
          <w:szCs w:val="22"/>
        </w:rPr>
        <w:t>The unused earthquakes for magnitude complexity testing are depicted in gray colors. The earthquake subcatalogs that were selected to assess the magnitude distribution complexity are represented by red, green and yellow circles. The area of the Gas field is marked by the black continuous line.</w:t>
      </w:r>
    </w:p>
    <w:p w14:paraId="6E425C22" w14:textId="420D1BB6" w:rsidR="009932D9" w:rsidRPr="00517B41" w:rsidRDefault="009932D9" w:rsidP="009932D9">
      <w:pPr>
        <w:rPr>
          <w:rFonts w:ascii="Myriad Pro" w:hAnsi="Myriad Pro"/>
          <w:sz w:val="22"/>
          <w:szCs w:val="22"/>
        </w:rPr>
      </w:pPr>
    </w:p>
    <w:p w14:paraId="02D56E87" w14:textId="4764A366" w:rsidR="009932D9" w:rsidRPr="00517B41" w:rsidRDefault="002C2D79" w:rsidP="009932D9">
      <w:pPr>
        <w:jc w:val="center"/>
        <w:rPr>
          <w:rFonts w:ascii="Myriad Pro" w:hAnsi="Myriad Pro"/>
          <w:sz w:val="22"/>
          <w:szCs w:val="22"/>
        </w:rPr>
      </w:pPr>
      <w:r>
        <w:rPr>
          <w:rFonts w:ascii="Myriad Pro" w:hAnsi="Myriad Pro"/>
          <w:noProof/>
          <w:sz w:val="22"/>
          <w:szCs w:val="22"/>
          <w:lang w:val="en-IN" w:eastAsia="en-IN"/>
        </w:rPr>
        <w:drawing>
          <wp:inline distT="0" distB="0" distL="0" distR="0" wp14:anchorId="7ADD56D2" wp14:editId="21A8974E">
            <wp:extent cx="4829175" cy="2419618"/>
            <wp:effectExtent l="0" t="0" r="0" b="0"/>
            <wp:docPr id="622849553" name="Picture 622849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53" name="Picture 622849553"/>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923267" cy="2466762"/>
                    </a:xfrm>
                    <a:prstGeom prst="rect">
                      <a:avLst/>
                    </a:prstGeom>
                  </pic:spPr>
                </pic:pic>
              </a:graphicData>
            </a:graphic>
          </wp:inline>
        </w:drawing>
      </w:r>
    </w:p>
    <w:p w14:paraId="396DBA63" w14:textId="7B213B1A" w:rsidR="009932D9" w:rsidRPr="00517B41" w:rsidRDefault="009932D9" w:rsidP="00ED338B">
      <w:pPr>
        <w:pStyle w:val="SMHeading"/>
        <w:jc w:val="both"/>
        <w:rPr>
          <w:rFonts w:ascii="Myriad Pro" w:hAnsi="Myriad Pro"/>
          <w:sz w:val="22"/>
          <w:szCs w:val="22"/>
        </w:rPr>
      </w:pPr>
      <w:bookmarkStart w:id="64" w:name="_Toc162436067"/>
      <w:r w:rsidRPr="00517B41">
        <w:rPr>
          <w:rFonts w:ascii="Myriad Pro" w:hAnsi="Myriad Pro"/>
          <w:sz w:val="22"/>
          <w:szCs w:val="22"/>
        </w:rPr>
        <w:t>Figure S</w:t>
      </w:r>
      <w:r w:rsidR="00ED338B">
        <w:rPr>
          <w:rFonts w:ascii="Myriad Pro" w:hAnsi="Myriad Pro"/>
          <w:sz w:val="22"/>
          <w:szCs w:val="22"/>
        </w:rPr>
        <w:t>42</w:t>
      </w:r>
      <w:r w:rsidRPr="00517B41">
        <w:rPr>
          <w:rFonts w:ascii="Myriad Pro" w:hAnsi="Myriad Pro"/>
          <w:sz w:val="22"/>
          <w:szCs w:val="22"/>
        </w:rPr>
        <w:t>.</w:t>
      </w:r>
      <w:bookmarkEnd w:id="64"/>
      <w:r w:rsidRPr="00517B41">
        <w:rPr>
          <w:rFonts w:ascii="Myriad Pro" w:hAnsi="Myriad Pro"/>
          <w:sz w:val="22"/>
          <w:szCs w:val="22"/>
        </w:rPr>
        <w:t xml:space="preserve"> </w:t>
      </w:r>
      <w:r w:rsidRPr="00ED338B">
        <w:rPr>
          <w:rFonts w:ascii="Myriad Pro" w:hAnsi="Myriad Pro"/>
          <w:sz w:val="22"/>
          <w:szCs w:val="22"/>
        </w:rPr>
        <w:t>Cumulative and incremental frequency magnitude distributions of LACQ gas filed catalog</w:t>
      </w:r>
      <w:r w:rsidRPr="00ED338B">
        <w:rPr>
          <w:rFonts w:ascii="Myriad Pro" w:hAnsi="Myriad Pro"/>
          <w:b w:val="0"/>
          <w:bCs w:val="0"/>
          <w:sz w:val="22"/>
          <w:szCs w:val="22"/>
        </w:rPr>
        <w:t xml:space="preserve"> in the area shown in Fig. S</w:t>
      </w:r>
      <w:r w:rsidR="00ED338B">
        <w:rPr>
          <w:rFonts w:ascii="Myriad Pro" w:hAnsi="Myriad Pro"/>
          <w:b w:val="0"/>
          <w:bCs w:val="0"/>
          <w:sz w:val="22"/>
          <w:szCs w:val="22"/>
        </w:rPr>
        <w:t>41</w:t>
      </w:r>
      <w:r w:rsidRPr="00ED338B">
        <w:rPr>
          <w:rFonts w:ascii="Myriad Pro" w:hAnsi="Myriad Pro"/>
          <w:b w:val="0"/>
          <w:bCs w:val="0"/>
          <w:sz w:val="22"/>
          <w:szCs w:val="22"/>
        </w:rPr>
        <w:t xml:space="preserve"> for, </w:t>
      </w:r>
      <w:r w:rsidRPr="00ED338B">
        <w:rPr>
          <w:rFonts w:ascii="Myriad Pro" w:hAnsi="Myriad Pro"/>
          <w:sz w:val="22"/>
          <w:szCs w:val="22"/>
        </w:rPr>
        <w:t>(a)</w:t>
      </w:r>
      <w:r w:rsidRPr="00ED338B">
        <w:rPr>
          <w:rFonts w:ascii="Myriad Pro" w:hAnsi="Myriad Pro"/>
          <w:b w:val="0"/>
          <w:bCs w:val="0"/>
          <w:sz w:val="22"/>
          <w:szCs w:val="22"/>
        </w:rPr>
        <w:t xml:space="preserve"> the first examined period, pre-1996, and</w:t>
      </w:r>
      <w:r w:rsidRPr="00ED338B">
        <w:rPr>
          <w:rFonts w:ascii="Myriad Pro" w:hAnsi="Myriad Pro"/>
          <w:sz w:val="22"/>
          <w:szCs w:val="22"/>
        </w:rPr>
        <w:t>, (b)</w:t>
      </w:r>
      <w:r w:rsidRPr="00ED338B">
        <w:rPr>
          <w:rFonts w:ascii="Myriad Pro" w:hAnsi="Myriad Pro"/>
          <w:b w:val="0"/>
          <w:bCs w:val="0"/>
          <w:sz w:val="22"/>
          <w:szCs w:val="22"/>
        </w:rPr>
        <w:t xml:space="preserve"> the second examined period post 1996. The chosen magnitudes of completeness are marked by the vertical red lines.</w:t>
      </w:r>
    </w:p>
    <w:p w14:paraId="6BC21AA4"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1084F1C7" w14:textId="17125544" w:rsidR="009932D9" w:rsidRDefault="000861DE"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355DD97C" wp14:editId="7D3BC83F">
            <wp:extent cx="5486400" cy="3309620"/>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486400" cy="3309620"/>
                    </a:xfrm>
                    <a:prstGeom prst="rect">
                      <a:avLst/>
                    </a:prstGeom>
                  </pic:spPr>
                </pic:pic>
              </a:graphicData>
            </a:graphic>
          </wp:inline>
        </w:drawing>
      </w:r>
    </w:p>
    <w:p w14:paraId="6AB7FAEF" w14:textId="3E42311C" w:rsidR="000861DE" w:rsidRPr="00517B41" w:rsidRDefault="000861DE" w:rsidP="000861DE">
      <w:pPr>
        <w:pStyle w:val="SMHeading"/>
        <w:jc w:val="both"/>
        <w:rPr>
          <w:rFonts w:ascii="Myriad Pro" w:hAnsi="Myriad Pro"/>
          <w:sz w:val="22"/>
          <w:szCs w:val="22"/>
        </w:rPr>
      </w:pPr>
      <w:r w:rsidRPr="00517B41">
        <w:rPr>
          <w:rFonts w:ascii="Myriad Pro" w:hAnsi="Myriad Pro"/>
          <w:sz w:val="22"/>
          <w:szCs w:val="22"/>
        </w:rPr>
        <w:t>Figure S</w:t>
      </w:r>
      <w:r>
        <w:rPr>
          <w:rFonts w:ascii="Myriad Pro" w:hAnsi="Myriad Pro"/>
          <w:sz w:val="22"/>
          <w:szCs w:val="22"/>
        </w:rPr>
        <w:t>43</w:t>
      </w:r>
      <w:r w:rsidRPr="00517B41">
        <w:rPr>
          <w:rFonts w:ascii="Myriad Pro" w:hAnsi="Myriad Pro"/>
          <w:sz w:val="22"/>
          <w:szCs w:val="22"/>
        </w:rPr>
        <w:t xml:space="preserve">. </w:t>
      </w:r>
      <w:r>
        <w:rPr>
          <w:rFonts w:ascii="Myriad Pro" w:hAnsi="Myriad Pro"/>
          <w:b w:val="0"/>
          <w:bCs w:val="0"/>
          <w:sz w:val="22"/>
          <w:szCs w:val="22"/>
        </w:rPr>
        <w:t>S</w:t>
      </w:r>
      <w:r w:rsidRPr="003249D8">
        <w:rPr>
          <w:rFonts w:ascii="Myriad Pro" w:hAnsi="Myriad Pro"/>
          <w:b w:val="0"/>
          <w:bCs w:val="0"/>
          <w:sz w:val="22"/>
          <w:szCs w:val="22"/>
        </w:rPr>
        <w:t xml:space="preserve">patial distribution of the magnitude of completeness over a gridded area for </w:t>
      </w:r>
      <w:r>
        <w:rPr>
          <w:rFonts w:ascii="Myriad Pro" w:hAnsi="Myriad Pro"/>
          <w:b w:val="0"/>
          <w:bCs w:val="0"/>
          <w:sz w:val="22"/>
          <w:szCs w:val="22"/>
        </w:rPr>
        <w:t>the selected time periods of the LACQ field episode</w:t>
      </w:r>
      <w:r w:rsidRPr="00A26096">
        <w:rPr>
          <w:rFonts w:ascii="Myriad Pro" w:hAnsi="Myriad Pro"/>
          <w:b w:val="0"/>
          <w:bCs w:val="0"/>
          <w:sz w:val="22"/>
          <w:szCs w:val="22"/>
        </w:rPr>
        <w:t xml:space="preserve"> catalog</w:t>
      </w:r>
      <w:r>
        <w:rPr>
          <w:rFonts w:ascii="Myriad Pro" w:hAnsi="Myriad Pro"/>
          <w:b w:val="0"/>
          <w:bCs w:val="0"/>
          <w:sz w:val="22"/>
          <w:szCs w:val="22"/>
        </w:rPr>
        <w:t>.</w:t>
      </w:r>
    </w:p>
    <w:p w14:paraId="35957DD9" w14:textId="77777777" w:rsidR="000861DE" w:rsidRPr="00517B41" w:rsidRDefault="000861DE" w:rsidP="009932D9">
      <w:pPr>
        <w:jc w:val="center"/>
        <w:rPr>
          <w:rFonts w:ascii="Myriad Pro" w:hAnsi="Myriad Pro"/>
          <w:sz w:val="22"/>
          <w:szCs w:val="22"/>
        </w:rPr>
      </w:pPr>
    </w:p>
    <w:p w14:paraId="573C1DDB" w14:textId="4BC55C25" w:rsidR="009932D9" w:rsidRPr="00517B41" w:rsidRDefault="00194619" w:rsidP="009932D9">
      <w:pPr>
        <w:jc w:val="center"/>
        <w:rPr>
          <w:rFonts w:ascii="Myriad Pro" w:hAnsi="Myriad Pro"/>
          <w:sz w:val="22"/>
          <w:szCs w:val="22"/>
        </w:rPr>
      </w:pPr>
      <w:r>
        <w:rPr>
          <w:rFonts w:ascii="Myriad Pro" w:hAnsi="Myriad Pro"/>
          <w:noProof/>
          <w:sz w:val="22"/>
          <w:szCs w:val="22"/>
          <w:lang w:val="en-IN" w:eastAsia="en-IN"/>
        </w:rPr>
        <w:drawing>
          <wp:inline distT="0" distB="0" distL="0" distR="0" wp14:anchorId="6D6CE462" wp14:editId="787E7CBC">
            <wp:extent cx="5572125" cy="2562920"/>
            <wp:effectExtent l="0" t="0" r="0" b="8890"/>
            <wp:docPr id="622849554" name="Picture 622849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54" name="Picture 622849554"/>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582839" cy="2567848"/>
                    </a:xfrm>
                    <a:prstGeom prst="rect">
                      <a:avLst/>
                    </a:prstGeom>
                  </pic:spPr>
                </pic:pic>
              </a:graphicData>
            </a:graphic>
          </wp:inline>
        </w:drawing>
      </w:r>
    </w:p>
    <w:p w14:paraId="488AF25E" w14:textId="05A7AC04" w:rsidR="009932D9" w:rsidRPr="00517B41" w:rsidRDefault="009932D9" w:rsidP="000861DE">
      <w:pPr>
        <w:pStyle w:val="SMHeading"/>
        <w:jc w:val="both"/>
        <w:rPr>
          <w:rFonts w:ascii="Myriad Pro" w:hAnsi="Myriad Pro"/>
          <w:sz w:val="22"/>
          <w:szCs w:val="22"/>
        </w:rPr>
      </w:pPr>
      <w:bookmarkStart w:id="65" w:name="_Toc162436068"/>
      <w:r w:rsidRPr="00517B41">
        <w:rPr>
          <w:rFonts w:ascii="Myriad Pro" w:hAnsi="Myriad Pro"/>
          <w:sz w:val="22"/>
          <w:szCs w:val="22"/>
        </w:rPr>
        <w:t>Figure S</w:t>
      </w:r>
      <w:r w:rsidR="000861DE">
        <w:rPr>
          <w:rFonts w:ascii="Myriad Pro" w:hAnsi="Myriad Pro"/>
          <w:sz w:val="22"/>
          <w:szCs w:val="22"/>
        </w:rPr>
        <w:t>44</w:t>
      </w:r>
      <w:r w:rsidRPr="00517B41">
        <w:rPr>
          <w:rFonts w:ascii="Myriad Pro" w:hAnsi="Myriad Pro"/>
          <w:sz w:val="22"/>
          <w:szCs w:val="22"/>
        </w:rPr>
        <w:t>.</w:t>
      </w:r>
      <w:bookmarkEnd w:id="65"/>
      <w:r w:rsidRPr="00517B41">
        <w:rPr>
          <w:rFonts w:ascii="Myriad Pro" w:hAnsi="Myriad Pro"/>
          <w:sz w:val="22"/>
          <w:szCs w:val="22"/>
        </w:rPr>
        <w:t xml:space="preserve"> Cumulative number of earthquakes above Mc versus time represented with black circles for, (a) </w:t>
      </w:r>
      <w:r w:rsidRPr="000861DE">
        <w:rPr>
          <w:rFonts w:ascii="Myriad Pro" w:hAnsi="Myriad Pro"/>
          <w:b w:val="0"/>
          <w:bCs w:val="0"/>
          <w:sz w:val="22"/>
          <w:szCs w:val="22"/>
        </w:rPr>
        <w:t xml:space="preserve">the first examined period before 1996 and </w:t>
      </w:r>
      <w:r w:rsidRPr="000861DE">
        <w:rPr>
          <w:rFonts w:ascii="Myriad Pro" w:hAnsi="Myriad Pro"/>
          <w:sz w:val="22"/>
          <w:szCs w:val="22"/>
        </w:rPr>
        <w:t>(b)</w:t>
      </w:r>
      <w:r w:rsidRPr="000861DE">
        <w:rPr>
          <w:rFonts w:ascii="Myriad Pro" w:hAnsi="Myriad Pro"/>
          <w:b w:val="0"/>
          <w:bCs w:val="0"/>
          <w:sz w:val="22"/>
          <w:szCs w:val="22"/>
        </w:rPr>
        <w:t xml:space="preserve"> the second examined period post 1996. The three stationary activity rate periods are noted with red-, green- and yellow-colored areas. The same colors are used in Fig. S</w:t>
      </w:r>
      <w:r w:rsidR="000861DE" w:rsidRPr="000861DE">
        <w:rPr>
          <w:rFonts w:ascii="Myriad Pro" w:hAnsi="Myriad Pro"/>
          <w:b w:val="0"/>
          <w:bCs w:val="0"/>
          <w:sz w:val="22"/>
          <w:szCs w:val="22"/>
        </w:rPr>
        <w:t>41</w:t>
      </w:r>
      <w:r w:rsidRPr="000861DE">
        <w:rPr>
          <w:rFonts w:ascii="Myriad Pro" w:hAnsi="Myriad Pro"/>
          <w:b w:val="0"/>
          <w:bCs w:val="0"/>
          <w:sz w:val="22"/>
          <w:szCs w:val="22"/>
        </w:rPr>
        <w:t xml:space="preserve"> for the epicentral distribution of earthquakes in those periods. The total waste water injection is plotted with a red line (right y-axis).</w:t>
      </w:r>
    </w:p>
    <w:p w14:paraId="0C096725"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5FC6AF89" w14:textId="77777777" w:rsidR="009932D9" w:rsidRPr="00517B41" w:rsidRDefault="009932D9" w:rsidP="009932D9">
      <w:pPr>
        <w:ind w:left="450" w:hanging="450"/>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5F77E97B" wp14:editId="1645056D">
            <wp:extent cx="5942878" cy="2613199"/>
            <wp:effectExtent l="0" t="0" r="127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006502" cy="2641176"/>
                    </a:xfrm>
                    <a:prstGeom prst="rect">
                      <a:avLst/>
                    </a:prstGeom>
                  </pic:spPr>
                </pic:pic>
              </a:graphicData>
            </a:graphic>
          </wp:inline>
        </w:drawing>
      </w:r>
    </w:p>
    <w:p w14:paraId="60387B2F" w14:textId="5749FE83" w:rsidR="009932D9" w:rsidRPr="00517B41" w:rsidRDefault="009932D9" w:rsidP="000861DE">
      <w:pPr>
        <w:pStyle w:val="SMHeading"/>
        <w:jc w:val="both"/>
        <w:rPr>
          <w:rFonts w:ascii="Myriad Pro" w:hAnsi="Myriad Pro"/>
          <w:sz w:val="22"/>
          <w:szCs w:val="22"/>
        </w:rPr>
      </w:pPr>
      <w:bookmarkStart w:id="66" w:name="_Toc162436069"/>
      <w:r w:rsidRPr="00517B41">
        <w:rPr>
          <w:rFonts w:ascii="Myriad Pro" w:hAnsi="Myriad Pro"/>
          <w:sz w:val="22"/>
          <w:szCs w:val="22"/>
        </w:rPr>
        <w:t>Figure S</w:t>
      </w:r>
      <w:r w:rsidR="000861DE">
        <w:rPr>
          <w:rFonts w:ascii="Myriad Pro" w:hAnsi="Myriad Pro"/>
          <w:sz w:val="22"/>
          <w:szCs w:val="22"/>
        </w:rPr>
        <w:t>45</w:t>
      </w:r>
      <w:r w:rsidRPr="00517B41">
        <w:rPr>
          <w:rFonts w:ascii="Myriad Pro" w:hAnsi="Myriad Pro"/>
          <w:sz w:val="22"/>
          <w:szCs w:val="22"/>
        </w:rPr>
        <w:t>.</w:t>
      </w:r>
      <w:bookmarkEnd w:id="66"/>
      <w:r w:rsidR="000861DE">
        <w:rPr>
          <w:rFonts w:ascii="Myriad Pro" w:hAnsi="Myriad Pro"/>
          <w:sz w:val="22"/>
          <w:szCs w:val="22"/>
        </w:rPr>
        <w:t xml:space="preserve"> </w:t>
      </w:r>
      <w:r w:rsidRPr="000861DE">
        <w:rPr>
          <w:rFonts w:ascii="Myriad Pro" w:hAnsi="Myriad Pro"/>
          <w:sz w:val="22"/>
          <w:szCs w:val="22"/>
        </w:rPr>
        <w:t>Seismicity of the Gazli gas field episode local catalog</w:t>
      </w:r>
      <w:r w:rsidRPr="000861DE">
        <w:rPr>
          <w:rFonts w:ascii="Myriad Pro" w:hAnsi="Myriad Pro"/>
          <w:b w:val="0"/>
          <w:bCs w:val="0"/>
          <w:sz w:val="22"/>
          <w:szCs w:val="22"/>
        </w:rPr>
        <w:t xml:space="preserve"> represented by blue histograms in 12-hour bins (left y-axis) along with the monthly injected gas volume represented by a red continuous line (right y-axis).</w:t>
      </w:r>
    </w:p>
    <w:p w14:paraId="71DAA465" w14:textId="77777777" w:rsidR="009932D9" w:rsidRPr="00517B41" w:rsidRDefault="009932D9" w:rsidP="009932D9">
      <w:pPr>
        <w:pStyle w:val="SMcaption"/>
        <w:jc w:val="both"/>
        <w:rPr>
          <w:rFonts w:ascii="Myriad Pro" w:hAnsi="Myriad Pro"/>
          <w:sz w:val="22"/>
          <w:szCs w:val="22"/>
        </w:rPr>
      </w:pPr>
    </w:p>
    <w:p w14:paraId="6BE1AD3A" w14:textId="753D8BEE" w:rsidR="009932D9" w:rsidRPr="00517B41" w:rsidRDefault="009932D9" w:rsidP="009932D9">
      <w:pPr>
        <w:rPr>
          <w:rFonts w:ascii="Myriad Pro" w:hAnsi="Myriad Pro"/>
          <w:sz w:val="22"/>
          <w:szCs w:val="22"/>
        </w:rPr>
      </w:pPr>
    </w:p>
    <w:p w14:paraId="4BBF71B2" w14:textId="56F152AE" w:rsidR="009932D9" w:rsidRPr="00517B41" w:rsidRDefault="00D33ED0" w:rsidP="009932D9">
      <w:pPr>
        <w:ind w:left="450" w:hanging="450"/>
        <w:jc w:val="center"/>
        <w:rPr>
          <w:rFonts w:ascii="Myriad Pro" w:hAnsi="Myriad Pro"/>
          <w:sz w:val="22"/>
          <w:szCs w:val="22"/>
        </w:rPr>
      </w:pPr>
      <w:r>
        <w:rPr>
          <w:rFonts w:ascii="Myriad Pro" w:hAnsi="Myriad Pro"/>
          <w:noProof/>
          <w:sz w:val="22"/>
          <w:szCs w:val="22"/>
          <w:lang w:val="en-IN" w:eastAsia="en-IN"/>
        </w:rPr>
        <w:drawing>
          <wp:inline distT="0" distB="0" distL="0" distR="0" wp14:anchorId="02FDC9B6" wp14:editId="374A9DBA">
            <wp:extent cx="5172075" cy="3134972"/>
            <wp:effectExtent l="0" t="0" r="0" b="8890"/>
            <wp:docPr id="622849556" name="Picture 622849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56" name="Picture 622849556"/>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179629" cy="3139551"/>
                    </a:xfrm>
                    <a:prstGeom prst="rect">
                      <a:avLst/>
                    </a:prstGeom>
                  </pic:spPr>
                </pic:pic>
              </a:graphicData>
            </a:graphic>
          </wp:inline>
        </w:drawing>
      </w:r>
    </w:p>
    <w:p w14:paraId="69234659" w14:textId="084AA83A" w:rsidR="009932D9" w:rsidRPr="000861DE" w:rsidRDefault="009932D9" w:rsidP="000861DE">
      <w:pPr>
        <w:pStyle w:val="SMHeading"/>
        <w:jc w:val="both"/>
        <w:rPr>
          <w:rFonts w:ascii="Myriad Pro" w:hAnsi="Myriad Pro"/>
          <w:b w:val="0"/>
          <w:bCs w:val="0"/>
          <w:sz w:val="22"/>
          <w:szCs w:val="22"/>
        </w:rPr>
      </w:pPr>
      <w:bookmarkStart w:id="67" w:name="_Toc162436070"/>
      <w:r w:rsidRPr="00517B41">
        <w:rPr>
          <w:rFonts w:ascii="Myriad Pro" w:hAnsi="Myriad Pro"/>
          <w:sz w:val="22"/>
          <w:szCs w:val="22"/>
        </w:rPr>
        <w:t>Figure S</w:t>
      </w:r>
      <w:r w:rsidR="000861DE">
        <w:rPr>
          <w:rFonts w:ascii="Myriad Pro" w:hAnsi="Myriad Pro"/>
          <w:sz w:val="22"/>
          <w:szCs w:val="22"/>
        </w:rPr>
        <w:t>46</w:t>
      </w:r>
      <w:r w:rsidRPr="00517B41">
        <w:rPr>
          <w:rFonts w:ascii="Myriad Pro" w:hAnsi="Myriad Pro"/>
          <w:sz w:val="22"/>
          <w:szCs w:val="22"/>
        </w:rPr>
        <w:t>.</w:t>
      </w:r>
      <w:bookmarkEnd w:id="67"/>
      <w:r w:rsidRPr="00517B41">
        <w:rPr>
          <w:rFonts w:ascii="Myriad Pro" w:hAnsi="Myriad Pro"/>
          <w:sz w:val="22"/>
          <w:szCs w:val="22"/>
        </w:rPr>
        <w:t xml:space="preserve"> Epicentral distribution of the seismicity of the Gazli local episode catalog. </w:t>
      </w:r>
      <w:r w:rsidRPr="000861DE">
        <w:rPr>
          <w:rFonts w:ascii="Myriad Pro" w:hAnsi="Myriad Pro"/>
          <w:b w:val="0"/>
          <w:bCs w:val="0"/>
          <w:sz w:val="22"/>
          <w:szCs w:val="22"/>
        </w:rPr>
        <w:t xml:space="preserve">The unused earthquakes for magnitude complexity testing are depicted in gray colors. The earthquake subcatalog that was selected to assess the magnitude distribution complexity (Table </w:t>
      </w:r>
      <w:r w:rsidR="00D33ED0" w:rsidRPr="000861DE">
        <w:rPr>
          <w:rFonts w:ascii="Myriad Pro" w:hAnsi="Myriad Pro"/>
          <w:b w:val="0"/>
          <w:bCs w:val="0"/>
          <w:sz w:val="22"/>
          <w:szCs w:val="22"/>
        </w:rPr>
        <w:t>1</w:t>
      </w:r>
      <w:r w:rsidR="00EB4E1C" w:rsidRPr="000861DE">
        <w:rPr>
          <w:rFonts w:ascii="Myriad Pro" w:hAnsi="Myriad Pro"/>
          <w:b w:val="0"/>
          <w:bCs w:val="0"/>
          <w:sz w:val="22"/>
          <w:szCs w:val="22"/>
        </w:rPr>
        <w:t>0</w:t>
      </w:r>
      <w:r w:rsidRPr="000861DE">
        <w:rPr>
          <w:rFonts w:ascii="Myriad Pro" w:hAnsi="Myriad Pro"/>
          <w:b w:val="0"/>
          <w:bCs w:val="0"/>
          <w:sz w:val="22"/>
          <w:szCs w:val="22"/>
        </w:rPr>
        <w:t>) is represented by red circles. The area of the gas field is marked by the black continuous line.</w:t>
      </w:r>
    </w:p>
    <w:p w14:paraId="094EBB19"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2C6C5DBD" w14:textId="74DEAC9B" w:rsidR="009932D9" w:rsidRPr="00517B41" w:rsidRDefault="00D33ED0" w:rsidP="009932D9">
      <w:pPr>
        <w:ind w:left="450" w:hanging="450"/>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1D909B8A" wp14:editId="11EAE3DF">
            <wp:extent cx="3145740" cy="3133725"/>
            <wp:effectExtent l="0" t="0" r="0" b="0"/>
            <wp:docPr id="622849557" name="Picture 622849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57" name="Picture 622849557"/>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165658" cy="3153567"/>
                    </a:xfrm>
                    <a:prstGeom prst="rect">
                      <a:avLst/>
                    </a:prstGeom>
                  </pic:spPr>
                </pic:pic>
              </a:graphicData>
            </a:graphic>
          </wp:inline>
        </w:drawing>
      </w:r>
    </w:p>
    <w:p w14:paraId="579DA0BA" w14:textId="2FE8678A" w:rsidR="009932D9" w:rsidRPr="00517B41" w:rsidRDefault="009932D9" w:rsidP="00264138">
      <w:pPr>
        <w:pStyle w:val="SMHeading"/>
        <w:jc w:val="both"/>
        <w:rPr>
          <w:rFonts w:ascii="Myriad Pro" w:hAnsi="Myriad Pro"/>
          <w:sz w:val="22"/>
          <w:szCs w:val="22"/>
        </w:rPr>
      </w:pPr>
      <w:bookmarkStart w:id="68" w:name="_Toc162436071"/>
      <w:r w:rsidRPr="00517B41">
        <w:rPr>
          <w:rFonts w:ascii="Myriad Pro" w:hAnsi="Myriad Pro"/>
          <w:sz w:val="22"/>
          <w:szCs w:val="22"/>
        </w:rPr>
        <w:t>Figure S</w:t>
      </w:r>
      <w:r w:rsidR="00264138">
        <w:rPr>
          <w:rFonts w:ascii="Myriad Pro" w:hAnsi="Myriad Pro"/>
          <w:sz w:val="22"/>
          <w:szCs w:val="22"/>
        </w:rPr>
        <w:t>47</w:t>
      </w:r>
      <w:r w:rsidRPr="00517B41">
        <w:rPr>
          <w:rFonts w:ascii="Myriad Pro" w:hAnsi="Myriad Pro"/>
          <w:sz w:val="22"/>
          <w:szCs w:val="22"/>
        </w:rPr>
        <w:t>.</w:t>
      </w:r>
      <w:bookmarkEnd w:id="68"/>
      <w:r w:rsidRPr="00517B41">
        <w:rPr>
          <w:rFonts w:ascii="Myriad Pro" w:hAnsi="Myriad Pro"/>
          <w:sz w:val="22"/>
          <w:szCs w:val="22"/>
        </w:rPr>
        <w:t xml:space="preserve"> Cumulative and incremental frequency magnitude distributions of Gazli gas field local catalog. </w:t>
      </w:r>
      <w:r w:rsidRPr="00264138">
        <w:rPr>
          <w:rFonts w:ascii="Myriad Pro" w:hAnsi="Myriad Pro"/>
          <w:b w:val="0"/>
          <w:bCs w:val="0"/>
          <w:sz w:val="22"/>
          <w:szCs w:val="22"/>
        </w:rPr>
        <w:t>The chosen magnitude of completeness is marked by the vertical red line.</w:t>
      </w:r>
    </w:p>
    <w:p w14:paraId="552BE10D" w14:textId="77777777" w:rsidR="009932D9" w:rsidRPr="00517B41" w:rsidRDefault="009932D9" w:rsidP="009932D9">
      <w:pPr>
        <w:pStyle w:val="SMcaption"/>
        <w:jc w:val="both"/>
        <w:rPr>
          <w:rFonts w:ascii="Myriad Pro" w:hAnsi="Myriad Pro"/>
          <w:sz w:val="22"/>
          <w:szCs w:val="22"/>
        </w:rPr>
      </w:pPr>
    </w:p>
    <w:p w14:paraId="0F6595A1" w14:textId="402847A6" w:rsidR="009932D9" w:rsidRDefault="00264138" w:rsidP="00264138">
      <w:pPr>
        <w:jc w:val="center"/>
        <w:rPr>
          <w:rFonts w:ascii="Myriad Pro" w:hAnsi="Myriad Pro"/>
          <w:sz w:val="22"/>
          <w:szCs w:val="22"/>
        </w:rPr>
      </w:pPr>
      <w:r>
        <w:rPr>
          <w:rFonts w:ascii="Myriad Pro" w:hAnsi="Myriad Pro"/>
          <w:noProof/>
          <w:sz w:val="22"/>
          <w:szCs w:val="22"/>
          <w:lang w:val="en-IN" w:eastAsia="en-IN"/>
        </w:rPr>
        <w:drawing>
          <wp:inline distT="0" distB="0" distL="0" distR="0" wp14:anchorId="64518FB5" wp14:editId="25E3F449">
            <wp:extent cx="3152775" cy="337281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162727" cy="3383461"/>
                    </a:xfrm>
                    <a:prstGeom prst="rect">
                      <a:avLst/>
                    </a:prstGeom>
                  </pic:spPr>
                </pic:pic>
              </a:graphicData>
            </a:graphic>
          </wp:inline>
        </w:drawing>
      </w:r>
    </w:p>
    <w:p w14:paraId="06F9604D" w14:textId="07FC2FBA" w:rsidR="00264138" w:rsidRDefault="00264138" w:rsidP="00264138">
      <w:pPr>
        <w:pStyle w:val="SMHeading"/>
        <w:rPr>
          <w:rFonts w:ascii="Myriad Pro" w:hAnsi="Myriad Pro"/>
          <w:b w:val="0"/>
          <w:bCs w:val="0"/>
          <w:sz w:val="22"/>
          <w:szCs w:val="22"/>
        </w:rPr>
      </w:pPr>
      <w:r w:rsidRPr="00517B41">
        <w:t>Figure S</w:t>
      </w:r>
      <w:r>
        <w:t>48</w:t>
      </w:r>
      <w:r w:rsidR="000E5CBC">
        <w:t xml:space="preserve">. </w:t>
      </w:r>
      <w:r w:rsidR="000E5CBC">
        <w:rPr>
          <w:rFonts w:ascii="Myriad Pro" w:hAnsi="Myriad Pro"/>
          <w:b w:val="0"/>
          <w:bCs w:val="0"/>
          <w:sz w:val="22"/>
          <w:szCs w:val="22"/>
        </w:rPr>
        <w:t>S</w:t>
      </w:r>
      <w:r w:rsidR="000E5CBC" w:rsidRPr="003249D8">
        <w:rPr>
          <w:rFonts w:ascii="Myriad Pro" w:hAnsi="Myriad Pro"/>
          <w:b w:val="0"/>
          <w:bCs w:val="0"/>
          <w:sz w:val="22"/>
          <w:szCs w:val="22"/>
        </w:rPr>
        <w:t xml:space="preserve">patial distribution of the magnitude of completeness over a gridded area for </w:t>
      </w:r>
      <w:r w:rsidR="000E5CBC">
        <w:rPr>
          <w:rFonts w:ascii="Myriad Pro" w:hAnsi="Myriad Pro"/>
          <w:b w:val="0"/>
          <w:bCs w:val="0"/>
          <w:sz w:val="22"/>
          <w:szCs w:val="22"/>
        </w:rPr>
        <w:t>the Gazli gas field local</w:t>
      </w:r>
      <w:r w:rsidR="000E5CBC" w:rsidRPr="00A26096">
        <w:rPr>
          <w:rFonts w:ascii="Myriad Pro" w:hAnsi="Myriad Pro"/>
          <w:b w:val="0"/>
          <w:bCs w:val="0"/>
          <w:sz w:val="22"/>
          <w:szCs w:val="22"/>
        </w:rPr>
        <w:t xml:space="preserve"> catalog</w:t>
      </w:r>
      <w:r w:rsidR="000E5CBC">
        <w:rPr>
          <w:rFonts w:ascii="Myriad Pro" w:hAnsi="Myriad Pro"/>
          <w:b w:val="0"/>
          <w:bCs w:val="0"/>
          <w:sz w:val="22"/>
          <w:szCs w:val="22"/>
        </w:rPr>
        <w:t>.</w:t>
      </w:r>
    </w:p>
    <w:p w14:paraId="7D2B8364" w14:textId="095C9542" w:rsidR="000E5CBC" w:rsidRDefault="000E5CBC">
      <w:r>
        <w:br w:type="page"/>
      </w:r>
    </w:p>
    <w:p w14:paraId="3FD6B741" w14:textId="77777777" w:rsidR="000E5CBC" w:rsidRPr="00517B41" w:rsidRDefault="000E5CBC" w:rsidP="000E5CBC"/>
    <w:p w14:paraId="4729F62A" w14:textId="77777777" w:rsidR="009932D9" w:rsidRPr="00517B41" w:rsidRDefault="009932D9" w:rsidP="009932D9">
      <w:pPr>
        <w:ind w:left="450" w:hanging="450"/>
        <w:jc w:val="center"/>
        <w:rPr>
          <w:rFonts w:ascii="Myriad Pro" w:hAnsi="Myriad Pro"/>
          <w:sz w:val="22"/>
          <w:szCs w:val="22"/>
        </w:rPr>
      </w:pPr>
      <w:r w:rsidRPr="00517B41">
        <w:rPr>
          <w:rFonts w:ascii="Myriad Pro" w:hAnsi="Myriad Pro"/>
          <w:noProof/>
          <w:sz w:val="22"/>
          <w:szCs w:val="22"/>
          <w:lang w:val="en-IN" w:eastAsia="en-IN"/>
        </w:rPr>
        <w:drawing>
          <wp:inline distT="0" distB="0" distL="0" distR="0" wp14:anchorId="481E8116" wp14:editId="554AF57E">
            <wp:extent cx="5398417" cy="238125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456035" cy="2406665"/>
                    </a:xfrm>
                    <a:prstGeom prst="rect">
                      <a:avLst/>
                    </a:prstGeom>
                  </pic:spPr>
                </pic:pic>
              </a:graphicData>
            </a:graphic>
          </wp:inline>
        </w:drawing>
      </w:r>
    </w:p>
    <w:p w14:paraId="31B9FFAB" w14:textId="0EB2D4B9" w:rsidR="009932D9" w:rsidRPr="00517B41" w:rsidRDefault="009932D9" w:rsidP="000E5CBC">
      <w:pPr>
        <w:pStyle w:val="SMHeading"/>
        <w:jc w:val="both"/>
        <w:rPr>
          <w:rFonts w:ascii="Myriad Pro" w:hAnsi="Myriad Pro"/>
          <w:sz w:val="22"/>
          <w:szCs w:val="22"/>
        </w:rPr>
      </w:pPr>
      <w:bookmarkStart w:id="69" w:name="_Toc162436072"/>
      <w:r w:rsidRPr="00517B41">
        <w:rPr>
          <w:rFonts w:ascii="Myriad Pro" w:hAnsi="Myriad Pro"/>
          <w:sz w:val="22"/>
          <w:szCs w:val="22"/>
        </w:rPr>
        <w:t>Figure S</w:t>
      </w:r>
      <w:r w:rsidR="00B505FA">
        <w:rPr>
          <w:rFonts w:ascii="Myriad Pro" w:hAnsi="Myriad Pro"/>
          <w:sz w:val="22"/>
          <w:szCs w:val="22"/>
        </w:rPr>
        <w:t>4</w:t>
      </w:r>
      <w:r w:rsidR="00B23DCC">
        <w:rPr>
          <w:rFonts w:ascii="Myriad Pro" w:hAnsi="Myriad Pro"/>
          <w:sz w:val="22"/>
          <w:szCs w:val="22"/>
        </w:rPr>
        <w:t>9</w:t>
      </w:r>
      <w:r w:rsidRPr="00517B41">
        <w:rPr>
          <w:rFonts w:ascii="Myriad Pro" w:hAnsi="Myriad Pro"/>
          <w:sz w:val="22"/>
          <w:szCs w:val="22"/>
        </w:rPr>
        <w:t>.</w:t>
      </w:r>
      <w:bookmarkEnd w:id="69"/>
      <w:r w:rsidR="000E5CBC">
        <w:rPr>
          <w:rFonts w:ascii="Myriad Pro" w:hAnsi="Myriad Pro"/>
          <w:sz w:val="22"/>
          <w:szCs w:val="22"/>
        </w:rPr>
        <w:t xml:space="preserve"> </w:t>
      </w:r>
      <w:r w:rsidRPr="00517B41">
        <w:rPr>
          <w:rFonts w:ascii="Myriad Pro" w:hAnsi="Myriad Pro"/>
          <w:sz w:val="22"/>
          <w:szCs w:val="22"/>
        </w:rPr>
        <w:t xml:space="preserve">Cumulative number of earthquakes above Mc versus time represented with black circles (left y-axis) along with the monthly injected gas volume represented by a red continuous line (right y-axis). </w:t>
      </w:r>
      <w:r w:rsidRPr="000E5CBC">
        <w:rPr>
          <w:rFonts w:ascii="Myriad Pro" w:hAnsi="Myriad Pro"/>
          <w:b w:val="0"/>
          <w:bCs w:val="0"/>
          <w:sz w:val="22"/>
          <w:szCs w:val="22"/>
        </w:rPr>
        <w:t>The stationary activity rate period is noted by the red colored area. The same color is used in Fig. S</w:t>
      </w:r>
      <w:r w:rsidR="000E5CBC">
        <w:rPr>
          <w:rFonts w:ascii="Myriad Pro" w:hAnsi="Myriad Pro"/>
          <w:b w:val="0"/>
          <w:bCs w:val="0"/>
          <w:sz w:val="22"/>
          <w:szCs w:val="22"/>
        </w:rPr>
        <w:t>46</w:t>
      </w:r>
      <w:r w:rsidRPr="000E5CBC">
        <w:rPr>
          <w:rFonts w:ascii="Myriad Pro" w:hAnsi="Myriad Pro"/>
          <w:b w:val="0"/>
          <w:bCs w:val="0"/>
          <w:sz w:val="22"/>
          <w:szCs w:val="22"/>
        </w:rPr>
        <w:t xml:space="preserve"> for the epicentral distribution of earthquakes in this period.</w:t>
      </w:r>
    </w:p>
    <w:p w14:paraId="47922341" w14:textId="3CA38A90" w:rsidR="00B505FA" w:rsidRDefault="00B505FA">
      <w:pPr>
        <w:rPr>
          <w:rFonts w:ascii="Myriad Pro" w:hAnsi="Myriad Pro"/>
          <w:sz w:val="22"/>
          <w:szCs w:val="22"/>
        </w:rPr>
      </w:pPr>
      <w:r>
        <w:rPr>
          <w:rFonts w:ascii="Myriad Pro" w:hAnsi="Myriad Pro"/>
          <w:sz w:val="22"/>
          <w:szCs w:val="22"/>
        </w:rPr>
        <w:br w:type="page"/>
      </w:r>
    </w:p>
    <w:p w14:paraId="4C5F502D" w14:textId="77777777" w:rsidR="009932D9" w:rsidRPr="00517B41" w:rsidRDefault="009932D9" w:rsidP="009932D9">
      <w:pPr>
        <w:ind w:left="450" w:hanging="450"/>
        <w:jc w:val="both"/>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37B8CE12" wp14:editId="47C66693">
            <wp:extent cx="5972810" cy="3406775"/>
            <wp:effectExtent l="0" t="0" r="8890"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73527" cy="3407184"/>
                    </a:xfrm>
                    <a:prstGeom prst="rect">
                      <a:avLst/>
                    </a:prstGeom>
                  </pic:spPr>
                </pic:pic>
              </a:graphicData>
            </a:graphic>
          </wp:inline>
        </w:drawing>
      </w:r>
    </w:p>
    <w:p w14:paraId="2ECB9888" w14:textId="0976EFB4" w:rsidR="009932D9" w:rsidRPr="00517B41" w:rsidRDefault="009932D9" w:rsidP="00B505FA">
      <w:pPr>
        <w:pStyle w:val="SMHeading"/>
        <w:jc w:val="both"/>
        <w:rPr>
          <w:rFonts w:ascii="Myriad Pro" w:hAnsi="Myriad Pro"/>
          <w:sz w:val="22"/>
          <w:szCs w:val="22"/>
        </w:rPr>
      </w:pPr>
      <w:bookmarkStart w:id="70" w:name="_Toc162436073"/>
      <w:r w:rsidRPr="00517B41">
        <w:rPr>
          <w:rFonts w:ascii="Myriad Pro" w:hAnsi="Myriad Pro"/>
          <w:sz w:val="22"/>
          <w:szCs w:val="22"/>
        </w:rPr>
        <w:t>Figure S</w:t>
      </w:r>
      <w:r w:rsidR="00B505FA">
        <w:rPr>
          <w:rFonts w:ascii="Myriad Pro" w:hAnsi="Myriad Pro"/>
          <w:sz w:val="22"/>
          <w:szCs w:val="22"/>
        </w:rPr>
        <w:t>5</w:t>
      </w:r>
      <w:r w:rsidR="00686598">
        <w:rPr>
          <w:rFonts w:ascii="Myriad Pro" w:hAnsi="Myriad Pro"/>
          <w:sz w:val="22"/>
          <w:szCs w:val="22"/>
        </w:rPr>
        <w:t>0</w:t>
      </w:r>
      <w:r w:rsidRPr="00517B41">
        <w:rPr>
          <w:rFonts w:ascii="Myriad Pro" w:hAnsi="Myriad Pro"/>
          <w:sz w:val="22"/>
          <w:szCs w:val="22"/>
        </w:rPr>
        <w:t>.</w:t>
      </w:r>
      <w:bookmarkEnd w:id="70"/>
      <w:r w:rsidRPr="00517B41">
        <w:rPr>
          <w:rFonts w:ascii="Myriad Pro" w:hAnsi="Myriad Pro"/>
          <w:sz w:val="22"/>
          <w:szCs w:val="22"/>
        </w:rPr>
        <w:t xml:space="preserve"> Seismicity of the Starfish episode catalog </w:t>
      </w:r>
      <w:r w:rsidRPr="00B505FA">
        <w:rPr>
          <w:rFonts w:ascii="Myriad Pro" w:hAnsi="Myriad Pro"/>
          <w:b w:val="0"/>
          <w:bCs w:val="0"/>
          <w:sz w:val="22"/>
          <w:szCs w:val="22"/>
        </w:rPr>
        <w:t xml:space="preserve">represented by blue histograms in 24-hour bins (Left y-axis) for, </w:t>
      </w:r>
      <w:r w:rsidRPr="00B505FA">
        <w:rPr>
          <w:rFonts w:ascii="Myriad Pro" w:hAnsi="Myriad Pro"/>
          <w:sz w:val="22"/>
          <w:szCs w:val="22"/>
        </w:rPr>
        <w:t>(a)</w:t>
      </w:r>
      <w:r w:rsidRPr="00B505FA">
        <w:rPr>
          <w:rFonts w:ascii="Myriad Pro" w:hAnsi="Myriad Pro"/>
          <w:b w:val="0"/>
          <w:bCs w:val="0"/>
          <w:sz w:val="22"/>
          <w:szCs w:val="22"/>
        </w:rPr>
        <w:t xml:space="preserve"> the first heating cycle period, </w:t>
      </w:r>
      <w:r w:rsidRPr="00B505FA">
        <w:rPr>
          <w:rFonts w:ascii="Myriad Pro" w:hAnsi="Myriad Pro"/>
          <w:sz w:val="22"/>
          <w:szCs w:val="22"/>
        </w:rPr>
        <w:t>(b)</w:t>
      </w:r>
      <w:r w:rsidRPr="00B505FA">
        <w:rPr>
          <w:rFonts w:ascii="Myriad Pro" w:hAnsi="Myriad Pro"/>
          <w:b w:val="0"/>
          <w:bCs w:val="0"/>
          <w:sz w:val="22"/>
          <w:szCs w:val="22"/>
        </w:rPr>
        <w:t xml:space="preserve"> the second heating cycle period, </w:t>
      </w:r>
      <w:r w:rsidR="00B505FA" w:rsidRPr="00B505FA">
        <w:rPr>
          <w:rFonts w:ascii="Myriad Pro" w:hAnsi="Myriad Pro"/>
          <w:sz w:val="22"/>
          <w:szCs w:val="22"/>
        </w:rPr>
        <w:t>(</w:t>
      </w:r>
      <w:r w:rsidRPr="00B505FA">
        <w:rPr>
          <w:rFonts w:ascii="Myriad Pro" w:hAnsi="Myriad Pro"/>
          <w:sz w:val="22"/>
          <w:szCs w:val="22"/>
        </w:rPr>
        <w:t xml:space="preserve">c) </w:t>
      </w:r>
      <w:r w:rsidRPr="00B505FA">
        <w:rPr>
          <w:rFonts w:ascii="Myriad Pro" w:hAnsi="Myriad Pro"/>
          <w:b w:val="0"/>
          <w:bCs w:val="0"/>
          <w:sz w:val="22"/>
          <w:szCs w:val="22"/>
        </w:rPr>
        <w:t xml:space="preserve">the third heating cycle period and </w:t>
      </w:r>
      <w:r w:rsidRPr="00B505FA">
        <w:rPr>
          <w:rFonts w:ascii="Myriad Pro" w:hAnsi="Myriad Pro"/>
          <w:sz w:val="22"/>
          <w:szCs w:val="22"/>
        </w:rPr>
        <w:t xml:space="preserve">(d) </w:t>
      </w:r>
      <w:r w:rsidRPr="00B505FA">
        <w:rPr>
          <w:rFonts w:ascii="Myriad Pro" w:hAnsi="Myriad Pro"/>
          <w:b w:val="0"/>
          <w:bCs w:val="0"/>
          <w:sz w:val="22"/>
          <w:szCs w:val="22"/>
        </w:rPr>
        <w:t>the fourth heating cycle period. Temperature recorded from four sensors appear with red, blue, green and yellow continues lines (right y-axis)</w:t>
      </w:r>
    </w:p>
    <w:p w14:paraId="53A760E3"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573CC93E" w14:textId="561FE0E9" w:rsidR="009932D9" w:rsidRPr="00517B41" w:rsidRDefault="005072DD" w:rsidP="009932D9">
      <w:pPr>
        <w:ind w:left="450" w:hanging="450"/>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2004271C" wp14:editId="3CF17A04">
            <wp:extent cx="4019550" cy="3320316"/>
            <wp:effectExtent l="0" t="0" r="0" b="0"/>
            <wp:docPr id="622849558" name="Picture 622849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58" name="Picture 622849558"/>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030822" cy="3329628"/>
                    </a:xfrm>
                    <a:prstGeom prst="rect">
                      <a:avLst/>
                    </a:prstGeom>
                  </pic:spPr>
                </pic:pic>
              </a:graphicData>
            </a:graphic>
          </wp:inline>
        </w:drawing>
      </w:r>
    </w:p>
    <w:p w14:paraId="62D9A0BA" w14:textId="10EE804A" w:rsidR="009932D9" w:rsidRPr="00792245" w:rsidRDefault="009932D9" w:rsidP="00792245">
      <w:pPr>
        <w:pStyle w:val="SMHeading"/>
        <w:jc w:val="both"/>
        <w:rPr>
          <w:rFonts w:ascii="Myriad Pro" w:hAnsi="Myriad Pro"/>
          <w:b w:val="0"/>
          <w:bCs w:val="0"/>
          <w:sz w:val="22"/>
          <w:szCs w:val="22"/>
        </w:rPr>
      </w:pPr>
      <w:bookmarkStart w:id="71" w:name="_Toc162436074"/>
      <w:r w:rsidRPr="00517B41">
        <w:rPr>
          <w:rFonts w:ascii="Myriad Pro" w:hAnsi="Myriad Pro"/>
          <w:sz w:val="22"/>
          <w:szCs w:val="22"/>
        </w:rPr>
        <w:t>Figure S</w:t>
      </w:r>
      <w:r w:rsidR="00792245">
        <w:rPr>
          <w:rFonts w:ascii="Myriad Pro" w:hAnsi="Myriad Pro"/>
          <w:sz w:val="22"/>
          <w:szCs w:val="22"/>
        </w:rPr>
        <w:t>5</w:t>
      </w:r>
      <w:r w:rsidR="00686598">
        <w:rPr>
          <w:rFonts w:ascii="Myriad Pro" w:hAnsi="Myriad Pro"/>
          <w:sz w:val="22"/>
          <w:szCs w:val="22"/>
        </w:rPr>
        <w:t>1</w:t>
      </w:r>
      <w:r w:rsidRPr="00517B41">
        <w:rPr>
          <w:rFonts w:ascii="Myriad Pro" w:hAnsi="Myriad Pro"/>
          <w:sz w:val="22"/>
          <w:szCs w:val="22"/>
        </w:rPr>
        <w:t>.</w:t>
      </w:r>
      <w:bookmarkEnd w:id="71"/>
      <w:r w:rsidRPr="00517B41">
        <w:rPr>
          <w:rFonts w:ascii="Myriad Pro" w:hAnsi="Myriad Pro"/>
          <w:sz w:val="22"/>
          <w:szCs w:val="22"/>
        </w:rPr>
        <w:t xml:space="preserve"> Epicentral distribution of the seismicity of the Starfish episode catalog. </w:t>
      </w:r>
      <w:r w:rsidRPr="00792245">
        <w:rPr>
          <w:rFonts w:ascii="Myriad Pro" w:hAnsi="Myriad Pro"/>
          <w:b w:val="0"/>
          <w:bCs w:val="0"/>
          <w:sz w:val="22"/>
          <w:szCs w:val="22"/>
        </w:rPr>
        <w:t>The unused earthquakes for magnitude complexity testing are depicted in gray colors. The earthquake subcatalogs that were selected to assess the magnitude distribution complexity are represented by red, magenta, green, yellow</w:t>
      </w:r>
      <w:r w:rsidR="005072DD" w:rsidRPr="00792245">
        <w:rPr>
          <w:rFonts w:ascii="Myriad Pro" w:hAnsi="Myriad Pro"/>
          <w:b w:val="0"/>
          <w:bCs w:val="0"/>
          <w:sz w:val="22"/>
          <w:szCs w:val="22"/>
        </w:rPr>
        <w:t>,</w:t>
      </w:r>
      <w:r w:rsidRPr="00792245">
        <w:rPr>
          <w:rFonts w:ascii="Myriad Pro" w:hAnsi="Myriad Pro"/>
          <w:b w:val="0"/>
          <w:bCs w:val="0"/>
          <w:sz w:val="22"/>
          <w:szCs w:val="22"/>
        </w:rPr>
        <w:t xml:space="preserve"> blue</w:t>
      </w:r>
      <w:r w:rsidR="005072DD" w:rsidRPr="00792245">
        <w:rPr>
          <w:rFonts w:ascii="Myriad Pro" w:hAnsi="Myriad Pro"/>
          <w:b w:val="0"/>
          <w:bCs w:val="0"/>
          <w:sz w:val="22"/>
          <w:szCs w:val="22"/>
        </w:rPr>
        <w:t xml:space="preserve"> and cyan</w:t>
      </w:r>
      <w:r w:rsidRPr="00792245">
        <w:rPr>
          <w:rFonts w:ascii="Myriad Pro" w:hAnsi="Myriad Pro"/>
          <w:b w:val="0"/>
          <w:bCs w:val="0"/>
          <w:sz w:val="22"/>
          <w:szCs w:val="22"/>
        </w:rPr>
        <w:t xml:space="preserve"> circles. </w:t>
      </w:r>
    </w:p>
    <w:p w14:paraId="51F7E240"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4B6E7756" w14:textId="25A4D88F" w:rsidR="00451A03" w:rsidRPr="00517B41" w:rsidRDefault="005072DD" w:rsidP="00451A03">
      <w:pPr>
        <w:ind w:left="450" w:hanging="450"/>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59AF7339" wp14:editId="7C3A91B3">
            <wp:extent cx="5486400" cy="3294380"/>
            <wp:effectExtent l="0" t="0" r="0" b="1270"/>
            <wp:docPr id="622849559" name="Picture 622849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59" name="Picture 622849559"/>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486400" cy="3294380"/>
                    </a:xfrm>
                    <a:prstGeom prst="rect">
                      <a:avLst/>
                    </a:prstGeom>
                  </pic:spPr>
                </pic:pic>
              </a:graphicData>
            </a:graphic>
          </wp:inline>
        </w:drawing>
      </w:r>
    </w:p>
    <w:p w14:paraId="34967A94" w14:textId="26498731" w:rsidR="009932D9" w:rsidRDefault="009932D9" w:rsidP="006022F9">
      <w:pPr>
        <w:pStyle w:val="SMHeading"/>
        <w:rPr>
          <w:rFonts w:ascii="Myriad Pro" w:hAnsi="Myriad Pro"/>
          <w:b w:val="0"/>
          <w:bCs w:val="0"/>
          <w:sz w:val="22"/>
          <w:szCs w:val="22"/>
        </w:rPr>
      </w:pPr>
      <w:bookmarkStart w:id="72" w:name="_Toc162436075"/>
      <w:r w:rsidRPr="00517B41">
        <w:rPr>
          <w:rFonts w:ascii="Myriad Pro" w:hAnsi="Myriad Pro"/>
          <w:sz w:val="22"/>
          <w:szCs w:val="22"/>
        </w:rPr>
        <w:t>Figure S</w:t>
      </w:r>
      <w:r w:rsidR="00E9750F">
        <w:rPr>
          <w:rFonts w:ascii="Myriad Pro" w:hAnsi="Myriad Pro"/>
          <w:sz w:val="22"/>
          <w:szCs w:val="22"/>
        </w:rPr>
        <w:t>5</w:t>
      </w:r>
      <w:r w:rsidR="00686598">
        <w:rPr>
          <w:rFonts w:ascii="Myriad Pro" w:hAnsi="Myriad Pro"/>
          <w:sz w:val="22"/>
          <w:szCs w:val="22"/>
        </w:rPr>
        <w:t>2</w:t>
      </w:r>
      <w:r w:rsidRPr="00517B41">
        <w:rPr>
          <w:rFonts w:ascii="Myriad Pro" w:hAnsi="Myriad Pro"/>
          <w:sz w:val="22"/>
          <w:szCs w:val="22"/>
        </w:rPr>
        <w:t>.</w:t>
      </w:r>
      <w:bookmarkEnd w:id="72"/>
      <w:r w:rsidR="006022F9">
        <w:rPr>
          <w:rFonts w:ascii="Myriad Pro" w:hAnsi="Myriad Pro"/>
          <w:sz w:val="22"/>
          <w:szCs w:val="22"/>
        </w:rPr>
        <w:t xml:space="preserve"> </w:t>
      </w:r>
      <w:r w:rsidRPr="00517B41">
        <w:rPr>
          <w:rFonts w:ascii="Myriad Pro" w:hAnsi="Myriad Pro"/>
          <w:sz w:val="22"/>
          <w:szCs w:val="22"/>
        </w:rPr>
        <w:t xml:space="preserve">Cumulative and incremental frequency magnitude distributions of the Starfish episode </w:t>
      </w:r>
      <w:r w:rsidRPr="006022F9">
        <w:rPr>
          <w:rFonts w:ascii="Myriad Pro" w:hAnsi="Myriad Pro"/>
          <w:b w:val="0"/>
          <w:bCs w:val="0"/>
          <w:sz w:val="22"/>
          <w:szCs w:val="22"/>
        </w:rPr>
        <w:t xml:space="preserve">catalog for, </w:t>
      </w:r>
      <w:r w:rsidRPr="006022F9">
        <w:rPr>
          <w:rFonts w:ascii="Myriad Pro" w:hAnsi="Myriad Pro"/>
          <w:sz w:val="22"/>
          <w:szCs w:val="22"/>
        </w:rPr>
        <w:t>(a)</w:t>
      </w:r>
      <w:r w:rsidRPr="006022F9">
        <w:rPr>
          <w:rFonts w:ascii="Myriad Pro" w:hAnsi="Myriad Pro"/>
          <w:b w:val="0"/>
          <w:bCs w:val="0"/>
          <w:sz w:val="22"/>
          <w:szCs w:val="22"/>
        </w:rPr>
        <w:t xml:space="preserve"> the </w:t>
      </w:r>
      <w:r w:rsidR="008750DB">
        <w:rPr>
          <w:rFonts w:ascii="Myriad Pro" w:hAnsi="Myriad Pro"/>
          <w:b w:val="0"/>
          <w:bCs w:val="0"/>
          <w:sz w:val="22"/>
          <w:szCs w:val="22"/>
        </w:rPr>
        <w:t xml:space="preserve">part of the </w:t>
      </w:r>
      <w:r w:rsidRPr="006022F9">
        <w:rPr>
          <w:rFonts w:ascii="Myriad Pro" w:hAnsi="Myriad Pro"/>
          <w:b w:val="0"/>
          <w:bCs w:val="0"/>
          <w:sz w:val="22"/>
          <w:szCs w:val="22"/>
        </w:rPr>
        <w:t xml:space="preserve">first heating cycle, </w:t>
      </w:r>
      <w:r w:rsidRPr="006022F9">
        <w:rPr>
          <w:rFonts w:ascii="Myriad Pro" w:hAnsi="Myriad Pro"/>
          <w:sz w:val="22"/>
          <w:szCs w:val="22"/>
        </w:rPr>
        <w:t>(b)</w:t>
      </w:r>
      <w:r w:rsidRPr="006022F9">
        <w:rPr>
          <w:rFonts w:ascii="Myriad Pro" w:hAnsi="Myriad Pro"/>
          <w:b w:val="0"/>
          <w:bCs w:val="0"/>
          <w:sz w:val="22"/>
          <w:szCs w:val="22"/>
        </w:rPr>
        <w:t xml:space="preserve"> the second </w:t>
      </w:r>
      <w:r w:rsidR="008750DB">
        <w:rPr>
          <w:rFonts w:ascii="Myriad Pro" w:hAnsi="Myriad Pro"/>
          <w:b w:val="0"/>
          <w:bCs w:val="0"/>
          <w:sz w:val="22"/>
          <w:szCs w:val="22"/>
        </w:rPr>
        <w:t xml:space="preserve">part of the first </w:t>
      </w:r>
      <w:r w:rsidRPr="006022F9">
        <w:rPr>
          <w:rFonts w:ascii="Myriad Pro" w:hAnsi="Myriad Pro"/>
          <w:b w:val="0"/>
          <w:bCs w:val="0"/>
          <w:sz w:val="22"/>
          <w:szCs w:val="22"/>
        </w:rPr>
        <w:t xml:space="preserve">heating cycle, </w:t>
      </w:r>
      <w:r w:rsidRPr="006022F9">
        <w:rPr>
          <w:rFonts w:ascii="Myriad Pro" w:hAnsi="Myriad Pro"/>
          <w:sz w:val="22"/>
          <w:szCs w:val="22"/>
        </w:rPr>
        <w:t xml:space="preserve">(c) </w:t>
      </w:r>
      <w:r w:rsidRPr="006022F9">
        <w:rPr>
          <w:rFonts w:ascii="Myriad Pro" w:hAnsi="Myriad Pro"/>
          <w:b w:val="0"/>
          <w:bCs w:val="0"/>
          <w:sz w:val="22"/>
          <w:szCs w:val="22"/>
        </w:rPr>
        <w:t xml:space="preserve">the </w:t>
      </w:r>
      <w:r w:rsidR="008750DB">
        <w:rPr>
          <w:rFonts w:ascii="Myriad Pro" w:hAnsi="Myriad Pro"/>
          <w:b w:val="0"/>
          <w:bCs w:val="0"/>
          <w:sz w:val="22"/>
          <w:szCs w:val="22"/>
        </w:rPr>
        <w:t>second</w:t>
      </w:r>
      <w:r w:rsidRPr="006022F9">
        <w:rPr>
          <w:rFonts w:ascii="Myriad Pro" w:hAnsi="Myriad Pro"/>
          <w:b w:val="0"/>
          <w:bCs w:val="0"/>
          <w:sz w:val="22"/>
          <w:szCs w:val="22"/>
        </w:rPr>
        <w:t xml:space="preserve"> heating cycle</w:t>
      </w:r>
      <w:r w:rsidR="008750DB">
        <w:rPr>
          <w:rFonts w:ascii="Myriad Pro" w:hAnsi="Myriad Pro"/>
          <w:b w:val="0"/>
          <w:bCs w:val="0"/>
          <w:sz w:val="22"/>
          <w:szCs w:val="22"/>
        </w:rPr>
        <w:t>,</w:t>
      </w:r>
      <w:r w:rsidRPr="006022F9">
        <w:rPr>
          <w:rFonts w:ascii="Myriad Pro" w:hAnsi="Myriad Pro"/>
          <w:b w:val="0"/>
          <w:bCs w:val="0"/>
          <w:sz w:val="22"/>
          <w:szCs w:val="22"/>
        </w:rPr>
        <w:t xml:space="preserve"> </w:t>
      </w:r>
      <w:r w:rsidRPr="006022F9">
        <w:rPr>
          <w:rFonts w:ascii="Myriad Pro" w:hAnsi="Myriad Pro"/>
          <w:sz w:val="22"/>
          <w:szCs w:val="22"/>
        </w:rPr>
        <w:t>(d)</w:t>
      </w:r>
      <w:r w:rsidRPr="006022F9">
        <w:rPr>
          <w:rFonts w:ascii="Myriad Pro" w:hAnsi="Myriad Pro"/>
          <w:b w:val="0"/>
          <w:bCs w:val="0"/>
          <w:sz w:val="22"/>
          <w:szCs w:val="22"/>
        </w:rPr>
        <w:t xml:space="preserve"> the </w:t>
      </w:r>
      <w:r w:rsidR="008750DB">
        <w:rPr>
          <w:rFonts w:ascii="Myriad Pro" w:hAnsi="Myriad Pro"/>
          <w:b w:val="0"/>
          <w:bCs w:val="0"/>
          <w:sz w:val="22"/>
          <w:szCs w:val="22"/>
        </w:rPr>
        <w:t>third</w:t>
      </w:r>
      <w:r w:rsidRPr="006022F9">
        <w:rPr>
          <w:rFonts w:ascii="Myriad Pro" w:hAnsi="Myriad Pro"/>
          <w:b w:val="0"/>
          <w:bCs w:val="0"/>
          <w:sz w:val="22"/>
          <w:szCs w:val="22"/>
        </w:rPr>
        <w:t xml:space="preserve"> heating cycle period</w:t>
      </w:r>
      <w:r w:rsidR="008750DB">
        <w:rPr>
          <w:rFonts w:ascii="Myriad Pro" w:hAnsi="Myriad Pro"/>
          <w:b w:val="0"/>
          <w:bCs w:val="0"/>
          <w:sz w:val="22"/>
          <w:szCs w:val="22"/>
        </w:rPr>
        <w:t xml:space="preserve">, </w:t>
      </w:r>
      <w:r w:rsidR="008750DB" w:rsidRPr="00900D09">
        <w:rPr>
          <w:rFonts w:ascii="Myriad Pro" w:hAnsi="Myriad Pro"/>
          <w:sz w:val="22"/>
          <w:szCs w:val="22"/>
        </w:rPr>
        <w:t>(e)</w:t>
      </w:r>
      <w:r w:rsidR="008750DB">
        <w:rPr>
          <w:rFonts w:ascii="Myriad Pro" w:hAnsi="Myriad Pro"/>
          <w:b w:val="0"/>
          <w:bCs w:val="0"/>
          <w:sz w:val="22"/>
          <w:szCs w:val="22"/>
        </w:rPr>
        <w:t xml:space="preserve"> the first part of the fourth heating cycle and </w:t>
      </w:r>
      <w:r w:rsidR="008750DB" w:rsidRPr="00900D09">
        <w:rPr>
          <w:rFonts w:ascii="Myriad Pro" w:hAnsi="Myriad Pro"/>
          <w:sz w:val="22"/>
          <w:szCs w:val="22"/>
        </w:rPr>
        <w:t>(f)</w:t>
      </w:r>
      <w:r w:rsidR="008750DB">
        <w:rPr>
          <w:rFonts w:ascii="Myriad Pro" w:hAnsi="Myriad Pro"/>
          <w:b w:val="0"/>
          <w:bCs w:val="0"/>
          <w:sz w:val="22"/>
          <w:szCs w:val="22"/>
        </w:rPr>
        <w:t xml:space="preserve"> the </w:t>
      </w:r>
      <w:r w:rsidR="00900D09">
        <w:rPr>
          <w:rFonts w:ascii="Myriad Pro" w:hAnsi="Myriad Pro"/>
          <w:b w:val="0"/>
          <w:bCs w:val="0"/>
          <w:sz w:val="22"/>
          <w:szCs w:val="22"/>
        </w:rPr>
        <w:t>second part of the fourth heating cycle</w:t>
      </w:r>
      <w:r w:rsidRPr="006022F9">
        <w:rPr>
          <w:rFonts w:ascii="Myriad Pro" w:hAnsi="Myriad Pro"/>
          <w:b w:val="0"/>
          <w:bCs w:val="0"/>
          <w:sz w:val="22"/>
          <w:szCs w:val="22"/>
        </w:rPr>
        <w:t xml:space="preserve"> The chosen magnitudes of completeness for each period are marked by the vertical red lines.</w:t>
      </w:r>
    </w:p>
    <w:p w14:paraId="7E2EC144" w14:textId="30C84232" w:rsidR="00900D09" w:rsidRDefault="00900D09">
      <w:r>
        <w:br w:type="page"/>
      </w:r>
    </w:p>
    <w:p w14:paraId="0010894F" w14:textId="106C4518" w:rsidR="00900D09" w:rsidRDefault="00900D09" w:rsidP="00900D09">
      <w:r>
        <w:rPr>
          <w:noProof/>
          <w:lang w:val="en-IN" w:eastAsia="en-IN"/>
        </w:rPr>
        <w:lastRenderedPageBreak/>
        <w:drawing>
          <wp:inline distT="0" distB="0" distL="0" distR="0" wp14:anchorId="24A35F9D" wp14:editId="2DA409B2">
            <wp:extent cx="5486400" cy="36487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486400" cy="3648710"/>
                    </a:xfrm>
                    <a:prstGeom prst="rect">
                      <a:avLst/>
                    </a:prstGeom>
                  </pic:spPr>
                </pic:pic>
              </a:graphicData>
            </a:graphic>
          </wp:inline>
        </w:drawing>
      </w:r>
    </w:p>
    <w:p w14:paraId="03C57AF9" w14:textId="77777777" w:rsidR="00900D09" w:rsidRDefault="00900D09" w:rsidP="00900D09"/>
    <w:p w14:paraId="53AE0FD3" w14:textId="198307D9" w:rsidR="00F9379D" w:rsidRPr="00517B41" w:rsidRDefault="00F9379D" w:rsidP="00932277">
      <w:pPr>
        <w:pStyle w:val="SMHeading"/>
        <w:jc w:val="both"/>
        <w:rPr>
          <w:rFonts w:ascii="Myriad Pro" w:hAnsi="Myriad Pro"/>
          <w:sz w:val="22"/>
          <w:szCs w:val="22"/>
        </w:rPr>
      </w:pPr>
      <w:r w:rsidRPr="00517B41">
        <w:rPr>
          <w:rFonts w:ascii="Myriad Pro" w:hAnsi="Myriad Pro"/>
          <w:sz w:val="22"/>
          <w:szCs w:val="22"/>
        </w:rPr>
        <w:t>Figure S</w:t>
      </w:r>
      <w:r w:rsidRPr="0067025F">
        <w:rPr>
          <w:rFonts w:ascii="Myriad Pro" w:hAnsi="Myriad Pro"/>
          <w:sz w:val="22"/>
          <w:szCs w:val="22"/>
        </w:rPr>
        <w:t>5</w:t>
      </w:r>
      <w:r>
        <w:rPr>
          <w:rFonts w:ascii="Myriad Pro" w:hAnsi="Myriad Pro"/>
          <w:sz w:val="22"/>
          <w:szCs w:val="22"/>
        </w:rPr>
        <w:t>3</w:t>
      </w:r>
      <w:r w:rsidRPr="00517B41">
        <w:rPr>
          <w:rFonts w:ascii="Myriad Pro" w:hAnsi="Myriad Pro"/>
          <w:sz w:val="22"/>
          <w:szCs w:val="22"/>
        </w:rPr>
        <w:t xml:space="preserve">. </w:t>
      </w:r>
      <w:r w:rsidR="0067025F">
        <w:rPr>
          <w:rFonts w:ascii="Myriad Pro" w:hAnsi="Myriad Pro"/>
          <w:b w:val="0"/>
          <w:bCs w:val="0"/>
          <w:sz w:val="22"/>
          <w:szCs w:val="22"/>
        </w:rPr>
        <w:t>S</w:t>
      </w:r>
      <w:r w:rsidR="0067025F" w:rsidRPr="003249D8">
        <w:rPr>
          <w:rFonts w:ascii="Myriad Pro" w:hAnsi="Myriad Pro"/>
          <w:b w:val="0"/>
          <w:bCs w:val="0"/>
          <w:sz w:val="22"/>
          <w:szCs w:val="22"/>
        </w:rPr>
        <w:t xml:space="preserve">patial distribution of the magnitude of completeness over a gridded area for </w:t>
      </w:r>
      <w:r w:rsidR="0067025F">
        <w:rPr>
          <w:rFonts w:ascii="Myriad Pro" w:hAnsi="Myriad Pro"/>
          <w:b w:val="0"/>
          <w:bCs w:val="0"/>
          <w:sz w:val="22"/>
          <w:szCs w:val="22"/>
        </w:rPr>
        <w:t xml:space="preserve">the Starfish </w:t>
      </w:r>
      <w:r w:rsidR="0067025F" w:rsidRPr="00A26096">
        <w:rPr>
          <w:rFonts w:ascii="Myriad Pro" w:hAnsi="Myriad Pro"/>
          <w:b w:val="0"/>
          <w:bCs w:val="0"/>
          <w:sz w:val="22"/>
          <w:szCs w:val="22"/>
        </w:rPr>
        <w:t>catalog</w:t>
      </w:r>
      <w:r w:rsidR="00932277">
        <w:rPr>
          <w:rFonts w:ascii="Myriad Pro" w:hAnsi="Myriad Pro"/>
          <w:b w:val="0"/>
          <w:bCs w:val="0"/>
          <w:sz w:val="22"/>
          <w:szCs w:val="22"/>
        </w:rPr>
        <w:t xml:space="preserve"> for </w:t>
      </w:r>
      <w:r w:rsidR="00932277" w:rsidRPr="006022F9">
        <w:rPr>
          <w:rFonts w:ascii="Myriad Pro" w:hAnsi="Myriad Pro"/>
          <w:sz w:val="22"/>
          <w:szCs w:val="22"/>
        </w:rPr>
        <w:t>(a)</w:t>
      </w:r>
      <w:r w:rsidR="00932277" w:rsidRPr="006022F9">
        <w:rPr>
          <w:rFonts w:ascii="Myriad Pro" w:hAnsi="Myriad Pro"/>
          <w:b w:val="0"/>
          <w:bCs w:val="0"/>
          <w:sz w:val="22"/>
          <w:szCs w:val="22"/>
        </w:rPr>
        <w:t xml:space="preserve"> the </w:t>
      </w:r>
      <w:r w:rsidR="00932277">
        <w:rPr>
          <w:rFonts w:ascii="Myriad Pro" w:hAnsi="Myriad Pro"/>
          <w:b w:val="0"/>
          <w:bCs w:val="0"/>
          <w:sz w:val="22"/>
          <w:szCs w:val="22"/>
        </w:rPr>
        <w:t xml:space="preserve">part of the </w:t>
      </w:r>
      <w:r w:rsidR="00932277" w:rsidRPr="006022F9">
        <w:rPr>
          <w:rFonts w:ascii="Myriad Pro" w:hAnsi="Myriad Pro"/>
          <w:b w:val="0"/>
          <w:bCs w:val="0"/>
          <w:sz w:val="22"/>
          <w:szCs w:val="22"/>
        </w:rPr>
        <w:t xml:space="preserve">first heating cycle, </w:t>
      </w:r>
      <w:r w:rsidR="00932277" w:rsidRPr="006022F9">
        <w:rPr>
          <w:rFonts w:ascii="Myriad Pro" w:hAnsi="Myriad Pro"/>
          <w:sz w:val="22"/>
          <w:szCs w:val="22"/>
        </w:rPr>
        <w:t>(b)</w:t>
      </w:r>
      <w:r w:rsidR="00932277" w:rsidRPr="006022F9">
        <w:rPr>
          <w:rFonts w:ascii="Myriad Pro" w:hAnsi="Myriad Pro"/>
          <w:b w:val="0"/>
          <w:bCs w:val="0"/>
          <w:sz w:val="22"/>
          <w:szCs w:val="22"/>
        </w:rPr>
        <w:t xml:space="preserve"> the second </w:t>
      </w:r>
      <w:r w:rsidR="00932277">
        <w:rPr>
          <w:rFonts w:ascii="Myriad Pro" w:hAnsi="Myriad Pro"/>
          <w:b w:val="0"/>
          <w:bCs w:val="0"/>
          <w:sz w:val="22"/>
          <w:szCs w:val="22"/>
        </w:rPr>
        <w:t xml:space="preserve">part of the first </w:t>
      </w:r>
      <w:r w:rsidR="00932277" w:rsidRPr="006022F9">
        <w:rPr>
          <w:rFonts w:ascii="Myriad Pro" w:hAnsi="Myriad Pro"/>
          <w:b w:val="0"/>
          <w:bCs w:val="0"/>
          <w:sz w:val="22"/>
          <w:szCs w:val="22"/>
        </w:rPr>
        <w:t xml:space="preserve">heating cycle, </w:t>
      </w:r>
      <w:r w:rsidR="00932277" w:rsidRPr="006022F9">
        <w:rPr>
          <w:rFonts w:ascii="Myriad Pro" w:hAnsi="Myriad Pro"/>
          <w:sz w:val="22"/>
          <w:szCs w:val="22"/>
        </w:rPr>
        <w:t xml:space="preserve">(c) </w:t>
      </w:r>
      <w:r w:rsidR="00932277" w:rsidRPr="006022F9">
        <w:rPr>
          <w:rFonts w:ascii="Myriad Pro" w:hAnsi="Myriad Pro"/>
          <w:b w:val="0"/>
          <w:bCs w:val="0"/>
          <w:sz w:val="22"/>
          <w:szCs w:val="22"/>
        </w:rPr>
        <w:t xml:space="preserve">the </w:t>
      </w:r>
      <w:r w:rsidR="00932277">
        <w:rPr>
          <w:rFonts w:ascii="Myriad Pro" w:hAnsi="Myriad Pro"/>
          <w:b w:val="0"/>
          <w:bCs w:val="0"/>
          <w:sz w:val="22"/>
          <w:szCs w:val="22"/>
        </w:rPr>
        <w:t>second</w:t>
      </w:r>
      <w:r w:rsidR="00932277" w:rsidRPr="006022F9">
        <w:rPr>
          <w:rFonts w:ascii="Myriad Pro" w:hAnsi="Myriad Pro"/>
          <w:b w:val="0"/>
          <w:bCs w:val="0"/>
          <w:sz w:val="22"/>
          <w:szCs w:val="22"/>
        </w:rPr>
        <w:t xml:space="preserve"> heating cycle</w:t>
      </w:r>
      <w:r w:rsidR="00932277">
        <w:rPr>
          <w:rFonts w:ascii="Myriad Pro" w:hAnsi="Myriad Pro"/>
          <w:b w:val="0"/>
          <w:bCs w:val="0"/>
          <w:sz w:val="22"/>
          <w:szCs w:val="22"/>
        </w:rPr>
        <w:t>,</w:t>
      </w:r>
      <w:r w:rsidR="00932277" w:rsidRPr="006022F9">
        <w:rPr>
          <w:rFonts w:ascii="Myriad Pro" w:hAnsi="Myriad Pro"/>
          <w:b w:val="0"/>
          <w:bCs w:val="0"/>
          <w:sz w:val="22"/>
          <w:szCs w:val="22"/>
        </w:rPr>
        <w:t xml:space="preserve"> </w:t>
      </w:r>
      <w:r w:rsidR="00932277" w:rsidRPr="006022F9">
        <w:rPr>
          <w:rFonts w:ascii="Myriad Pro" w:hAnsi="Myriad Pro"/>
          <w:sz w:val="22"/>
          <w:szCs w:val="22"/>
        </w:rPr>
        <w:t>(d)</w:t>
      </w:r>
      <w:r w:rsidR="00932277" w:rsidRPr="006022F9">
        <w:rPr>
          <w:rFonts w:ascii="Myriad Pro" w:hAnsi="Myriad Pro"/>
          <w:b w:val="0"/>
          <w:bCs w:val="0"/>
          <w:sz w:val="22"/>
          <w:szCs w:val="22"/>
        </w:rPr>
        <w:t xml:space="preserve"> the </w:t>
      </w:r>
      <w:r w:rsidR="00932277">
        <w:rPr>
          <w:rFonts w:ascii="Myriad Pro" w:hAnsi="Myriad Pro"/>
          <w:b w:val="0"/>
          <w:bCs w:val="0"/>
          <w:sz w:val="22"/>
          <w:szCs w:val="22"/>
        </w:rPr>
        <w:t>third</w:t>
      </w:r>
      <w:r w:rsidR="00932277" w:rsidRPr="006022F9">
        <w:rPr>
          <w:rFonts w:ascii="Myriad Pro" w:hAnsi="Myriad Pro"/>
          <w:b w:val="0"/>
          <w:bCs w:val="0"/>
          <w:sz w:val="22"/>
          <w:szCs w:val="22"/>
        </w:rPr>
        <w:t xml:space="preserve"> heating cycle period</w:t>
      </w:r>
      <w:r w:rsidR="00932277">
        <w:rPr>
          <w:rFonts w:ascii="Myriad Pro" w:hAnsi="Myriad Pro"/>
          <w:b w:val="0"/>
          <w:bCs w:val="0"/>
          <w:sz w:val="22"/>
          <w:szCs w:val="22"/>
        </w:rPr>
        <w:t xml:space="preserve">, </w:t>
      </w:r>
      <w:r w:rsidR="00932277" w:rsidRPr="00900D09">
        <w:rPr>
          <w:rFonts w:ascii="Myriad Pro" w:hAnsi="Myriad Pro"/>
          <w:sz w:val="22"/>
          <w:szCs w:val="22"/>
        </w:rPr>
        <w:t>(e)</w:t>
      </w:r>
      <w:r w:rsidR="00932277">
        <w:rPr>
          <w:rFonts w:ascii="Myriad Pro" w:hAnsi="Myriad Pro"/>
          <w:b w:val="0"/>
          <w:bCs w:val="0"/>
          <w:sz w:val="22"/>
          <w:szCs w:val="22"/>
        </w:rPr>
        <w:t xml:space="preserve"> the first part of the fourth heating cycle and </w:t>
      </w:r>
      <w:r w:rsidR="00932277" w:rsidRPr="00900D09">
        <w:rPr>
          <w:rFonts w:ascii="Myriad Pro" w:hAnsi="Myriad Pro"/>
          <w:sz w:val="22"/>
          <w:szCs w:val="22"/>
        </w:rPr>
        <w:t>(f)</w:t>
      </w:r>
      <w:r w:rsidR="00932277">
        <w:rPr>
          <w:rFonts w:ascii="Myriad Pro" w:hAnsi="Myriad Pro"/>
          <w:b w:val="0"/>
          <w:bCs w:val="0"/>
          <w:sz w:val="22"/>
          <w:szCs w:val="22"/>
        </w:rPr>
        <w:t xml:space="preserve"> the second part of the fourth heating cycle.</w:t>
      </w:r>
    </w:p>
    <w:p w14:paraId="715A3BC0" w14:textId="7186A908" w:rsidR="00451A03" w:rsidRDefault="00451A03">
      <w:pPr>
        <w:rPr>
          <w:rFonts w:ascii="Myriad Pro" w:hAnsi="Myriad Pro"/>
          <w:sz w:val="22"/>
          <w:szCs w:val="22"/>
        </w:rPr>
      </w:pPr>
      <w:r>
        <w:rPr>
          <w:rFonts w:ascii="Myriad Pro" w:hAnsi="Myriad Pro"/>
          <w:sz w:val="22"/>
          <w:szCs w:val="22"/>
        </w:rPr>
        <w:br w:type="page"/>
      </w:r>
    </w:p>
    <w:p w14:paraId="0BE951F7" w14:textId="24EE97DD" w:rsidR="009932D9" w:rsidRPr="00517B41" w:rsidRDefault="00451A03" w:rsidP="009932D9">
      <w:pPr>
        <w:ind w:left="450" w:hanging="450"/>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7044B513" wp14:editId="254F99CA">
            <wp:extent cx="5486400" cy="3302635"/>
            <wp:effectExtent l="0" t="0" r="0" b="0"/>
            <wp:docPr id="622849560" name="Picture 622849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60" name="Picture 622849560"/>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486400" cy="3302635"/>
                    </a:xfrm>
                    <a:prstGeom prst="rect">
                      <a:avLst/>
                    </a:prstGeom>
                  </pic:spPr>
                </pic:pic>
              </a:graphicData>
            </a:graphic>
          </wp:inline>
        </w:drawing>
      </w:r>
    </w:p>
    <w:p w14:paraId="2E161EF2" w14:textId="323A9547" w:rsidR="009932D9" w:rsidRPr="00517B41" w:rsidRDefault="009932D9" w:rsidP="00D60145">
      <w:pPr>
        <w:pStyle w:val="SMHeading"/>
        <w:jc w:val="both"/>
        <w:rPr>
          <w:rFonts w:ascii="Myriad Pro" w:hAnsi="Myriad Pro"/>
          <w:sz w:val="22"/>
          <w:szCs w:val="22"/>
        </w:rPr>
      </w:pPr>
      <w:bookmarkStart w:id="73" w:name="_Toc162436076"/>
      <w:r w:rsidRPr="00517B41">
        <w:rPr>
          <w:rFonts w:ascii="Myriad Pro" w:hAnsi="Myriad Pro"/>
          <w:sz w:val="22"/>
          <w:szCs w:val="22"/>
        </w:rPr>
        <w:t>Figure S</w:t>
      </w:r>
      <w:r w:rsidR="00D60145">
        <w:rPr>
          <w:rFonts w:ascii="Myriad Pro" w:hAnsi="Myriad Pro"/>
          <w:sz w:val="22"/>
          <w:szCs w:val="22"/>
        </w:rPr>
        <w:t>54</w:t>
      </w:r>
      <w:r w:rsidRPr="00517B41">
        <w:rPr>
          <w:rFonts w:ascii="Myriad Pro" w:hAnsi="Myriad Pro"/>
          <w:sz w:val="22"/>
          <w:szCs w:val="22"/>
        </w:rPr>
        <w:t>.</w:t>
      </w:r>
      <w:bookmarkEnd w:id="73"/>
      <w:r w:rsidRPr="00517B41">
        <w:rPr>
          <w:rFonts w:ascii="Myriad Pro" w:hAnsi="Myriad Pro"/>
          <w:sz w:val="22"/>
          <w:szCs w:val="22"/>
        </w:rPr>
        <w:t xml:space="preserve"> Cumulative number of earthquakes above Mc versus time represented with black circles </w:t>
      </w:r>
      <w:r w:rsidRPr="00D60145">
        <w:rPr>
          <w:rFonts w:ascii="Myriad Pro" w:hAnsi="Myriad Pro"/>
          <w:b w:val="0"/>
          <w:bCs w:val="0"/>
          <w:sz w:val="22"/>
          <w:szCs w:val="22"/>
        </w:rPr>
        <w:t>for,</w:t>
      </w:r>
      <w:r w:rsidRPr="00517B41">
        <w:rPr>
          <w:rFonts w:ascii="Myriad Pro" w:hAnsi="Myriad Pro"/>
          <w:sz w:val="22"/>
          <w:szCs w:val="22"/>
        </w:rPr>
        <w:t xml:space="preserve"> </w:t>
      </w:r>
      <w:r w:rsidRPr="00D60145">
        <w:rPr>
          <w:rFonts w:ascii="Myriad Pro" w:hAnsi="Myriad Pro"/>
          <w:sz w:val="22"/>
          <w:szCs w:val="22"/>
        </w:rPr>
        <w:t xml:space="preserve">(a) </w:t>
      </w:r>
      <w:r w:rsidRPr="00D60145">
        <w:rPr>
          <w:rFonts w:ascii="Myriad Pro" w:hAnsi="Myriad Pro"/>
          <w:b w:val="0"/>
          <w:bCs w:val="0"/>
          <w:sz w:val="22"/>
          <w:szCs w:val="22"/>
        </w:rPr>
        <w:t xml:space="preserve">the first heating cycle period, </w:t>
      </w:r>
      <w:r w:rsidRPr="00D60145">
        <w:rPr>
          <w:rFonts w:ascii="Myriad Pro" w:hAnsi="Myriad Pro"/>
          <w:sz w:val="22"/>
          <w:szCs w:val="22"/>
        </w:rPr>
        <w:t>(b)</w:t>
      </w:r>
      <w:r w:rsidRPr="00D60145">
        <w:rPr>
          <w:rFonts w:ascii="Myriad Pro" w:hAnsi="Myriad Pro"/>
          <w:b w:val="0"/>
          <w:bCs w:val="0"/>
          <w:sz w:val="22"/>
          <w:szCs w:val="22"/>
        </w:rPr>
        <w:t xml:space="preserve"> the second heating cycle period, </w:t>
      </w:r>
      <w:r w:rsidRPr="00D60145">
        <w:rPr>
          <w:rFonts w:ascii="Myriad Pro" w:hAnsi="Myriad Pro"/>
          <w:sz w:val="22"/>
          <w:szCs w:val="22"/>
        </w:rPr>
        <w:t>(c)</w:t>
      </w:r>
      <w:r w:rsidRPr="00D60145">
        <w:rPr>
          <w:rFonts w:ascii="Myriad Pro" w:hAnsi="Myriad Pro"/>
          <w:b w:val="0"/>
          <w:bCs w:val="0"/>
          <w:sz w:val="22"/>
          <w:szCs w:val="22"/>
        </w:rPr>
        <w:t xml:space="preserve"> the third heating cycle period and </w:t>
      </w:r>
      <w:r w:rsidRPr="00D60145">
        <w:rPr>
          <w:rFonts w:ascii="Myriad Pro" w:hAnsi="Myriad Pro"/>
          <w:sz w:val="22"/>
          <w:szCs w:val="22"/>
        </w:rPr>
        <w:t>(d)</w:t>
      </w:r>
      <w:r w:rsidRPr="00D60145">
        <w:rPr>
          <w:rFonts w:ascii="Myriad Pro" w:hAnsi="Myriad Pro"/>
          <w:b w:val="0"/>
          <w:bCs w:val="0"/>
          <w:sz w:val="22"/>
          <w:szCs w:val="22"/>
        </w:rPr>
        <w:t xml:space="preserve"> the fourth heating cycle period. The </w:t>
      </w:r>
      <w:r w:rsidR="00D50119" w:rsidRPr="00D60145">
        <w:rPr>
          <w:rFonts w:ascii="Myriad Pro" w:hAnsi="Myriad Pro"/>
          <w:b w:val="0"/>
          <w:bCs w:val="0"/>
          <w:sz w:val="22"/>
          <w:szCs w:val="22"/>
        </w:rPr>
        <w:t>six</w:t>
      </w:r>
      <w:r w:rsidRPr="00D60145">
        <w:rPr>
          <w:rFonts w:ascii="Myriad Pro" w:hAnsi="Myriad Pro"/>
          <w:b w:val="0"/>
          <w:bCs w:val="0"/>
          <w:sz w:val="22"/>
          <w:szCs w:val="22"/>
        </w:rPr>
        <w:t xml:space="preserve"> stationary activity rate periods are noted with red, magenta, green and yellow</w:t>
      </w:r>
      <w:r w:rsidR="00D50119" w:rsidRPr="00D60145">
        <w:rPr>
          <w:rFonts w:ascii="Myriad Pro" w:hAnsi="Myriad Pro"/>
          <w:b w:val="0"/>
          <w:bCs w:val="0"/>
          <w:sz w:val="22"/>
          <w:szCs w:val="22"/>
        </w:rPr>
        <w:t>,</w:t>
      </w:r>
      <w:r w:rsidRPr="00D60145">
        <w:rPr>
          <w:rFonts w:ascii="Myriad Pro" w:hAnsi="Myriad Pro"/>
          <w:b w:val="0"/>
          <w:bCs w:val="0"/>
          <w:sz w:val="22"/>
          <w:szCs w:val="22"/>
        </w:rPr>
        <w:t xml:space="preserve"> blue</w:t>
      </w:r>
      <w:r w:rsidR="00D50119" w:rsidRPr="00D60145">
        <w:rPr>
          <w:rFonts w:ascii="Myriad Pro" w:hAnsi="Myriad Pro"/>
          <w:b w:val="0"/>
          <w:bCs w:val="0"/>
          <w:sz w:val="22"/>
          <w:szCs w:val="22"/>
        </w:rPr>
        <w:t xml:space="preserve"> and cyan</w:t>
      </w:r>
      <w:r w:rsidRPr="00D60145">
        <w:rPr>
          <w:rFonts w:ascii="Myriad Pro" w:hAnsi="Myriad Pro"/>
          <w:b w:val="0"/>
          <w:bCs w:val="0"/>
          <w:sz w:val="22"/>
          <w:szCs w:val="22"/>
        </w:rPr>
        <w:t xml:space="preserve"> colored circles. The same colors are used in Fig. S</w:t>
      </w:r>
      <w:r w:rsidR="00D60145" w:rsidRPr="00D60145">
        <w:rPr>
          <w:rFonts w:ascii="Myriad Pro" w:hAnsi="Myriad Pro"/>
          <w:b w:val="0"/>
          <w:bCs w:val="0"/>
          <w:sz w:val="22"/>
          <w:szCs w:val="22"/>
        </w:rPr>
        <w:t>5</w:t>
      </w:r>
      <w:r w:rsidR="00686598" w:rsidRPr="00D60145">
        <w:rPr>
          <w:rFonts w:ascii="Myriad Pro" w:hAnsi="Myriad Pro"/>
          <w:b w:val="0"/>
          <w:bCs w:val="0"/>
          <w:sz w:val="22"/>
          <w:szCs w:val="22"/>
        </w:rPr>
        <w:t>1</w:t>
      </w:r>
      <w:r w:rsidRPr="00D60145">
        <w:rPr>
          <w:rFonts w:ascii="Myriad Pro" w:hAnsi="Myriad Pro"/>
          <w:b w:val="0"/>
          <w:bCs w:val="0"/>
          <w:sz w:val="22"/>
          <w:szCs w:val="22"/>
        </w:rPr>
        <w:t xml:space="preserve"> for the epicentral distribution of earthquakes in those periods. Temperature recorded from four sensors appear with red, blue, green and yellow continues lines (right y-axis).</w:t>
      </w:r>
    </w:p>
    <w:p w14:paraId="21AE039B"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75AD28A0" w14:textId="77777777" w:rsidR="009932D9" w:rsidRPr="00517B41" w:rsidRDefault="009932D9" w:rsidP="009932D9">
      <w:pPr>
        <w:ind w:left="450" w:hanging="450"/>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1A80020F" wp14:editId="0A1FE2DE">
            <wp:extent cx="5686425" cy="2606832"/>
            <wp:effectExtent l="0" t="0" r="0" b="3175"/>
            <wp:docPr id="1847457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457213" name="Picture 1847457213"/>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02917" cy="2614392"/>
                    </a:xfrm>
                    <a:prstGeom prst="rect">
                      <a:avLst/>
                    </a:prstGeom>
                  </pic:spPr>
                </pic:pic>
              </a:graphicData>
            </a:graphic>
          </wp:inline>
        </w:drawing>
      </w:r>
    </w:p>
    <w:p w14:paraId="539E649C" w14:textId="70798356" w:rsidR="009932D9" w:rsidRDefault="009932D9" w:rsidP="002809E9">
      <w:pPr>
        <w:pStyle w:val="SMHeading"/>
        <w:jc w:val="both"/>
        <w:rPr>
          <w:rFonts w:ascii="Myriad Pro" w:hAnsi="Myriad Pro"/>
          <w:b w:val="0"/>
          <w:bCs w:val="0"/>
          <w:sz w:val="22"/>
          <w:szCs w:val="22"/>
        </w:rPr>
      </w:pPr>
      <w:bookmarkStart w:id="74" w:name="_Toc162436077"/>
      <w:r w:rsidRPr="00517B41">
        <w:rPr>
          <w:rFonts w:ascii="Myriad Pro" w:hAnsi="Myriad Pro"/>
          <w:sz w:val="22"/>
          <w:szCs w:val="22"/>
        </w:rPr>
        <w:t>Figure S</w:t>
      </w:r>
      <w:r w:rsidR="002809E9">
        <w:rPr>
          <w:rFonts w:ascii="Myriad Pro" w:hAnsi="Myriad Pro"/>
          <w:sz w:val="22"/>
          <w:szCs w:val="22"/>
        </w:rPr>
        <w:t>55</w:t>
      </w:r>
      <w:r w:rsidRPr="00517B41">
        <w:rPr>
          <w:rFonts w:ascii="Myriad Pro" w:hAnsi="Myriad Pro"/>
          <w:sz w:val="22"/>
          <w:szCs w:val="22"/>
        </w:rPr>
        <w:t>.</w:t>
      </w:r>
      <w:bookmarkEnd w:id="74"/>
      <w:r w:rsidRPr="00517B41">
        <w:rPr>
          <w:rFonts w:ascii="Myriad Pro" w:hAnsi="Myriad Pro"/>
          <w:sz w:val="22"/>
          <w:szCs w:val="22"/>
        </w:rPr>
        <w:t xml:space="preserve"> (a) </w:t>
      </w:r>
      <w:r w:rsidRPr="002809E9">
        <w:rPr>
          <w:rFonts w:ascii="Myriad Pro" w:hAnsi="Myriad Pro"/>
          <w:b w:val="0"/>
          <w:bCs w:val="0"/>
          <w:sz w:val="22"/>
          <w:szCs w:val="22"/>
        </w:rPr>
        <w:t xml:space="preserve">Epicentral distribution of the seismicity of the Pyhasalmi mine episode catalog. The earthquakes that were not used in any step of processing are represented by gray colours, the earthquakes of the NE cluster are represented by the soft pink and those of the NW cluster by the soft brown color, </w:t>
      </w:r>
      <w:r w:rsidRPr="002809E9">
        <w:rPr>
          <w:rFonts w:ascii="Myriad Pro" w:hAnsi="Myriad Pro"/>
          <w:sz w:val="22"/>
          <w:szCs w:val="22"/>
        </w:rPr>
        <w:t>(b)</w:t>
      </w:r>
      <w:r w:rsidRPr="002809E9">
        <w:rPr>
          <w:rFonts w:ascii="Myriad Pro" w:hAnsi="Myriad Pro"/>
          <w:b w:val="0"/>
          <w:bCs w:val="0"/>
          <w:sz w:val="22"/>
          <w:szCs w:val="22"/>
        </w:rPr>
        <w:t xml:space="preserve"> same as (a), with the additional information of the subcatalogs used in the magnitude complexity testing represented by red, green, yellow, blue and magenta circles. The blasts are represented by cyan rectangles The mine polygons appear with brown continuous lines.</w:t>
      </w:r>
    </w:p>
    <w:p w14:paraId="279A53AD" w14:textId="163AEA73" w:rsidR="006D6FAA" w:rsidRDefault="006D6FAA">
      <w:r>
        <w:br w:type="page"/>
      </w:r>
    </w:p>
    <w:p w14:paraId="0A5851CD" w14:textId="77777777" w:rsidR="009932D9" w:rsidRPr="00517B41" w:rsidRDefault="009932D9" w:rsidP="009932D9">
      <w:pPr>
        <w:ind w:left="450" w:hanging="450"/>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7865B0A9" wp14:editId="41EAB935">
            <wp:extent cx="5114925" cy="2590089"/>
            <wp:effectExtent l="0" t="0" r="0" b="1270"/>
            <wp:docPr id="669847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847731" name="Picture 66984773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169335" cy="2617641"/>
                    </a:xfrm>
                    <a:prstGeom prst="rect">
                      <a:avLst/>
                    </a:prstGeom>
                  </pic:spPr>
                </pic:pic>
              </a:graphicData>
            </a:graphic>
          </wp:inline>
        </w:drawing>
      </w:r>
    </w:p>
    <w:p w14:paraId="2E70AEC7" w14:textId="447D2812" w:rsidR="009932D9" w:rsidRPr="002809E9" w:rsidRDefault="009932D9" w:rsidP="002809E9">
      <w:pPr>
        <w:pStyle w:val="SMHeading"/>
        <w:jc w:val="both"/>
        <w:rPr>
          <w:rFonts w:ascii="Myriad Pro" w:hAnsi="Myriad Pro"/>
          <w:b w:val="0"/>
          <w:bCs w:val="0"/>
          <w:sz w:val="22"/>
          <w:szCs w:val="22"/>
        </w:rPr>
      </w:pPr>
      <w:bookmarkStart w:id="75" w:name="_Toc162436078"/>
      <w:r w:rsidRPr="00517B41">
        <w:rPr>
          <w:rFonts w:ascii="Myriad Pro" w:hAnsi="Myriad Pro"/>
          <w:sz w:val="22"/>
          <w:szCs w:val="22"/>
        </w:rPr>
        <w:t>Figure S</w:t>
      </w:r>
      <w:r w:rsidR="002809E9">
        <w:rPr>
          <w:rFonts w:ascii="Myriad Pro" w:hAnsi="Myriad Pro"/>
          <w:sz w:val="22"/>
          <w:szCs w:val="22"/>
        </w:rPr>
        <w:t>56</w:t>
      </w:r>
      <w:r w:rsidRPr="00517B41">
        <w:rPr>
          <w:rFonts w:ascii="Myriad Pro" w:hAnsi="Myriad Pro"/>
          <w:sz w:val="22"/>
          <w:szCs w:val="22"/>
        </w:rPr>
        <w:t>.</w:t>
      </w:r>
      <w:bookmarkEnd w:id="75"/>
      <w:r w:rsidR="002809E9">
        <w:rPr>
          <w:rFonts w:ascii="Myriad Pro" w:hAnsi="Myriad Pro"/>
          <w:sz w:val="22"/>
          <w:szCs w:val="22"/>
        </w:rPr>
        <w:t xml:space="preserve"> </w:t>
      </w:r>
      <w:r w:rsidRPr="00517B41">
        <w:rPr>
          <w:rFonts w:ascii="Myriad Pro" w:hAnsi="Myriad Pro"/>
          <w:sz w:val="22"/>
          <w:szCs w:val="22"/>
        </w:rPr>
        <w:t>Cumulative and incremental frequency magnitude distributions of the Pyhasalmi mine episode catalog for, (a</w:t>
      </w:r>
      <w:r w:rsidRPr="002809E9">
        <w:rPr>
          <w:rFonts w:ascii="Myriad Pro" w:hAnsi="Myriad Pro"/>
          <w:b w:val="0"/>
          <w:bCs w:val="0"/>
          <w:sz w:val="22"/>
          <w:szCs w:val="22"/>
        </w:rPr>
        <w:t xml:space="preserve">) the northwestern earthquake cluster and, </w:t>
      </w:r>
      <w:r w:rsidRPr="002809E9">
        <w:rPr>
          <w:rFonts w:ascii="Myriad Pro" w:hAnsi="Myriad Pro"/>
          <w:sz w:val="22"/>
          <w:szCs w:val="22"/>
        </w:rPr>
        <w:t>(b)</w:t>
      </w:r>
      <w:r w:rsidRPr="002809E9">
        <w:rPr>
          <w:rFonts w:ascii="Myriad Pro" w:hAnsi="Myriad Pro"/>
          <w:b w:val="0"/>
          <w:bCs w:val="0"/>
          <w:sz w:val="22"/>
          <w:szCs w:val="22"/>
        </w:rPr>
        <w:t xml:space="preserve"> the northeastern earthquake cluster. The chosen magnitudes of completeness for each period are marked by the vertical red lines.</w:t>
      </w:r>
    </w:p>
    <w:p w14:paraId="46489833" w14:textId="6688CB11" w:rsidR="009932D9" w:rsidRPr="00DA4EEF" w:rsidRDefault="009932D9" w:rsidP="009932D9">
      <w:pPr>
        <w:rPr>
          <w:rFonts w:ascii="Myriad Pro" w:hAnsi="Myriad Pro"/>
          <w:szCs w:val="24"/>
        </w:rPr>
      </w:pPr>
    </w:p>
    <w:p w14:paraId="6A03ACA0" w14:textId="7DD5893C" w:rsidR="009932D9" w:rsidRDefault="006D6FAA" w:rsidP="009932D9">
      <w:pPr>
        <w:pStyle w:val="SMcaption"/>
        <w:jc w:val="both"/>
        <w:rPr>
          <w:rFonts w:ascii="Myriad Pro" w:hAnsi="Myriad Pro"/>
          <w:sz w:val="22"/>
          <w:szCs w:val="22"/>
        </w:rPr>
      </w:pPr>
      <w:r>
        <w:rPr>
          <w:rFonts w:ascii="Myriad Pro" w:hAnsi="Myriad Pro"/>
          <w:noProof/>
          <w:sz w:val="22"/>
          <w:szCs w:val="22"/>
          <w:lang w:val="en-IN" w:eastAsia="en-IN"/>
        </w:rPr>
        <w:drawing>
          <wp:inline distT="0" distB="0" distL="0" distR="0" wp14:anchorId="03FEC421" wp14:editId="5D96C5C4">
            <wp:extent cx="5114925" cy="2911482"/>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124215" cy="2916770"/>
                    </a:xfrm>
                    <a:prstGeom prst="rect">
                      <a:avLst/>
                    </a:prstGeom>
                  </pic:spPr>
                </pic:pic>
              </a:graphicData>
            </a:graphic>
          </wp:inline>
        </w:drawing>
      </w:r>
    </w:p>
    <w:p w14:paraId="58227D9A" w14:textId="6B9E2133" w:rsidR="00DA4EEF" w:rsidRPr="00517B41" w:rsidRDefault="00DA4EEF" w:rsidP="00DA4EEF">
      <w:pPr>
        <w:pStyle w:val="SMHeading"/>
        <w:jc w:val="both"/>
        <w:rPr>
          <w:rFonts w:ascii="Myriad Pro" w:hAnsi="Myriad Pro"/>
          <w:sz w:val="22"/>
          <w:szCs w:val="22"/>
        </w:rPr>
      </w:pPr>
      <w:r w:rsidRPr="00517B41">
        <w:rPr>
          <w:rFonts w:ascii="Myriad Pro" w:hAnsi="Myriad Pro"/>
          <w:sz w:val="22"/>
          <w:szCs w:val="22"/>
        </w:rPr>
        <w:t>Figure S</w:t>
      </w:r>
      <w:r>
        <w:rPr>
          <w:rFonts w:ascii="Myriad Pro" w:hAnsi="Myriad Pro"/>
          <w:sz w:val="22"/>
          <w:szCs w:val="22"/>
        </w:rPr>
        <w:t>57</w:t>
      </w:r>
      <w:r w:rsidRPr="00517B41">
        <w:rPr>
          <w:rFonts w:ascii="Myriad Pro" w:hAnsi="Myriad Pro"/>
          <w:sz w:val="22"/>
          <w:szCs w:val="22"/>
        </w:rPr>
        <w:t xml:space="preserve">. </w:t>
      </w:r>
      <w:r>
        <w:rPr>
          <w:rFonts w:ascii="Myriad Pro" w:hAnsi="Myriad Pro"/>
          <w:b w:val="0"/>
          <w:bCs w:val="0"/>
          <w:sz w:val="22"/>
          <w:szCs w:val="22"/>
        </w:rPr>
        <w:t>S</w:t>
      </w:r>
      <w:r w:rsidRPr="003249D8">
        <w:rPr>
          <w:rFonts w:ascii="Myriad Pro" w:hAnsi="Myriad Pro"/>
          <w:b w:val="0"/>
          <w:bCs w:val="0"/>
          <w:sz w:val="22"/>
          <w:szCs w:val="22"/>
        </w:rPr>
        <w:t xml:space="preserve">patial distribution of the magnitude of completeness over a gridded area for </w:t>
      </w:r>
      <w:r w:rsidRPr="00DA4EEF">
        <w:rPr>
          <w:rFonts w:ascii="Myriad Pro" w:hAnsi="Myriad Pro"/>
          <w:sz w:val="22"/>
          <w:szCs w:val="22"/>
        </w:rPr>
        <w:t>(a)</w:t>
      </w:r>
      <w:r w:rsidRPr="00DA4EEF">
        <w:rPr>
          <w:rFonts w:ascii="Myriad Pro" w:hAnsi="Myriad Pro"/>
          <w:b w:val="0"/>
          <w:bCs w:val="0"/>
          <w:sz w:val="22"/>
          <w:szCs w:val="22"/>
        </w:rPr>
        <w:t xml:space="preserve"> the NE cluster of the and </w:t>
      </w:r>
      <w:r w:rsidRPr="00DA4EEF">
        <w:rPr>
          <w:rFonts w:ascii="Myriad Pro" w:hAnsi="Myriad Pro"/>
          <w:sz w:val="22"/>
          <w:szCs w:val="22"/>
        </w:rPr>
        <w:t>(b)</w:t>
      </w:r>
      <w:r w:rsidRPr="00DA4EEF">
        <w:rPr>
          <w:rFonts w:ascii="Myriad Pro" w:hAnsi="Myriad Pro"/>
          <w:b w:val="0"/>
          <w:bCs w:val="0"/>
          <w:sz w:val="22"/>
          <w:szCs w:val="22"/>
        </w:rPr>
        <w:t xml:space="preserve"> the NW cluster of the Pyhasalmi mine episode catalog</w:t>
      </w:r>
    </w:p>
    <w:p w14:paraId="1F88A4AF" w14:textId="2C6C907F" w:rsidR="00DA4EEF" w:rsidRDefault="00DA4EEF">
      <w:pPr>
        <w:rPr>
          <w:rFonts w:ascii="Myriad Pro" w:hAnsi="Myriad Pro"/>
          <w:sz w:val="22"/>
          <w:szCs w:val="22"/>
        </w:rPr>
      </w:pPr>
      <w:r>
        <w:rPr>
          <w:rFonts w:ascii="Myriad Pro" w:hAnsi="Myriad Pro"/>
          <w:sz w:val="22"/>
          <w:szCs w:val="22"/>
        </w:rPr>
        <w:br w:type="page"/>
      </w:r>
    </w:p>
    <w:p w14:paraId="2A0256A2" w14:textId="77777777" w:rsidR="009932D9" w:rsidRPr="00517B41" w:rsidRDefault="009932D9" w:rsidP="009932D9">
      <w:pPr>
        <w:ind w:left="450" w:hanging="450"/>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1037F837" wp14:editId="4E3A1598">
            <wp:extent cx="5716498" cy="5204770"/>
            <wp:effectExtent l="0" t="0" r="0" b="0"/>
            <wp:docPr id="20587232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723270" name="Picture 2058723270"/>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49100" cy="5234453"/>
                    </a:xfrm>
                    <a:prstGeom prst="rect">
                      <a:avLst/>
                    </a:prstGeom>
                  </pic:spPr>
                </pic:pic>
              </a:graphicData>
            </a:graphic>
          </wp:inline>
        </w:drawing>
      </w:r>
    </w:p>
    <w:p w14:paraId="59728113" w14:textId="31650B00" w:rsidR="009932D9" w:rsidRPr="0051438E" w:rsidRDefault="009932D9" w:rsidP="0051438E">
      <w:pPr>
        <w:pStyle w:val="SMHeading"/>
        <w:jc w:val="both"/>
        <w:rPr>
          <w:rFonts w:ascii="Myriad Pro" w:hAnsi="Myriad Pro"/>
          <w:b w:val="0"/>
          <w:bCs w:val="0"/>
          <w:sz w:val="22"/>
          <w:szCs w:val="22"/>
        </w:rPr>
      </w:pPr>
      <w:bookmarkStart w:id="76" w:name="_Toc162436079"/>
      <w:r w:rsidRPr="00517B41">
        <w:rPr>
          <w:rFonts w:ascii="Myriad Pro" w:hAnsi="Myriad Pro"/>
          <w:sz w:val="22"/>
          <w:szCs w:val="22"/>
        </w:rPr>
        <w:t>Figure S</w:t>
      </w:r>
      <w:r w:rsidR="00F06AC3">
        <w:rPr>
          <w:rFonts w:ascii="Myriad Pro" w:hAnsi="Myriad Pro"/>
          <w:sz w:val="22"/>
          <w:szCs w:val="22"/>
        </w:rPr>
        <w:t>58</w:t>
      </w:r>
      <w:r w:rsidRPr="00517B41">
        <w:rPr>
          <w:rFonts w:ascii="Myriad Pro" w:hAnsi="Myriad Pro"/>
          <w:sz w:val="22"/>
          <w:szCs w:val="22"/>
        </w:rPr>
        <w:t>.</w:t>
      </w:r>
      <w:bookmarkEnd w:id="76"/>
      <w:r w:rsidRPr="00517B41">
        <w:rPr>
          <w:rFonts w:ascii="Myriad Pro" w:hAnsi="Myriad Pro"/>
          <w:sz w:val="22"/>
          <w:szCs w:val="22"/>
        </w:rPr>
        <w:t xml:space="preserve"> Cumulative number of earthquakes above Mc versus time represented with black circles for, (a) </w:t>
      </w:r>
      <w:r w:rsidRPr="0051438E">
        <w:rPr>
          <w:rFonts w:ascii="Myriad Pro" w:hAnsi="Myriad Pro"/>
          <w:b w:val="0"/>
          <w:bCs w:val="0"/>
          <w:sz w:val="22"/>
          <w:szCs w:val="22"/>
        </w:rPr>
        <w:t xml:space="preserve">the northwestern earthquake cluster and, </w:t>
      </w:r>
      <w:r w:rsidRPr="0051438E">
        <w:rPr>
          <w:rFonts w:ascii="Myriad Pro" w:hAnsi="Myriad Pro"/>
          <w:sz w:val="22"/>
          <w:szCs w:val="22"/>
        </w:rPr>
        <w:t xml:space="preserve">(b) </w:t>
      </w:r>
      <w:r w:rsidRPr="0051438E">
        <w:rPr>
          <w:rFonts w:ascii="Myriad Pro" w:hAnsi="Myriad Pro"/>
          <w:b w:val="0"/>
          <w:bCs w:val="0"/>
          <w:sz w:val="22"/>
          <w:szCs w:val="22"/>
        </w:rPr>
        <w:t>the northeastern earthquake cluster. The five stationary activity rate periods are noted with red and green colored areas in (a) and with and yellow-, blue- and magenta-colored areas in (b). The same colors are used in Fig. S</w:t>
      </w:r>
      <w:r w:rsidR="00F06AC3" w:rsidRPr="0051438E">
        <w:rPr>
          <w:rFonts w:ascii="Myriad Pro" w:hAnsi="Myriad Pro"/>
          <w:b w:val="0"/>
          <w:bCs w:val="0"/>
          <w:sz w:val="22"/>
          <w:szCs w:val="22"/>
        </w:rPr>
        <w:t>55</w:t>
      </w:r>
      <w:r w:rsidRPr="0051438E">
        <w:rPr>
          <w:rFonts w:ascii="Myriad Pro" w:hAnsi="Myriad Pro"/>
          <w:b w:val="0"/>
          <w:bCs w:val="0"/>
          <w:sz w:val="22"/>
          <w:szCs w:val="22"/>
        </w:rPr>
        <w:t>b for the epicentral distribution of earthquakes in those periods. The times of blasts are marked by vertical red lines.</w:t>
      </w:r>
    </w:p>
    <w:p w14:paraId="4AAED831"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30A8A359"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255B4A3A" wp14:editId="3A3B5D06">
            <wp:extent cx="5330313" cy="4818589"/>
            <wp:effectExtent l="0" t="0" r="381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340763" cy="4828035"/>
                    </a:xfrm>
                    <a:prstGeom prst="rect">
                      <a:avLst/>
                    </a:prstGeom>
                  </pic:spPr>
                </pic:pic>
              </a:graphicData>
            </a:graphic>
          </wp:inline>
        </w:drawing>
      </w:r>
    </w:p>
    <w:p w14:paraId="7B225AC5" w14:textId="2AB41598" w:rsidR="009932D9" w:rsidRPr="0051438E" w:rsidRDefault="009932D9" w:rsidP="0051438E">
      <w:pPr>
        <w:pStyle w:val="SMHeading"/>
        <w:jc w:val="both"/>
        <w:rPr>
          <w:rFonts w:ascii="Myriad Pro" w:hAnsi="Myriad Pro"/>
          <w:b w:val="0"/>
          <w:bCs w:val="0"/>
          <w:sz w:val="22"/>
          <w:szCs w:val="22"/>
        </w:rPr>
      </w:pPr>
      <w:bookmarkStart w:id="77" w:name="_Toc162436080"/>
      <w:r w:rsidRPr="00517B41">
        <w:rPr>
          <w:rFonts w:ascii="Myriad Pro" w:hAnsi="Myriad Pro"/>
          <w:sz w:val="22"/>
          <w:szCs w:val="22"/>
        </w:rPr>
        <w:t>Figure S</w:t>
      </w:r>
      <w:r w:rsidR="0051438E">
        <w:rPr>
          <w:rFonts w:ascii="Myriad Pro" w:hAnsi="Myriad Pro"/>
          <w:sz w:val="22"/>
          <w:szCs w:val="22"/>
        </w:rPr>
        <w:t>59</w:t>
      </w:r>
      <w:r w:rsidRPr="00517B41">
        <w:rPr>
          <w:rFonts w:ascii="Myriad Pro" w:hAnsi="Myriad Pro"/>
          <w:sz w:val="22"/>
          <w:szCs w:val="22"/>
        </w:rPr>
        <w:t>.</w:t>
      </w:r>
      <w:bookmarkEnd w:id="77"/>
      <w:r w:rsidRPr="00517B41">
        <w:rPr>
          <w:rFonts w:ascii="Myriad Pro" w:hAnsi="Myriad Pro"/>
          <w:sz w:val="22"/>
          <w:szCs w:val="22"/>
        </w:rPr>
        <w:t xml:space="preserve"> Seismicity of the Gisos - Cerville Episode for (a) </w:t>
      </w:r>
      <w:r w:rsidRPr="0051438E">
        <w:rPr>
          <w:rFonts w:ascii="Myriad Pro" w:hAnsi="Myriad Pro"/>
          <w:b w:val="0"/>
          <w:bCs w:val="0"/>
          <w:sz w:val="22"/>
          <w:szCs w:val="22"/>
        </w:rPr>
        <w:t xml:space="preserve">The seismic activity of 2008 in 1-day bins (blue histograms), and </w:t>
      </w:r>
      <w:r w:rsidRPr="0051438E">
        <w:rPr>
          <w:rFonts w:ascii="Myriad Pro" w:hAnsi="Myriad Pro"/>
          <w:sz w:val="22"/>
          <w:szCs w:val="22"/>
        </w:rPr>
        <w:t>(b)</w:t>
      </w:r>
      <w:r w:rsidRPr="0051438E">
        <w:rPr>
          <w:rFonts w:ascii="Myriad Pro" w:hAnsi="Myriad Pro"/>
          <w:b w:val="0"/>
          <w:bCs w:val="0"/>
          <w:sz w:val="22"/>
          <w:szCs w:val="22"/>
        </w:rPr>
        <w:t xml:space="preserve"> the seismic activity of 2009 in 1-hour bins (blue histograms) along with ground water level above sea with (red line).</w:t>
      </w:r>
    </w:p>
    <w:p w14:paraId="70011E97"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75FF7DC4" w14:textId="77777777" w:rsidR="009932D9" w:rsidRPr="00517B41" w:rsidRDefault="009932D9" w:rsidP="009932D9">
      <w:pPr>
        <w:jc w:val="center"/>
        <w:rPr>
          <w:rFonts w:ascii="Myriad Pro" w:hAnsi="Myriad Pro"/>
          <w:sz w:val="22"/>
          <w:szCs w:val="22"/>
        </w:rPr>
      </w:pPr>
    </w:p>
    <w:p w14:paraId="6588AC3B" w14:textId="68C6A2FD" w:rsidR="009932D9" w:rsidRPr="00517B41" w:rsidRDefault="00A23192" w:rsidP="009932D9">
      <w:pPr>
        <w:jc w:val="center"/>
        <w:rPr>
          <w:rFonts w:ascii="Myriad Pro" w:hAnsi="Myriad Pro"/>
          <w:sz w:val="22"/>
          <w:szCs w:val="22"/>
        </w:rPr>
      </w:pPr>
      <w:r>
        <w:rPr>
          <w:rFonts w:ascii="Myriad Pro" w:hAnsi="Myriad Pro"/>
          <w:noProof/>
          <w:sz w:val="22"/>
          <w:szCs w:val="22"/>
          <w:lang w:val="en-IN" w:eastAsia="en-IN"/>
        </w:rPr>
        <w:drawing>
          <wp:inline distT="0" distB="0" distL="0" distR="0" wp14:anchorId="2767B74D" wp14:editId="7858257E">
            <wp:extent cx="5486400" cy="4061460"/>
            <wp:effectExtent l="0" t="0" r="0" b="0"/>
            <wp:docPr id="622849564" name="Picture 622849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64" name="Picture 622849564"/>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486400" cy="4061460"/>
                    </a:xfrm>
                    <a:prstGeom prst="rect">
                      <a:avLst/>
                    </a:prstGeom>
                  </pic:spPr>
                </pic:pic>
              </a:graphicData>
            </a:graphic>
          </wp:inline>
        </w:drawing>
      </w:r>
    </w:p>
    <w:p w14:paraId="205E0783" w14:textId="42442194" w:rsidR="009932D9" w:rsidRPr="001F51E6" w:rsidRDefault="009932D9" w:rsidP="001F51E6">
      <w:pPr>
        <w:pStyle w:val="SMHeading"/>
        <w:jc w:val="both"/>
        <w:rPr>
          <w:rFonts w:ascii="Myriad Pro" w:hAnsi="Myriad Pro"/>
          <w:b w:val="0"/>
          <w:bCs w:val="0"/>
          <w:sz w:val="22"/>
          <w:szCs w:val="22"/>
        </w:rPr>
      </w:pPr>
      <w:bookmarkStart w:id="78" w:name="_Toc162436081"/>
      <w:r w:rsidRPr="00517B41">
        <w:rPr>
          <w:rFonts w:ascii="Myriad Pro" w:hAnsi="Myriad Pro"/>
          <w:sz w:val="22"/>
          <w:szCs w:val="22"/>
        </w:rPr>
        <w:t>Figure S</w:t>
      </w:r>
      <w:r w:rsidR="0051438E">
        <w:rPr>
          <w:rFonts w:ascii="Myriad Pro" w:hAnsi="Myriad Pro"/>
          <w:sz w:val="22"/>
          <w:szCs w:val="22"/>
        </w:rPr>
        <w:t>60</w:t>
      </w:r>
      <w:r w:rsidRPr="00517B41">
        <w:rPr>
          <w:rFonts w:ascii="Myriad Pro" w:hAnsi="Myriad Pro"/>
          <w:sz w:val="22"/>
          <w:szCs w:val="22"/>
        </w:rPr>
        <w:t>.</w:t>
      </w:r>
      <w:bookmarkEnd w:id="78"/>
      <w:r w:rsidRPr="00517B41">
        <w:rPr>
          <w:rFonts w:ascii="Myriad Pro" w:hAnsi="Myriad Pro"/>
          <w:sz w:val="22"/>
          <w:szCs w:val="22"/>
        </w:rPr>
        <w:t xml:space="preserve"> Epicentral distribution of the seismicity of, (a) </w:t>
      </w:r>
      <w:r w:rsidRPr="001F51E6">
        <w:rPr>
          <w:rFonts w:ascii="Myriad Pro" w:hAnsi="Myriad Pro"/>
          <w:b w:val="0"/>
          <w:bCs w:val="0"/>
          <w:sz w:val="22"/>
          <w:szCs w:val="22"/>
        </w:rPr>
        <w:t xml:space="preserve">the 13426 earthquakes of the Gisos–Cerville catalog between March and June 2008, and </w:t>
      </w:r>
      <w:r w:rsidRPr="001F51E6">
        <w:rPr>
          <w:rFonts w:ascii="Myriad Pro" w:hAnsi="Myriad Pro"/>
          <w:sz w:val="22"/>
          <w:szCs w:val="22"/>
        </w:rPr>
        <w:t>(b)</w:t>
      </w:r>
      <w:r w:rsidRPr="001F51E6">
        <w:rPr>
          <w:rFonts w:ascii="Myriad Pro" w:hAnsi="Myriad Pro"/>
          <w:b w:val="0"/>
          <w:bCs w:val="0"/>
          <w:sz w:val="22"/>
          <w:szCs w:val="22"/>
        </w:rPr>
        <w:t xml:space="preserve"> the 7034 earthquakes in the same are for February 2009. The unused earthquakes for magnitude complexity testing are depicted in gray colors. The clusters that were finally selected to assess the magnitude distribution are represented with red</w:t>
      </w:r>
      <w:r w:rsidR="00A23192" w:rsidRPr="001F51E6">
        <w:rPr>
          <w:rFonts w:ascii="Myriad Pro" w:hAnsi="Myriad Pro"/>
          <w:b w:val="0"/>
          <w:bCs w:val="0"/>
          <w:sz w:val="22"/>
          <w:szCs w:val="22"/>
        </w:rPr>
        <w:t xml:space="preserve"> and</w:t>
      </w:r>
      <w:r w:rsidRPr="001F51E6">
        <w:rPr>
          <w:rFonts w:ascii="Myriad Pro" w:hAnsi="Myriad Pro"/>
          <w:b w:val="0"/>
          <w:bCs w:val="0"/>
          <w:sz w:val="22"/>
          <w:szCs w:val="22"/>
        </w:rPr>
        <w:t xml:space="preserve"> green colors for the 2008 seismicity and with blue and yellow for the 2009 seismicity.</w:t>
      </w:r>
    </w:p>
    <w:p w14:paraId="21412095" w14:textId="5A8BBCF5" w:rsidR="004E72B4" w:rsidRDefault="004E72B4">
      <w:pPr>
        <w:rPr>
          <w:rFonts w:ascii="Myriad Pro" w:hAnsi="Myriad Pro"/>
          <w:sz w:val="22"/>
          <w:szCs w:val="22"/>
        </w:rPr>
      </w:pPr>
      <w:r>
        <w:rPr>
          <w:rFonts w:ascii="Myriad Pro" w:hAnsi="Myriad Pro"/>
          <w:sz w:val="22"/>
          <w:szCs w:val="22"/>
        </w:rPr>
        <w:br w:type="page"/>
      </w:r>
    </w:p>
    <w:p w14:paraId="55B1C110" w14:textId="5E98C949" w:rsidR="009932D9" w:rsidRPr="00517B41" w:rsidRDefault="004E72B4"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266ED6DA" wp14:editId="2AFA7CAD">
            <wp:extent cx="5486400" cy="2694305"/>
            <wp:effectExtent l="0" t="0" r="0" b="0"/>
            <wp:docPr id="622849562" name="Picture 622849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62" name="Picture 622849562"/>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486400" cy="2694305"/>
                    </a:xfrm>
                    <a:prstGeom prst="rect">
                      <a:avLst/>
                    </a:prstGeom>
                  </pic:spPr>
                </pic:pic>
              </a:graphicData>
            </a:graphic>
          </wp:inline>
        </w:drawing>
      </w:r>
    </w:p>
    <w:p w14:paraId="7C0F7B00" w14:textId="39DE9314" w:rsidR="009932D9" w:rsidRPr="00517B41" w:rsidRDefault="009932D9" w:rsidP="00BC338D">
      <w:pPr>
        <w:pStyle w:val="SMHeading"/>
        <w:jc w:val="both"/>
        <w:rPr>
          <w:rFonts w:ascii="Myriad Pro" w:hAnsi="Myriad Pro"/>
          <w:sz w:val="22"/>
          <w:szCs w:val="22"/>
        </w:rPr>
      </w:pPr>
      <w:bookmarkStart w:id="79" w:name="_Toc162436082"/>
      <w:r w:rsidRPr="00517B41">
        <w:rPr>
          <w:rFonts w:ascii="Myriad Pro" w:hAnsi="Myriad Pro"/>
          <w:sz w:val="22"/>
          <w:szCs w:val="22"/>
        </w:rPr>
        <w:t>Figure S</w:t>
      </w:r>
      <w:r w:rsidR="00BC338D">
        <w:rPr>
          <w:rFonts w:ascii="Myriad Pro" w:hAnsi="Myriad Pro"/>
          <w:sz w:val="22"/>
          <w:szCs w:val="22"/>
        </w:rPr>
        <w:t>61</w:t>
      </w:r>
      <w:r w:rsidRPr="00517B41">
        <w:rPr>
          <w:rFonts w:ascii="Myriad Pro" w:hAnsi="Myriad Pro"/>
          <w:sz w:val="22"/>
          <w:szCs w:val="22"/>
        </w:rPr>
        <w:t>.</w:t>
      </w:r>
      <w:bookmarkEnd w:id="79"/>
      <w:r w:rsidRPr="00517B41">
        <w:rPr>
          <w:rFonts w:ascii="Myriad Pro" w:hAnsi="Myriad Pro"/>
          <w:sz w:val="22"/>
          <w:szCs w:val="22"/>
        </w:rPr>
        <w:t xml:space="preserve"> Cumulative and incremental frequency magnitude distributions of, (a) </w:t>
      </w:r>
      <w:r w:rsidRPr="00BC338D">
        <w:rPr>
          <w:rFonts w:ascii="Myriad Pro" w:hAnsi="Myriad Pro"/>
          <w:b w:val="0"/>
          <w:bCs w:val="0"/>
          <w:sz w:val="22"/>
          <w:szCs w:val="22"/>
        </w:rPr>
        <w:t xml:space="preserve">the 13426 earthquakes that occurred in 2008 and </w:t>
      </w:r>
      <w:r w:rsidRPr="00BC338D">
        <w:rPr>
          <w:rFonts w:ascii="Myriad Pro" w:hAnsi="Myriad Pro"/>
          <w:sz w:val="22"/>
          <w:szCs w:val="22"/>
        </w:rPr>
        <w:t>(b)</w:t>
      </w:r>
      <w:r w:rsidRPr="00BC338D">
        <w:rPr>
          <w:rFonts w:ascii="Myriad Pro" w:hAnsi="Myriad Pro"/>
          <w:b w:val="0"/>
          <w:bCs w:val="0"/>
          <w:sz w:val="22"/>
          <w:szCs w:val="22"/>
        </w:rPr>
        <w:t xml:space="preserve"> the 7034 earthquakes that occurred in 2009. The chosen magnitude of completeness in each catalog is marked by the vertical red line.</w:t>
      </w:r>
    </w:p>
    <w:p w14:paraId="78EEB6C4" w14:textId="65F908BB" w:rsidR="009932D9" w:rsidRDefault="009932D9" w:rsidP="009932D9">
      <w:pPr>
        <w:rPr>
          <w:rFonts w:ascii="Myriad Pro" w:hAnsi="Myriad Pro"/>
          <w:sz w:val="22"/>
          <w:szCs w:val="22"/>
        </w:rPr>
      </w:pPr>
    </w:p>
    <w:p w14:paraId="72B14D5E" w14:textId="5E0D4F68" w:rsidR="00A779A1" w:rsidRDefault="00A779A1" w:rsidP="009932D9">
      <w:pPr>
        <w:rPr>
          <w:rFonts w:ascii="Myriad Pro" w:hAnsi="Myriad Pro"/>
          <w:sz w:val="22"/>
          <w:szCs w:val="22"/>
        </w:rPr>
      </w:pPr>
      <w:r>
        <w:rPr>
          <w:rFonts w:ascii="Myriad Pro" w:hAnsi="Myriad Pro"/>
          <w:noProof/>
          <w:sz w:val="22"/>
          <w:szCs w:val="22"/>
          <w:lang w:val="en-IN" w:eastAsia="en-IN"/>
        </w:rPr>
        <w:drawing>
          <wp:inline distT="0" distB="0" distL="0" distR="0" wp14:anchorId="3FAC4038" wp14:editId="2356DA56">
            <wp:extent cx="5486400" cy="312166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486400" cy="3121660"/>
                    </a:xfrm>
                    <a:prstGeom prst="rect">
                      <a:avLst/>
                    </a:prstGeom>
                  </pic:spPr>
                </pic:pic>
              </a:graphicData>
            </a:graphic>
          </wp:inline>
        </w:drawing>
      </w:r>
    </w:p>
    <w:p w14:paraId="7DE0494D" w14:textId="71CD005F" w:rsidR="00A779A1" w:rsidRPr="00517B41" w:rsidRDefault="00A779A1" w:rsidP="007C160D">
      <w:pPr>
        <w:pStyle w:val="SMHeading"/>
        <w:jc w:val="both"/>
        <w:rPr>
          <w:rFonts w:ascii="Myriad Pro" w:hAnsi="Myriad Pro"/>
          <w:sz w:val="22"/>
          <w:szCs w:val="22"/>
        </w:rPr>
      </w:pPr>
      <w:r w:rsidRPr="00517B41">
        <w:rPr>
          <w:rFonts w:ascii="Myriad Pro" w:hAnsi="Myriad Pro"/>
          <w:sz w:val="22"/>
          <w:szCs w:val="22"/>
        </w:rPr>
        <w:t>Figure S</w:t>
      </w:r>
      <w:r>
        <w:rPr>
          <w:rFonts w:ascii="Myriad Pro" w:hAnsi="Myriad Pro"/>
          <w:sz w:val="22"/>
          <w:szCs w:val="22"/>
        </w:rPr>
        <w:t>62</w:t>
      </w:r>
      <w:r w:rsidRPr="00517B41">
        <w:rPr>
          <w:rFonts w:ascii="Myriad Pro" w:hAnsi="Myriad Pro"/>
          <w:sz w:val="22"/>
          <w:szCs w:val="22"/>
        </w:rPr>
        <w:t xml:space="preserve">. </w:t>
      </w:r>
      <w:r>
        <w:rPr>
          <w:rFonts w:ascii="Myriad Pro" w:hAnsi="Myriad Pro"/>
          <w:b w:val="0"/>
          <w:bCs w:val="0"/>
          <w:sz w:val="22"/>
          <w:szCs w:val="22"/>
        </w:rPr>
        <w:t>S</w:t>
      </w:r>
      <w:r w:rsidRPr="003249D8">
        <w:rPr>
          <w:rFonts w:ascii="Myriad Pro" w:hAnsi="Myriad Pro"/>
          <w:b w:val="0"/>
          <w:bCs w:val="0"/>
          <w:sz w:val="22"/>
          <w:szCs w:val="22"/>
        </w:rPr>
        <w:t>patial distribution of the magnitude of completeness over a gridded area for</w:t>
      </w:r>
      <w:r>
        <w:rPr>
          <w:rFonts w:ascii="Myriad Pro" w:hAnsi="Myriad Pro"/>
          <w:b w:val="0"/>
          <w:bCs w:val="0"/>
          <w:sz w:val="22"/>
          <w:szCs w:val="22"/>
        </w:rPr>
        <w:t xml:space="preserve"> (a) the 2008 and (b) the 2009</w:t>
      </w:r>
      <w:r w:rsidR="007C160D">
        <w:rPr>
          <w:rFonts w:ascii="Myriad Pro" w:hAnsi="Myriad Pro"/>
          <w:b w:val="0"/>
          <w:bCs w:val="0"/>
          <w:sz w:val="22"/>
          <w:szCs w:val="22"/>
        </w:rPr>
        <w:t xml:space="preserve"> earthquake activity of the</w:t>
      </w:r>
      <w:r>
        <w:rPr>
          <w:rFonts w:ascii="Myriad Pro" w:hAnsi="Myriad Pro"/>
          <w:b w:val="0"/>
          <w:bCs w:val="0"/>
          <w:sz w:val="22"/>
          <w:szCs w:val="22"/>
        </w:rPr>
        <w:t xml:space="preserve"> </w:t>
      </w:r>
      <w:r w:rsidR="007C160D" w:rsidRPr="001F51E6">
        <w:rPr>
          <w:rFonts w:ascii="Myriad Pro" w:hAnsi="Myriad Pro"/>
          <w:b w:val="0"/>
          <w:bCs w:val="0"/>
          <w:sz w:val="22"/>
          <w:szCs w:val="22"/>
        </w:rPr>
        <w:t>Gisos–Cerville catalog</w:t>
      </w:r>
      <w:r w:rsidR="007C160D">
        <w:rPr>
          <w:rFonts w:ascii="Myriad Pro" w:hAnsi="Myriad Pro"/>
          <w:b w:val="0"/>
          <w:bCs w:val="0"/>
          <w:sz w:val="22"/>
          <w:szCs w:val="22"/>
        </w:rPr>
        <w:t>.</w:t>
      </w:r>
    </w:p>
    <w:p w14:paraId="47A980AD" w14:textId="609433A5" w:rsidR="007C160D" w:rsidRDefault="007C160D">
      <w:pPr>
        <w:rPr>
          <w:rFonts w:ascii="Myriad Pro" w:hAnsi="Myriad Pro"/>
          <w:sz w:val="22"/>
          <w:szCs w:val="22"/>
        </w:rPr>
      </w:pPr>
      <w:r>
        <w:rPr>
          <w:rFonts w:ascii="Myriad Pro" w:hAnsi="Myriad Pro"/>
          <w:sz w:val="22"/>
          <w:szCs w:val="22"/>
        </w:rPr>
        <w:br w:type="page"/>
      </w:r>
    </w:p>
    <w:p w14:paraId="3E2947BC" w14:textId="6EDF19FA" w:rsidR="009932D9" w:rsidRPr="00517B41" w:rsidRDefault="00F775E2"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7FF46BCD" wp14:editId="5E7A0305">
            <wp:extent cx="5486400" cy="4832985"/>
            <wp:effectExtent l="0" t="0" r="0" b="5715"/>
            <wp:docPr id="622849565" name="Picture 622849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65" name="Picture 622849565"/>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486400" cy="4832985"/>
                    </a:xfrm>
                    <a:prstGeom prst="rect">
                      <a:avLst/>
                    </a:prstGeom>
                  </pic:spPr>
                </pic:pic>
              </a:graphicData>
            </a:graphic>
          </wp:inline>
        </w:drawing>
      </w:r>
    </w:p>
    <w:p w14:paraId="664177CA" w14:textId="1EEC569A" w:rsidR="009932D9" w:rsidRPr="006D5812" w:rsidRDefault="009932D9" w:rsidP="006D5812">
      <w:pPr>
        <w:pStyle w:val="SMHeading"/>
        <w:jc w:val="both"/>
        <w:rPr>
          <w:rFonts w:ascii="Myriad Pro" w:hAnsi="Myriad Pro"/>
          <w:b w:val="0"/>
          <w:bCs w:val="0"/>
          <w:sz w:val="22"/>
          <w:szCs w:val="22"/>
        </w:rPr>
      </w:pPr>
      <w:bookmarkStart w:id="80" w:name="_Toc162436083"/>
      <w:r w:rsidRPr="00517B41">
        <w:rPr>
          <w:rFonts w:ascii="Myriad Pro" w:hAnsi="Myriad Pro"/>
          <w:sz w:val="22"/>
          <w:szCs w:val="22"/>
        </w:rPr>
        <w:t>Figure S</w:t>
      </w:r>
      <w:r w:rsidR="006D5812">
        <w:rPr>
          <w:rFonts w:ascii="Myriad Pro" w:hAnsi="Myriad Pro"/>
          <w:sz w:val="22"/>
          <w:szCs w:val="22"/>
        </w:rPr>
        <w:t>63</w:t>
      </w:r>
      <w:r w:rsidRPr="00517B41">
        <w:rPr>
          <w:rFonts w:ascii="Myriad Pro" w:hAnsi="Myriad Pro"/>
          <w:sz w:val="22"/>
          <w:szCs w:val="22"/>
        </w:rPr>
        <w:t>.</w:t>
      </w:r>
      <w:bookmarkEnd w:id="80"/>
      <w:r w:rsidRPr="00517B41">
        <w:rPr>
          <w:rFonts w:ascii="Myriad Pro" w:hAnsi="Myriad Pro"/>
          <w:sz w:val="22"/>
          <w:szCs w:val="22"/>
        </w:rPr>
        <w:t xml:space="preserve"> </w:t>
      </w:r>
      <w:r w:rsidRPr="006D5812">
        <w:rPr>
          <w:rFonts w:ascii="Myriad Pro" w:hAnsi="Myriad Pro"/>
          <w:sz w:val="22"/>
          <w:szCs w:val="22"/>
        </w:rPr>
        <w:t>Cumulative number of earthquakes above Mc versus time (Left y-axis) represented with black circles</w:t>
      </w:r>
      <w:r w:rsidRPr="006D5812">
        <w:rPr>
          <w:rFonts w:ascii="Myriad Pro" w:hAnsi="Myriad Pro"/>
          <w:b w:val="0"/>
          <w:bCs w:val="0"/>
          <w:sz w:val="22"/>
          <w:szCs w:val="22"/>
        </w:rPr>
        <w:t xml:space="preserve"> for, </w:t>
      </w:r>
      <w:r w:rsidRPr="006D5812">
        <w:rPr>
          <w:rFonts w:ascii="Myriad Pro" w:hAnsi="Myriad Pro"/>
          <w:sz w:val="22"/>
          <w:szCs w:val="22"/>
        </w:rPr>
        <w:t xml:space="preserve">(a) </w:t>
      </w:r>
      <w:r w:rsidRPr="006D5812">
        <w:rPr>
          <w:rFonts w:ascii="Myriad Pro" w:hAnsi="Myriad Pro"/>
          <w:b w:val="0"/>
          <w:bCs w:val="0"/>
          <w:sz w:val="22"/>
          <w:szCs w:val="22"/>
        </w:rPr>
        <w:t xml:space="preserve">the 2008 and </w:t>
      </w:r>
      <w:r w:rsidRPr="006D5812">
        <w:rPr>
          <w:rFonts w:ascii="Myriad Pro" w:hAnsi="Myriad Pro"/>
          <w:sz w:val="22"/>
          <w:szCs w:val="22"/>
        </w:rPr>
        <w:t>(b)</w:t>
      </w:r>
      <w:r w:rsidRPr="006D5812">
        <w:rPr>
          <w:rFonts w:ascii="Myriad Pro" w:hAnsi="Myriad Pro"/>
          <w:b w:val="0"/>
          <w:bCs w:val="0"/>
          <w:sz w:val="22"/>
          <w:szCs w:val="22"/>
        </w:rPr>
        <w:t xml:space="preserve"> the 2009 activity in Gisos–Cerville Episode. Ground water level above sea is plotted with red line (right y-axis) only for the 2009 activity. The stationary activity rate periods are noted with red, green and cyan colored areas for the 2008 activity (a) and with blue- and yellow-colored areas for the 2009 activity (b). The same colors are used in Figure S</w:t>
      </w:r>
      <w:r w:rsidR="006D5812" w:rsidRPr="006D5812">
        <w:rPr>
          <w:rFonts w:ascii="Myriad Pro" w:hAnsi="Myriad Pro"/>
          <w:b w:val="0"/>
          <w:bCs w:val="0"/>
          <w:sz w:val="22"/>
          <w:szCs w:val="22"/>
        </w:rPr>
        <w:t>60</w:t>
      </w:r>
      <w:r w:rsidRPr="006D5812">
        <w:rPr>
          <w:rFonts w:ascii="Myriad Pro" w:hAnsi="Myriad Pro"/>
          <w:b w:val="0"/>
          <w:bCs w:val="0"/>
          <w:sz w:val="22"/>
          <w:szCs w:val="22"/>
        </w:rPr>
        <w:t xml:space="preserve"> for the epicentral distribution of events in this period.</w:t>
      </w:r>
    </w:p>
    <w:p w14:paraId="789D5B7E"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47CBEC2E"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13F0DD76" wp14:editId="1A6CB66F">
            <wp:extent cx="5767384" cy="5114980"/>
            <wp:effectExtent l="0" t="0" r="5080" b="0"/>
            <wp:docPr id="1820207941" name="Picture 1820207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07941" name="Picture 182020794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816487" cy="5158528"/>
                    </a:xfrm>
                    <a:prstGeom prst="rect">
                      <a:avLst/>
                    </a:prstGeom>
                  </pic:spPr>
                </pic:pic>
              </a:graphicData>
            </a:graphic>
          </wp:inline>
        </w:drawing>
      </w:r>
    </w:p>
    <w:p w14:paraId="60CBBA08" w14:textId="3B93A1C5" w:rsidR="009932D9" w:rsidRPr="00517B41" w:rsidRDefault="009932D9" w:rsidP="00E20EA3">
      <w:pPr>
        <w:pStyle w:val="SMHeading"/>
        <w:jc w:val="both"/>
        <w:rPr>
          <w:rFonts w:ascii="Myriad Pro" w:hAnsi="Myriad Pro"/>
          <w:sz w:val="22"/>
          <w:szCs w:val="22"/>
        </w:rPr>
      </w:pPr>
      <w:bookmarkStart w:id="81" w:name="_Toc162436084"/>
      <w:r w:rsidRPr="00517B41">
        <w:rPr>
          <w:rFonts w:ascii="Myriad Pro" w:hAnsi="Myriad Pro"/>
          <w:sz w:val="22"/>
          <w:szCs w:val="22"/>
        </w:rPr>
        <w:t>Figure S</w:t>
      </w:r>
      <w:r w:rsidR="00E20EA3">
        <w:rPr>
          <w:rFonts w:ascii="Myriad Pro" w:hAnsi="Myriad Pro"/>
          <w:sz w:val="22"/>
          <w:szCs w:val="22"/>
        </w:rPr>
        <w:t>64</w:t>
      </w:r>
      <w:r w:rsidRPr="00517B41">
        <w:rPr>
          <w:rFonts w:ascii="Myriad Pro" w:hAnsi="Myriad Pro"/>
          <w:sz w:val="22"/>
          <w:szCs w:val="22"/>
        </w:rPr>
        <w:t>.</w:t>
      </w:r>
      <w:bookmarkEnd w:id="81"/>
      <w:r w:rsidRPr="00517B41">
        <w:rPr>
          <w:rFonts w:ascii="Myriad Pro" w:hAnsi="Myriad Pro"/>
          <w:sz w:val="22"/>
          <w:szCs w:val="22"/>
        </w:rPr>
        <w:t xml:space="preserve"> Epicentral distribution of the seismicity of the LGCD episode catalog after February 10, 2016. </w:t>
      </w:r>
      <w:r w:rsidRPr="00E20EA3">
        <w:rPr>
          <w:rFonts w:ascii="Myriad Pro" w:hAnsi="Myriad Pro"/>
          <w:b w:val="0"/>
          <w:bCs w:val="0"/>
          <w:sz w:val="22"/>
          <w:szCs w:val="22"/>
        </w:rPr>
        <w:t>The selected clusters for further study appear with different colored circles. The continuous black lines represent the mine areas.</w:t>
      </w:r>
    </w:p>
    <w:p w14:paraId="02AC9D8D"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3324D921" w14:textId="2E2DBC12" w:rsidR="009932D9" w:rsidRPr="00517B41" w:rsidRDefault="00E00130"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2B94D8C1" wp14:editId="095C6FB6">
            <wp:extent cx="5605669" cy="5268940"/>
            <wp:effectExtent l="0" t="0" r="0" b="8255"/>
            <wp:docPr id="622849566" name="Picture 622849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66" name="Picture 622849566"/>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610539" cy="5273518"/>
                    </a:xfrm>
                    <a:prstGeom prst="rect">
                      <a:avLst/>
                    </a:prstGeom>
                  </pic:spPr>
                </pic:pic>
              </a:graphicData>
            </a:graphic>
          </wp:inline>
        </w:drawing>
      </w:r>
    </w:p>
    <w:p w14:paraId="5639A117" w14:textId="6ABB6CA7" w:rsidR="009932D9" w:rsidRPr="00517B41" w:rsidRDefault="009932D9" w:rsidP="00E20EA3">
      <w:pPr>
        <w:pStyle w:val="SMHeading"/>
        <w:jc w:val="both"/>
        <w:rPr>
          <w:rFonts w:ascii="Myriad Pro" w:hAnsi="Myriad Pro"/>
          <w:sz w:val="22"/>
          <w:szCs w:val="22"/>
        </w:rPr>
      </w:pPr>
      <w:bookmarkStart w:id="82" w:name="_Toc162436085"/>
      <w:r w:rsidRPr="00517B41">
        <w:rPr>
          <w:rFonts w:ascii="Myriad Pro" w:hAnsi="Myriad Pro"/>
          <w:sz w:val="22"/>
          <w:szCs w:val="22"/>
        </w:rPr>
        <w:t>Figure S</w:t>
      </w:r>
      <w:r w:rsidR="00E20EA3">
        <w:rPr>
          <w:rFonts w:ascii="Myriad Pro" w:hAnsi="Myriad Pro"/>
          <w:sz w:val="22"/>
          <w:szCs w:val="22"/>
        </w:rPr>
        <w:t>65</w:t>
      </w:r>
      <w:r w:rsidRPr="00517B41">
        <w:rPr>
          <w:rFonts w:ascii="Myriad Pro" w:hAnsi="Myriad Pro"/>
          <w:sz w:val="22"/>
          <w:szCs w:val="22"/>
        </w:rPr>
        <w:t>.</w:t>
      </w:r>
      <w:bookmarkEnd w:id="82"/>
      <w:r w:rsidR="00E20EA3">
        <w:rPr>
          <w:rFonts w:ascii="Myriad Pro" w:hAnsi="Myriad Pro"/>
          <w:sz w:val="22"/>
          <w:szCs w:val="22"/>
        </w:rPr>
        <w:t xml:space="preserve"> </w:t>
      </w:r>
      <w:r w:rsidRPr="00517B41">
        <w:rPr>
          <w:rFonts w:ascii="Myriad Pro" w:hAnsi="Myriad Pro"/>
          <w:sz w:val="22"/>
          <w:szCs w:val="22"/>
        </w:rPr>
        <w:t xml:space="preserve">(a–f) Cumulative and incremental frequency magnitude distributions of Clusters 1–6. </w:t>
      </w:r>
      <w:r w:rsidRPr="00E20EA3">
        <w:rPr>
          <w:rFonts w:ascii="Myriad Pro" w:hAnsi="Myriad Pro"/>
          <w:b w:val="0"/>
          <w:bCs w:val="0"/>
          <w:sz w:val="22"/>
          <w:szCs w:val="22"/>
        </w:rPr>
        <w:t>The chosen magnitude of completeness in each catalog is marked by the vertical red line.</w:t>
      </w:r>
    </w:p>
    <w:p w14:paraId="7BE5C405"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389DFDC3"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01CFB255" wp14:editId="71C3FEB7">
            <wp:extent cx="4723075" cy="5117754"/>
            <wp:effectExtent l="0" t="0" r="1905" b="6985"/>
            <wp:docPr id="1820207943" name="Picture 1820207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07943" name="Picture 1820207943"/>
                    <pic:cNvPicPr/>
                  </pic:nvPicPr>
                  <pic:blipFill>
                    <a:blip r:embed="rId74" cstate="print">
                      <a:extLst>
                        <a:ext uri="{28A0092B-C50C-407E-A947-70E740481C1C}">
                          <a14:useLocalDpi xmlns:a14="http://schemas.microsoft.com/office/drawing/2010/main" val="0"/>
                        </a:ext>
                      </a:extLst>
                    </a:blip>
                    <a:stretch>
                      <a:fillRect/>
                    </a:stretch>
                  </pic:blipFill>
                  <pic:spPr>
                    <a:xfrm>
                      <a:off x="0" y="0"/>
                      <a:ext cx="4787036" cy="5187060"/>
                    </a:xfrm>
                    <a:prstGeom prst="rect">
                      <a:avLst/>
                    </a:prstGeom>
                  </pic:spPr>
                </pic:pic>
              </a:graphicData>
            </a:graphic>
          </wp:inline>
        </w:drawing>
      </w:r>
    </w:p>
    <w:p w14:paraId="4F0D0BF3" w14:textId="741B555D" w:rsidR="009932D9" w:rsidRPr="00517B41" w:rsidRDefault="009932D9" w:rsidP="00E20EA3">
      <w:pPr>
        <w:pStyle w:val="SMHeading"/>
        <w:rPr>
          <w:rFonts w:ascii="Myriad Pro" w:hAnsi="Myriad Pro"/>
          <w:sz w:val="22"/>
          <w:szCs w:val="22"/>
        </w:rPr>
      </w:pPr>
      <w:bookmarkStart w:id="83" w:name="_Toc162436086"/>
      <w:r w:rsidRPr="00517B41">
        <w:rPr>
          <w:rFonts w:ascii="Myriad Pro" w:hAnsi="Myriad Pro"/>
          <w:sz w:val="22"/>
          <w:szCs w:val="22"/>
        </w:rPr>
        <w:t>Figure S</w:t>
      </w:r>
      <w:r w:rsidR="00E20EA3">
        <w:rPr>
          <w:rFonts w:ascii="Myriad Pro" w:hAnsi="Myriad Pro"/>
          <w:sz w:val="22"/>
          <w:szCs w:val="22"/>
        </w:rPr>
        <w:t>66</w:t>
      </w:r>
      <w:r w:rsidRPr="00517B41">
        <w:rPr>
          <w:rFonts w:ascii="Myriad Pro" w:hAnsi="Myriad Pro"/>
          <w:sz w:val="22"/>
          <w:szCs w:val="22"/>
        </w:rPr>
        <w:t>.</w:t>
      </w:r>
      <w:bookmarkEnd w:id="83"/>
      <w:r w:rsidRPr="00517B41">
        <w:rPr>
          <w:rFonts w:ascii="Myriad Pro" w:hAnsi="Myriad Pro"/>
          <w:sz w:val="22"/>
          <w:szCs w:val="22"/>
        </w:rPr>
        <w:t xml:space="preserve"> (a–f) Cumulative and incremental frequency magnitude distributions of Clusters 7–12. </w:t>
      </w:r>
      <w:r w:rsidRPr="00E20EA3">
        <w:rPr>
          <w:rFonts w:ascii="Myriad Pro" w:hAnsi="Myriad Pro"/>
          <w:b w:val="0"/>
          <w:bCs w:val="0"/>
          <w:sz w:val="22"/>
          <w:szCs w:val="22"/>
        </w:rPr>
        <w:t>The chosen magnitude of completeness in each catalog is marked by the vertical red line.</w:t>
      </w:r>
    </w:p>
    <w:p w14:paraId="429037F4" w14:textId="77777777" w:rsidR="009932D9" w:rsidRDefault="009932D9" w:rsidP="009932D9">
      <w:pPr>
        <w:rPr>
          <w:rFonts w:ascii="Myriad Pro" w:hAnsi="Myriad Pro"/>
          <w:sz w:val="22"/>
          <w:szCs w:val="22"/>
        </w:rPr>
      </w:pPr>
      <w:r w:rsidRPr="00517B41">
        <w:rPr>
          <w:rFonts w:ascii="Myriad Pro" w:hAnsi="Myriad Pro"/>
          <w:sz w:val="22"/>
          <w:szCs w:val="22"/>
        </w:rPr>
        <w:br w:type="page"/>
      </w:r>
    </w:p>
    <w:p w14:paraId="625043BE" w14:textId="63C3AAAC" w:rsidR="005B06BA" w:rsidRDefault="0079683B" w:rsidP="009932D9">
      <w:pP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64777EA5" wp14:editId="33B8FAF1">
            <wp:extent cx="5486400" cy="40754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486400" cy="4075430"/>
                    </a:xfrm>
                    <a:prstGeom prst="rect">
                      <a:avLst/>
                    </a:prstGeom>
                  </pic:spPr>
                </pic:pic>
              </a:graphicData>
            </a:graphic>
          </wp:inline>
        </w:drawing>
      </w:r>
    </w:p>
    <w:p w14:paraId="042D4AA7" w14:textId="19CFC07C" w:rsidR="0079683B" w:rsidRPr="00517B41" w:rsidRDefault="0079683B" w:rsidP="0079683B">
      <w:pPr>
        <w:pStyle w:val="SMHeading"/>
        <w:rPr>
          <w:rFonts w:ascii="Myriad Pro" w:hAnsi="Myriad Pro"/>
          <w:sz w:val="22"/>
          <w:szCs w:val="22"/>
        </w:rPr>
      </w:pPr>
      <w:r w:rsidRPr="00517B41">
        <w:rPr>
          <w:rFonts w:ascii="Myriad Pro" w:hAnsi="Myriad Pro"/>
          <w:sz w:val="22"/>
          <w:szCs w:val="22"/>
        </w:rPr>
        <w:t>Figure S</w:t>
      </w:r>
      <w:r>
        <w:rPr>
          <w:rFonts w:ascii="Myriad Pro" w:hAnsi="Myriad Pro"/>
          <w:sz w:val="22"/>
          <w:szCs w:val="22"/>
        </w:rPr>
        <w:t>6</w:t>
      </w:r>
      <w:r w:rsidR="003A4913">
        <w:rPr>
          <w:rFonts w:ascii="Myriad Pro" w:hAnsi="Myriad Pro"/>
          <w:sz w:val="22"/>
          <w:szCs w:val="22"/>
        </w:rPr>
        <w:t>7</w:t>
      </w:r>
      <w:r w:rsidRPr="00517B41">
        <w:rPr>
          <w:rFonts w:ascii="Myriad Pro" w:hAnsi="Myriad Pro"/>
          <w:sz w:val="22"/>
          <w:szCs w:val="22"/>
        </w:rPr>
        <w:t>.</w:t>
      </w:r>
      <w:r w:rsidR="003A4913">
        <w:rPr>
          <w:rFonts w:ascii="Myriad Pro" w:hAnsi="Myriad Pro"/>
          <w:sz w:val="22"/>
          <w:szCs w:val="22"/>
        </w:rPr>
        <w:t xml:space="preserve"> (a</w:t>
      </w:r>
      <w:r w:rsidR="00ED2069">
        <w:rPr>
          <w:rFonts w:ascii="Myriad Pro" w:hAnsi="Myriad Pro"/>
          <w:sz w:val="22"/>
          <w:szCs w:val="22"/>
        </w:rPr>
        <w:t>–</w:t>
      </w:r>
      <w:r w:rsidR="003A4913">
        <w:rPr>
          <w:rFonts w:ascii="Myriad Pro" w:hAnsi="Myriad Pro"/>
          <w:sz w:val="22"/>
          <w:szCs w:val="22"/>
        </w:rPr>
        <w:t xml:space="preserve">f) </w:t>
      </w:r>
      <w:r w:rsidR="003A4913">
        <w:rPr>
          <w:rFonts w:ascii="Myriad Pro" w:hAnsi="Myriad Pro"/>
          <w:b w:val="0"/>
          <w:bCs w:val="0"/>
          <w:sz w:val="22"/>
          <w:szCs w:val="22"/>
        </w:rPr>
        <w:t>S</w:t>
      </w:r>
      <w:r w:rsidR="003A4913" w:rsidRPr="003249D8">
        <w:rPr>
          <w:rFonts w:ascii="Myriad Pro" w:hAnsi="Myriad Pro"/>
          <w:b w:val="0"/>
          <w:bCs w:val="0"/>
          <w:sz w:val="22"/>
          <w:szCs w:val="22"/>
        </w:rPr>
        <w:t>patial distribution of the magnitude of completeness over a gridded area for</w:t>
      </w:r>
      <w:r w:rsidR="003A4913">
        <w:rPr>
          <w:rFonts w:ascii="Myriad Pro" w:hAnsi="Myriad Pro"/>
          <w:b w:val="0"/>
          <w:bCs w:val="0"/>
          <w:sz w:val="22"/>
          <w:szCs w:val="22"/>
        </w:rPr>
        <w:t xml:space="preserve"> Clusters 7–12 of the LGCD episode catalog.</w:t>
      </w:r>
    </w:p>
    <w:p w14:paraId="7121CCBC" w14:textId="0AD92A42" w:rsidR="003A4913" w:rsidRDefault="003A4913">
      <w:pPr>
        <w:rPr>
          <w:rFonts w:ascii="Myriad Pro" w:hAnsi="Myriad Pro"/>
          <w:sz w:val="22"/>
          <w:szCs w:val="22"/>
        </w:rPr>
      </w:pPr>
      <w:r>
        <w:rPr>
          <w:rFonts w:ascii="Myriad Pro" w:hAnsi="Myriad Pro"/>
          <w:sz w:val="22"/>
          <w:szCs w:val="22"/>
        </w:rPr>
        <w:br w:type="page"/>
      </w:r>
    </w:p>
    <w:p w14:paraId="04B974E3" w14:textId="17BB90E8" w:rsidR="003A4913" w:rsidRDefault="003A4913" w:rsidP="009932D9">
      <w:pP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11B2C4D7" wp14:editId="0867A2B2">
            <wp:extent cx="5486400" cy="4075430"/>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486400" cy="4075430"/>
                    </a:xfrm>
                    <a:prstGeom prst="rect">
                      <a:avLst/>
                    </a:prstGeom>
                  </pic:spPr>
                </pic:pic>
              </a:graphicData>
            </a:graphic>
          </wp:inline>
        </w:drawing>
      </w:r>
    </w:p>
    <w:p w14:paraId="6863990D" w14:textId="084F80F6" w:rsidR="003A4913" w:rsidRPr="00517B41" w:rsidRDefault="003A4913" w:rsidP="003A4913">
      <w:pPr>
        <w:pStyle w:val="SMHeading"/>
        <w:rPr>
          <w:rFonts w:ascii="Myriad Pro" w:hAnsi="Myriad Pro"/>
          <w:sz w:val="22"/>
          <w:szCs w:val="22"/>
        </w:rPr>
      </w:pPr>
      <w:r w:rsidRPr="00517B41">
        <w:rPr>
          <w:rFonts w:ascii="Myriad Pro" w:hAnsi="Myriad Pro"/>
          <w:sz w:val="22"/>
          <w:szCs w:val="22"/>
        </w:rPr>
        <w:t>Figure S</w:t>
      </w:r>
      <w:r>
        <w:rPr>
          <w:rFonts w:ascii="Myriad Pro" w:hAnsi="Myriad Pro"/>
          <w:sz w:val="22"/>
          <w:szCs w:val="22"/>
        </w:rPr>
        <w:t>68</w:t>
      </w:r>
      <w:r w:rsidRPr="00517B41">
        <w:rPr>
          <w:rFonts w:ascii="Myriad Pro" w:hAnsi="Myriad Pro"/>
          <w:sz w:val="22"/>
          <w:szCs w:val="22"/>
        </w:rPr>
        <w:t>.</w:t>
      </w:r>
      <w:r>
        <w:rPr>
          <w:rFonts w:ascii="Myriad Pro" w:hAnsi="Myriad Pro"/>
          <w:sz w:val="22"/>
          <w:szCs w:val="22"/>
        </w:rPr>
        <w:t xml:space="preserve"> </w:t>
      </w:r>
      <w:r w:rsidR="00ED2069">
        <w:rPr>
          <w:rFonts w:ascii="Myriad Pro" w:hAnsi="Myriad Pro"/>
          <w:sz w:val="22"/>
          <w:szCs w:val="22"/>
        </w:rPr>
        <w:t xml:space="preserve">(a–f) </w:t>
      </w:r>
      <w:r>
        <w:rPr>
          <w:rFonts w:ascii="Myriad Pro" w:hAnsi="Myriad Pro"/>
          <w:b w:val="0"/>
          <w:bCs w:val="0"/>
          <w:sz w:val="22"/>
          <w:szCs w:val="22"/>
        </w:rPr>
        <w:t>S</w:t>
      </w:r>
      <w:r w:rsidRPr="003249D8">
        <w:rPr>
          <w:rFonts w:ascii="Myriad Pro" w:hAnsi="Myriad Pro"/>
          <w:b w:val="0"/>
          <w:bCs w:val="0"/>
          <w:sz w:val="22"/>
          <w:szCs w:val="22"/>
        </w:rPr>
        <w:t>patial distribution of the magnitude of completeness over a gridded area for</w:t>
      </w:r>
      <w:r>
        <w:rPr>
          <w:rFonts w:ascii="Myriad Pro" w:hAnsi="Myriad Pro"/>
          <w:b w:val="0"/>
          <w:bCs w:val="0"/>
          <w:sz w:val="22"/>
          <w:szCs w:val="22"/>
        </w:rPr>
        <w:t xml:space="preserve"> Clusters 7–12 of the LGCD episode catalog.</w:t>
      </w:r>
    </w:p>
    <w:p w14:paraId="73B7DAA9" w14:textId="77777777" w:rsidR="003A4913" w:rsidRPr="00517B41" w:rsidRDefault="003A4913" w:rsidP="009932D9">
      <w:pPr>
        <w:rPr>
          <w:rFonts w:ascii="Myriad Pro" w:hAnsi="Myriad Pro"/>
          <w:sz w:val="22"/>
          <w:szCs w:val="22"/>
        </w:rPr>
      </w:pPr>
    </w:p>
    <w:p w14:paraId="31BF5AD7" w14:textId="35E24940" w:rsidR="009932D9" w:rsidRPr="00517B41" w:rsidRDefault="00E00130"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4520EB4D" wp14:editId="7E1BE4D9">
            <wp:extent cx="5486400" cy="4559300"/>
            <wp:effectExtent l="0" t="0" r="0" b="0"/>
            <wp:docPr id="622849567" name="Picture 622849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67" name="Picture 622849567"/>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486400" cy="4559300"/>
                    </a:xfrm>
                    <a:prstGeom prst="rect">
                      <a:avLst/>
                    </a:prstGeom>
                  </pic:spPr>
                </pic:pic>
              </a:graphicData>
            </a:graphic>
          </wp:inline>
        </w:drawing>
      </w:r>
    </w:p>
    <w:p w14:paraId="25BD4CFA" w14:textId="24ACDF2F" w:rsidR="009932D9" w:rsidRPr="00517B41" w:rsidRDefault="009932D9" w:rsidP="00ED2069">
      <w:pPr>
        <w:pStyle w:val="SMHeading"/>
        <w:jc w:val="both"/>
        <w:rPr>
          <w:rFonts w:ascii="Myriad Pro" w:hAnsi="Myriad Pro"/>
          <w:sz w:val="22"/>
          <w:szCs w:val="22"/>
        </w:rPr>
      </w:pPr>
      <w:bookmarkStart w:id="84" w:name="_Toc162436087"/>
      <w:r w:rsidRPr="00517B41">
        <w:rPr>
          <w:rFonts w:ascii="Myriad Pro" w:hAnsi="Myriad Pro"/>
          <w:sz w:val="22"/>
          <w:szCs w:val="22"/>
        </w:rPr>
        <w:t>Figure S</w:t>
      </w:r>
      <w:r w:rsidR="00ED2069">
        <w:rPr>
          <w:rFonts w:ascii="Myriad Pro" w:hAnsi="Myriad Pro"/>
          <w:sz w:val="22"/>
          <w:szCs w:val="22"/>
        </w:rPr>
        <w:t>69</w:t>
      </w:r>
      <w:r w:rsidRPr="00517B41">
        <w:rPr>
          <w:rFonts w:ascii="Myriad Pro" w:hAnsi="Myriad Pro"/>
          <w:sz w:val="22"/>
          <w:szCs w:val="22"/>
        </w:rPr>
        <w:t>.</w:t>
      </w:r>
      <w:bookmarkEnd w:id="84"/>
      <w:r w:rsidR="00ED2069">
        <w:rPr>
          <w:rFonts w:ascii="Myriad Pro" w:hAnsi="Myriad Pro"/>
          <w:sz w:val="22"/>
          <w:szCs w:val="22"/>
        </w:rPr>
        <w:t xml:space="preserve"> </w:t>
      </w:r>
      <w:r w:rsidRPr="00517B41">
        <w:rPr>
          <w:rFonts w:ascii="Myriad Pro" w:hAnsi="Myriad Pro"/>
          <w:sz w:val="22"/>
          <w:szCs w:val="22"/>
        </w:rPr>
        <w:t>(a–f) Cumulative number of earthquakes with M</w:t>
      </w:r>
      <w:r w:rsidRPr="00517B41">
        <w:rPr>
          <w:rFonts w:ascii="Myriad Pro" w:hAnsi="Myriad Pro" w:cstheme="minorHAnsi"/>
          <w:sz w:val="22"/>
          <w:szCs w:val="22"/>
        </w:rPr>
        <w:t>≥</w:t>
      </w:r>
      <w:r w:rsidRPr="00517B41">
        <w:rPr>
          <w:rFonts w:ascii="Myriad Pro" w:hAnsi="Myriad Pro"/>
          <w:sz w:val="22"/>
          <w:szCs w:val="22"/>
        </w:rPr>
        <w:t xml:space="preserve">Mc versus time for Clusters 1–6, represented by black circles. </w:t>
      </w:r>
      <w:r w:rsidRPr="00ED2069">
        <w:rPr>
          <w:rFonts w:ascii="Myriad Pro" w:hAnsi="Myriad Pro"/>
          <w:b w:val="0"/>
          <w:bCs w:val="0"/>
          <w:sz w:val="22"/>
          <w:szCs w:val="22"/>
        </w:rPr>
        <w:t>The stationary activity rate periods are noted with differently colored areas. The same colors are used in Fig. S</w:t>
      </w:r>
      <w:r w:rsidR="00ED2069" w:rsidRPr="00ED2069">
        <w:rPr>
          <w:rFonts w:ascii="Myriad Pro" w:hAnsi="Myriad Pro"/>
          <w:b w:val="0"/>
          <w:bCs w:val="0"/>
          <w:sz w:val="22"/>
          <w:szCs w:val="22"/>
        </w:rPr>
        <w:t>71</w:t>
      </w:r>
      <w:r w:rsidRPr="00ED2069">
        <w:rPr>
          <w:rFonts w:ascii="Myriad Pro" w:hAnsi="Myriad Pro"/>
          <w:b w:val="0"/>
          <w:bCs w:val="0"/>
          <w:sz w:val="22"/>
          <w:szCs w:val="22"/>
        </w:rPr>
        <w:t xml:space="preserve"> for the epicentral distribution of events in those periods.</w:t>
      </w:r>
    </w:p>
    <w:p w14:paraId="6A3ED235"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07132EB9"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3A3CD48B" wp14:editId="4AB29D48">
            <wp:extent cx="5936755" cy="4851779"/>
            <wp:effectExtent l="0" t="0" r="6985" b="6350"/>
            <wp:docPr id="1820207945" name="Picture 182020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07945" name="Picture 1820207945"/>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001244" cy="4904482"/>
                    </a:xfrm>
                    <a:prstGeom prst="rect">
                      <a:avLst/>
                    </a:prstGeom>
                  </pic:spPr>
                </pic:pic>
              </a:graphicData>
            </a:graphic>
          </wp:inline>
        </w:drawing>
      </w:r>
    </w:p>
    <w:p w14:paraId="015C4B54" w14:textId="490C2F7C" w:rsidR="009932D9" w:rsidRPr="00517B41" w:rsidRDefault="009932D9" w:rsidP="00ED2069">
      <w:pPr>
        <w:pStyle w:val="SMHeading"/>
        <w:jc w:val="both"/>
        <w:rPr>
          <w:rFonts w:ascii="Myriad Pro" w:hAnsi="Myriad Pro"/>
          <w:sz w:val="22"/>
          <w:szCs w:val="22"/>
        </w:rPr>
      </w:pPr>
      <w:bookmarkStart w:id="85" w:name="_Toc162436088"/>
      <w:r w:rsidRPr="00517B41">
        <w:rPr>
          <w:rFonts w:ascii="Myriad Pro" w:hAnsi="Myriad Pro"/>
          <w:sz w:val="22"/>
          <w:szCs w:val="22"/>
        </w:rPr>
        <w:t>Figure S</w:t>
      </w:r>
      <w:bookmarkEnd w:id="85"/>
      <w:r w:rsidR="00AB212C">
        <w:rPr>
          <w:rFonts w:ascii="Myriad Pro" w:hAnsi="Myriad Pro"/>
          <w:sz w:val="22"/>
          <w:szCs w:val="22"/>
        </w:rPr>
        <w:t>70</w:t>
      </w:r>
      <w:r w:rsidR="00ED2069">
        <w:rPr>
          <w:rFonts w:ascii="Myriad Pro" w:hAnsi="Myriad Pro"/>
          <w:sz w:val="22"/>
          <w:szCs w:val="22"/>
        </w:rPr>
        <w:t xml:space="preserve">. </w:t>
      </w:r>
      <w:r w:rsidRPr="00517B41">
        <w:rPr>
          <w:rFonts w:ascii="Myriad Pro" w:hAnsi="Myriad Pro"/>
          <w:sz w:val="22"/>
          <w:szCs w:val="22"/>
        </w:rPr>
        <w:t>(a–f) Cumulative number of earthquakes with M</w:t>
      </w:r>
      <w:r w:rsidRPr="00517B41">
        <w:rPr>
          <w:rFonts w:ascii="Myriad Pro" w:hAnsi="Myriad Pro" w:cstheme="minorHAnsi"/>
          <w:sz w:val="22"/>
          <w:szCs w:val="22"/>
        </w:rPr>
        <w:t>≥</w:t>
      </w:r>
      <w:r w:rsidRPr="00517B41">
        <w:rPr>
          <w:rFonts w:ascii="Myriad Pro" w:hAnsi="Myriad Pro"/>
          <w:sz w:val="22"/>
          <w:szCs w:val="22"/>
        </w:rPr>
        <w:t xml:space="preserve">Mc versus time for Clusters 7–12, represented by black circles. </w:t>
      </w:r>
      <w:r w:rsidRPr="00ED2069">
        <w:rPr>
          <w:rFonts w:ascii="Myriad Pro" w:hAnsi="Myriad Pro"/>
          <w:b w:val="0"/>
          <w:bCs w:val="0"/>
          <w:sz w:val="22"/>
          <w:szCs w:val="22"/>
        </w:rPr>
        <w:t>The stationary activity rate periods are noted with differently colored areas. The same colors are used in Fig. S</w:t>
      </w:r>
      <w:r w:rsidR="00AB212C">
        <w:rPr>
          <w:rFonts w:ascii="Myriad Pro" w:hAnsi="Myriad Pro"/>
          <w:b w:val="0"/>
          <w:bCs w:val="0"/>
          <w:sz w:val="22"/>
          <w:szCs w:val="22"/>
        </w:rPr>
        <w:t>71</w:t>
      </w:r>
      <w:r w:rsidRPr="00ED2069">
        <w:rPr>
          <w:rFonts w:ascii="Myriad Pro" w:hAnsi="Myriad Pro"/>
          <w:b w:val="0"/>
          <w:bCs w:val="0"/>
          <w:sz w:val="22"/>
          <w:szCs w:val="22"/>
        </w:rPr>
        <w:t xml:space="preserve"> for the epicentral distribution of events in those periods.</w:t>
      </w:r>
    </w:p>
    <w:p w14:paraId="4CC28A6A" w14:textId="77777777" w:rsidR="009932D9" w:rsidRPr="00517B41" w:rsidRDefault="009932D9" w:rsidP="009932D9">
      <w:pPr>
        <w:pStyle w:val="SMcaption"/>
        <w:jc w:val="both"/>
        <w:rPr>
          <w:rFonts w:ascii="Myriad Pro" w:hAnsi="Myriad Pro"/>
          <w:sz w:val="22"/>
          <w:szCs w:val="22"/>
        </w:rPr>
      </w:pPr>
    </w:p>
    <w:p w14:paraId="5E44E77D"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147189B1"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4148A341" wp14:editId="1AABD520">
            <wp:extent cx="5920872" cy="5258660"/>
            <wp:effectExtent l="0" t="0" r="3810" b="0"/>
            <wp:docPr id="1820207946" name="Picture 182020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07946" name="Picture 1820207946"/>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964658" cy="5297549"/>
                    </a:xfrm>
                    <a:prstGeom prst="rect">
                      <a:avLst/>
                    </a:prstGeom>
                  </pic:spPr>
                </pic:pic>
              </a:graphicData>
            </a:graphic>
          </wp:inline>
        </w:drawing>
      </w:r>
    </w:p>
    <w:p w14:paraId="65099D58" w14:textId="112B9691" w:rsidR="009932D9" w:rsidRPr="00517B41" w:rsidRDefault="009932D9" w:rsidP="00AB212C">
      <w:pPr>
        <w:pStyle w:val="SMHeading"/>
        <w:jc w:val="both"/>
        <w:rPr>
          <w:rFonts w:ascii="Myriad Pro" w:hAnsi="Myriad Pro"/>
          <w:sz w:val="22"/>
          <w:szCs w:val="22"/>
        </w:rPr>
      </w:pPr>
      <w:bookmarkStart w:id="86" w:name="_Toc162436089"/>
      <w:r w:rsidRPr="00517B41">
        <w:rPr>
          <w:rFonts w:ascii="Myriad Pro" w:hAnsi="Myriad Pro"/>
          <w:sz w:val="22"/>
          <w:szCs w:val="22"/>
        </w:rPr>
        <w:t>Figure S</w:t>
      </w:r>
      <w:r w:rsidR="00AB212C">
        <w:rPr>
          <w:rFonts w:ascii="Myriad Pro" w:hAnsi="Myriad Pro"/>
          <w:sz w:val="22"/>
          <w:szCs w:val="22"/>
        </w:rPr>
        <w:t>71</w:t>
      </w:r>
      <w:r w:rsidRPr="00517B41">
        <w:rPr>
          <w:rFonts w:ascii="Myriad Pro" w:hAnsi="Myriad Pro"/>
          <w:sz w:val="22"/>
          <w:szCs w:val="22"/>
        </w:rPr>
        <w:t>.</w:t>
      </w:r>
      <w:bookmarkEnd w:id="86"/>
      <w:r w:rsidRPr="00517B41">
        <w:rPr>
          <w:rFonts w:ascii="Myriad Pro" w:hAnsi="Myriad Pro"/>
          <w:sz w:val="22"/>
          <w:szCs w:val="22"/>
        </w:rPr>
        <w:t xml:space="preserve"> Epicentral distribution of the seismicity of the LGCD episode catalog after February 10, 2016. </w:t>
      </w:r>
      <w:r w:rsidRPr="00AB212C">
        <w:rPr>
          <w:rFonts w:ascii="Myriad Pro" w:hAnsi="Myriad Pro"/>
          <w:b w:val="0"/>
          <w:bCs w:val="0"/>
          <w:sz w:val="22"/>
          <w:szCs w:val="22"/>
        </w:rPr>
        <w:t>The selected stationary rate subcatalogs for complexity testing appear with different colored circles. The continuous black lines represent the mine areas.</w:t>
      </w:r>
    </w:p>
    <w:p w14:paraId="66C1C370"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32739E78"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4D1BDE4D" wp14:editId="412C1A39">
            <wp:extent cx="5277694" cy="3940037"/>
            <wp:effectExtent l="0" t="0" r="0" b="3810"/>
            <wp:docPr id="1820207951" name="Picture 1820207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207951"/>
                    <pic:cNvPicPr/>
                  </pic:nvPicPr>
                  <pic:blipFill>
                    <a:blip r:embed="rId80">
                      <a:extLst>
                        <a:ext uri="{28A0092B-C50C-407E-A947-70E740481C1C}">
                          <a14:useLocalDpi xmlns:a14="http://schemas.microsoft.com/office/drawing/2010/main" val="0"/>
                        </a:ext>
                      </a:extLst>
                    </a:blip>
                    <a:stretch>
                      <a:fillRect/>
                    </a:stretch>
                  </pic:blipFill>
                  <pic:spPr>
                    <a:xfrm>
                      <a:off x="0" y="0"/>
                      <a:ext cx="5301449" cy="3957771"/>
                    </a:xfrm>
                    <a:prstGeom prst="rect">
                      <a:avLst/>
                    </a:prstGeom>
                  </pic:spPr>
                </pic:pic>
              </a:graphicData>
            </a:graphic>
          </wp:inline>
        </w:drawing>
      </w:r>
    </w:p>
    <w:p w14:paraId="619B8733" w14:textId="5E2BD069" w:rsidR="009932D9" w:rsidRPr="00517B41" w:rsidRDefault="009932D9" w:rsidP="009E4FB6">
      <w:pPr>
        <w:pStyle w:val="SMHeading"/>
        <w:jc w:val="both"/>
        <w:rPr>
          <w:rFonts w:ascii="Myriad Pro" w:hAnsi="Myriad Pro"/>
          <w:sz w:val="22"/>
          <w:szCs w:val="22"/>
        </w:rPr>
      </w:pPr>
      <w:bookmarkStart w:id="87" w:name="_Toc162436090"/>
      <w:r w:rsidRPr="00517B41">
        <w:rPr>
          <w:rFonts w:ascii="Myriad Pro" w:hAnsi="Myriad Pro"/>
          <w:sz w:val="22"/>
          <w:szCs w:val="22"/>
        </w:rPr>
        <w:t>Figure S</w:t>
      </w:r>
      <w:r w:rsidR="009C42FF">
        <w:rPr>
          <w:rFonts w:ascii="Myriad Pro" w:hAnsi="Myriad Pro"/>
          <w:sz w:val="22"/>
          <w:szCs w:val="22"/>
        </w:rPr>
        <w:t>7</w:t>
      </w:r>
      <w:r w:rsidR="009E4FB6">
        <w:rPr>
          <w:rFonts w:ascii="Myriad Pro" w:hAnsi="Myriad Pro"/>
          <w:sz w:val="22"/>
          <w:szCs w:val="22"/>
        </w:rPr>
        <w:t>2</w:t>
      </w:r>
      <w:r w:rsidRPr="00517B41">
        <w:rPr>
          <w:rFonts w:ascii="Myriad Pro" w:hAnsi="Myriad Pro"/>
          <w:sz w:val="22"/>
          <w:szCs w:val="22"/>
        </w:rPr>
        <w:t>.</w:t>
      </w:r>
      <w:bookmarkEnd w:id="87"/>
      <w:r w:rsidRPr="00517B41">
        <w:rPr>
          <w:rFonts w:ascii="Myriad Pro" w:hAnsi="Myriad Pro"/>
          <w:sz w:val="22"/>
          <w:szCs w:val="22"/>
        </w:rPr>
        <w:t xml:space="preserve"> Epicentral distribution of the 167 earthquakes of the Vouglans episode catalog in a 50 km circle around the reservoir center. </w:t>
      </w:r>
      <w:r w:rsidRPr="009E4FB6">
        <w:rPr>
          <w:rFonts w:ascii="Myriad Pro" w:hAnsi="Myriad Pro"/>
          <w:b w:val="0"/>
          <w:bCs w:val="0"/>
          <w:sz w:val="22"/>
          <w:szCs w:val="22"/>
        </w:rPr>
        <w:t>The unused earthquakes for magnitude complexity testing are depicted in gray colors. The earthquake subcatalog that was selected to assess the magnitude distribution complexity is represented by red circles.</w:t>
      </w:r>
      <w:r w:rsidRPr="00517B41">
        <w:rPr>
          <w:rFonts w:ascii="Myriad Pro" w:hAnsi="Myriad Pro"/>
          <w:sz w:val="22"/>
          <w:szCs w:val="22"/>
        </w:rPr>
        <w:t xml:space="preserve"> </w:t>
      </w:r>
    </w:p>
    <w:p w14:paraId="269E97D4"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2D3373DD"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53F6C5E9" wp14:editId="3D13673E">
            <wp:extent cx="3142852" cy="3044282"/>
            <wp:effectExtent l="0" t="0" r="635" b="3810"/>
            <wp:docPr id="1820207949" name="Picture 1820207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207949"/>
                    <pic:cNvPicPr/>
                  </pic:nvPicPr>
                  <pic:blipFill>
                    <a:blip r:embed="rId81">
                      <a:extLst>
                        <a:ext uri="{28A0092B-C50C-407E-A947-70E740481C1C}">
                          <a14:useLocalDpi xmlns:a14="http://schemas.microsoft.com/office/drawing/2010/main" val="0"/>
                        </a:ext>
                      </a:extLst>
                    </a:blip>
                    <a:stretch>
                      <a:fillRect/>
                    </a:stretch>
                  </pic:blipFill>
                  <pic:spPr>
                    <a:xfrm>
                      <a:off x="0" y="0"/>
                      <a:ext cx="3153056" cy="3054166"/>
                    </a:xfrm>
                    <a:prstGeom prst="rect">
                      <a:avLst/>
                    </a:prstGeom>
                  </pic:spPr>
                </pic:pic>
              </a:graphicData>
            </a:graphic>
          </wp:inline>
        </w:drawing>
      </w:r>
    </w:p>
    <w:p w14:paraId="0F99D193" w14:textId="7DF4BA67" w:rsidR="009932D9" w:rsidRPr="00517B41" w:rsidRDefault="009932D9" w:rsidP="009E4FB6">
      <w:pPr>
        <w:pStyle w:val="SMHeading"/>
        <w:jc w:val="both"/>
        <w:rPr>
          <w:rFonts w:ascii="Myriad Pro" w:hAnsi="Myriad Pro"/>
          <w:sz w:val="22"/>
          <w:szCs w:val="22"/>
        </w:rPr>
      </w:pPr>
      <w:bookmarkStart w:id="88" w:name="_Toc162436091"/>
      <w:r w:rsidRPr="00517B41">
        <w:rPr>
          <w:rFonts w:ascii="Myriad Pro" w:hAnsi="Myriad Pro"/>
          <w:sz w:val="22"/>
          <w:szCs w:val="22"/>
        </w:rPr>
        <w:t>Figure S</w:t>
      </w:r>
      <w:r w:rsidR="009E4FB6">
        <w:rPr>
          <w:rFonts w:ascii="Myriad Pro" w:hAnsi="Myriad Pro"/>
          <w:sz w:val="22"/>
          <w:szCs w:val="22"/>
        </w:rPr>
        <w:t>73</w:t>
      </w:r>
      <w:r w:rsidRPr="00517B41">
        <w:rPr>
          <w:rFonts w:ascii="Myriad Pro" w:hAnsi="Myriad Pro"/>
          <w:sz w:val="22"/>
          <w:szCs w:val="22"/>
        </w:rPr>
        <w:t>.</w:t>
      </w:r>
      <w:bookmarkEnd w:id="88"/>
      <w:r w:rsidRPr="00517B41">
        <w:rPr>
          <w:rFonts w:ascii="Myriad Pro" w:hAnsi="Myriad Pro"/>
          <w:sz w:val="22"/>
          <w:szCs w:val="22"/>
        </w:rPr>
        <w:t xml:space="preserve"> </w:t>
      </w:r>
      <w:r w:rsidRPr="009E4FB6">
        <w:rPr>
          <w:rFonts w:ascii="Myriad Pro" w:hAnsi="Myriad Pro"/>
          <w:sz w:val="22"/>
          <w:szCs w:val="22"/>
        </w:rPr>
        <w:t>Cumulative and incremental frequency magnitude distributions of Vouglans reservoir catalog</w:t>
      </w:r>
      <w:r w:rsidRPr="009E4FB6">
        <w:rPr>
          <w:rFonts w:ascii="Myriad Pro" w:hAnsi="Myriad Pro"/>
          <w:b w:val="0"/>
          <w:bCs w:val="0"/>
          <w:sz w:val="22"/>
          <w:szCs w:val="22"/>
        </w:rPr>
        <w:t>. The chosen magnitude of completeness is marked by the vertical red line.</w:t>
      </w:r>
    </w:p>
    <w:p w14:paraId="5BFE99F8" w14:textId="4C627763" w:rsidR="009932D9" w:rsidRDefault="009932D9" w:rsidP="009932D9">
      <w:pPr>
        <w:rPr>
          <w:rFonts w:ascii="Myriad Pro" w:hAnsi="Myriad Pro"/>
          <w:sz w:val="22"/>
          <w:szCs w:val="22"/>
        </w:rPr>
      </w:pPr>
    </w:p>
    <w:p w14:paraId="060276A2" w14:textId="08185B89" w:rsidR="009E4FB6" w:rsidRDefault="009E4FB6" w:rsidP="009E4FB6">
      <w:pPr>
        <w:jc w:val="center"/>
        <w:rPr>
          <w:rFonts w:ascii="Myriad Pro" w:hAnsi="Myriad Pro"/>
          <w:sz w:val="22"/>
          <w:szCs w:val="22"/>
        </w:rPr>
      </w:pPr>
      <w:r>
        <w:rPr>
          <w:rFonts w:ascii="Myriad Pro" w:hAnsi="Myriad Pro"/>
          <w:noProof/>
          <w:sz w:val="22"/>
          <w:szCs w:val="22"/>
          <w:lang w:val="en-IN" w:eastAsia="en-IN"/>
        </w:rPr>
        <w:drawing>
          <wp:inline distT="0" distB="0" distL="0" distR="0" wp14:anchorId="297C4EE4" wp14:editId="2F752881">
            <wp:extent cx="3162300" cy="337568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165302" cy="3378887"/>
                    </a:xfrm>
                    <a:prstGeom prst="rect">
                      <a:avLst/>
                    </a:prstGeom>
                  </pic:spPr>
                </pic:pic>
              </a:graphicData>
            </a:graphic>
          </wp:inline>
        </w:drawing>
      </w:r>
    </w:p>
    <w:p w14:paraId="493E5E72" w14:textId="1BDD2D6A" w:rsidR="00CF0BE2" w:rsidRPr="00517B41" w:rsidRDefault="00CF0BE2" w:rsidP="00CF0BE2">
      <w:pPr>
        <w:pStyle w:val="SMHeading"/>
        <w:rPr>
          <w:rFonts w:ascii="Myriad Pro" w:hAnsi="Myriad Pro"/>
          <w:sz w:val="22"/>
          <w:szCs w:val="22"/>
        </w:rPr>
      </w:pPr>
      <w:r w:rsidRPr="00517B41">
        <w:rPr>
          <w:rFonts w:ascii="Myriad Pro" w:hAnsi="Myriad Pro"/>
          <w:sz w:val="22"/>
          <w:szCs w:val="22"/>
        </w:rPr>
        <w:t>Figure S</w:t>
      </w:r>
      <w:r>
        <w:rPr>
          <w:rFonts w:ascii="Myriad Pro" w:hAnsi="Myriad Pro"/>
          <w:sz w:val="22"/>
          <w:szCs w:val="22"/>
        </w:rPr>
        <w:t>74</w:t>
      </w:r>
      <w:r w:rsidRPr="00517B41">
        <w:rPr>
          <w:rFonts w:ascii="Myriad Pro" w:hAnsi="Myriad Pro"/>
          <w:sz w:val="22"/>
          <w:szCs w:val="22"/>
        </w:rPr>
        <w:t xml:space="preserve">. </w:t>
      </w:r>
      <w:r w:rsidR="0084547C">
        <w:rPr>
          <w:rFonts w:ascii="Myriad Pro" w:hAnsi="Myriad Pro"/>
          <w:b w:val="0"/>
          <w:bCs w:val="0"/>
          <w:sz w:val="22"/>
          <w:szCs w:val="22"/>
        </w:rPr>
        <w:t>S</w:t>
      </w:r>
      <w:r w:rsidR="0084547C" w:rsidRPr="003249D8">
        <w:rPr>
          <w:rFonts w:ascii="Myriad Pro" w:hAnsi="Myriad Pro"/>
          <w:b w:val="0"/>
          <w:bCs w:val="0"/>
          <w:sz w:val="22"/>
          <w:szCs w:val="22"/>
        </w:rPr>
        <w:t xml:space="preserve">patial distribution of the magnitude of completeness over a gridded area for </w:t>
      </w:r>
      <w:r w:rsidR="0084547C">
        <w:rPr>
          <w:rFonts w:ascii="Myriad Pro" w:hAnsi="Myriad Pro"/>
          <w:b w:val="0"/>
          <w:bCs w:val="0"/>
          <w:sz w:val="22"/>
          <w:szCs w:val="22"/>
        </w:rPr>
        <w:t>the Vouglans episode</w:t>
      </w:r>
      <w:r w:rsidR="0084547C" w:rsidRPr="00A26096">
        <w:rPr>
          <w:rFonts w:ascii="Myriad Pro" w:hAnsi="Myriad Pro"/>
          <w:b w:val="0"/>
          <w:bCs w:val="0"/>
          <w:sz w:val="22"/>
          <w:szCs w:val="22"/>
        </w:rPr>
        <w:t xml:space="preserve"> catalog</w:t>
      </w:r>
    </w:p>
    <w:p w14:paraId="5165B03C" w14:textId="0F23FD86" w:rsidR="0084547C" w:rsidRDefault="0084547C">
      <w:pPr>
        <w:rPr>
          <w:rFonts w:ascii="Myriad Pro" w:hAnsi="Myriad Pro"/>
          <w:sz w:val="22"/>
          <w:szCs w:val="22"/>
        </w:rPr>
      </w:pPr>
      <w:r>
        <w:rPr>
          <w:rFonts w:ascii="Myriad Pro" w:hAnsi="Myriad Pro"/>
          <w:sz w:val="22"/>
          <w:szCs w:val="22"/>
        </w:rPr>
        <w:br w:type="page"/>
      </w:r>
    </w:p>
    <w:p w14:paraId="4526D247"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2C6C8912" wp14:editId="5AD33F52">
            <wp:extent cx="5855100" cy="2715905"/>
            <wp:effectExtent l="0" t="0" r="0" b="8255"/>
            <wp:docPr id="1820207952" name="Picture 1820207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207952"/>
                    <pic:cNvPicPr/>
                  </pic:nvPicPr>
                  <pic:blipFill>
                    <a:blip r:embed="rId83">
                      <a:extLst>
                        <a:ext uri="{28A0092B-C50C-407E-A947-70E740481C1C}">
                          <a14:useLocalDpi xmlns:a14="http://schemas.microsoft.com/office/drawing/2010/main" val="0"/>
                        </a:ext>
                      </a:extLst>
                    </a:blip>
                    <a:stretch>
                      <a:fillRect/>
                    </a:stretch>
                  </pic:blipFill>
                  <pic:spPr>
                    <a:xfrm>
                      <a:off x="0" y="0"/>
                      <a:ext cx="5894798" cy="2734319"/>
                    </a:xfrm>
                    <a:prstGeom prst="rect">
                      <a:avLst/>
                    </a:prstGeom>
                  </pic:spPr>
                </pic:pic>
              </a:graphicData>
            </a:graphic>
          </wp:inline>
        </w:drawing>
      </w:r>
    </w:p>
    <w:p w14:paraId="7F93F6A6" w14:textId="5CF35BEB" w:rsidR="009932D9" w:rsidRPr="0084547C" w:rsidRDefault="009932D9" w:rsidP="0084547C">
      <w:pPr>
        <w:pStyle w:val="SMHeading"/>
        <w:jc w:val="both"/>
        <w:rPr>
          <w:rFonts w:ascii="Myriad Pro" w:hAnsi="Myriad Pro"/>
          <w:b w:val="0"/>
          <w:bCs w:val="0"/>
          <w:sz w:val="22"/>
          <w:szCs w:val="22"/>
        </w:rPr>
      </w:pPr>
      <w:bookmarkStart w:id="89" w:name="_Toc162436092"/>
      <w:r w:rsidRPr="00517B41">
        <w:rPr>
          <w:rFonts w:ascii="Myriad Pro" w:hAnsi="Myriad Pro"/>
          <w:sz w:val="22"/>
          <w:szCs w:val="22"/>
        </w:rPr>
        <w:t>Figure S</w:t>
      </w:r>
      <w:r w:rsidR="0084547C">
        <w:rPr>
          <w:rFonts w:ascii="Myriad Pro" w:hAnsi="Myriad Pro"/>
          <w:sz w:val="22"/>
          <w:szCs w:val="22"/>
        </w:rPr>
        <w:t>75</w:t>
      </w:r>
      <w:r w:rsidRPr="00517B41">
        <w:rPr>
          <w:rFonts w:ascii="Myriad Pro" w:hAnsi="Myriad Pro"/>
          <w:sz w:val="22"/>
          <w:szCs w:val="22"/>
        </w:rPr>
        <w:t>.</w:t>
      </w:r>
      <w:bookmarkEnd w:id="89"/>
      <w:r w:rsidRPr="00517B41">
        <w:rPr>
          <w:rFonts w:ascii="Myriad Pro" w:hAnsi="Myriad Pro"/>
          <w:sz w:val="22"/>
          <w:szCs w:val="22"/>
        </w:rPr>
        <w:t xml:space="preserve"> Cumulative number of earthquakes above Mc versus time represented with black circles. </w:t>
      </w:r>
      <w:r w:rsidRPr="0084547C">
        <w:rPr>
          <w:rFonts w:ascii="Myriad Pro" w:hAnsi="Myriad Pro"/>
          <w:b w:val="0"/>
          <w:bCs w:val="0"/>
          <w:sz w:val="22"/>
          <w:szCs w:val="22"/>
        </w:rPr>
        <w:t>The stationary activity rate period is noted by the red colored area. The same color is used in Fig. S</w:t>
      </w:r>
      <w:r w:rsidR="00CC41AA">
        <w:rPr>
          <w:rFonts w:ascii="Myriad Pro" w:hAnsi="Myriad Pro"/>
          <w:b w:val="0"/>
          <w:bCs w:val="0"/>
          <w:sz w:val="22"/>
          <w:szCs w:val="22"/>
        </w:rPr>
        <w:t>72</w:t>
      </w:r>
      <w:r w:rsidRPr="0084547C">
        <w:rPr>
          <w:rFonts w:ascii="Myriad Pro" w:hAnsi="Myriad Pro"/>
          <w:b w:val="0"/>
          <w:bCs w:val="0"/>
          <w:sz w:val="22"/>
          <w:szCs w:val="22"/>
        </w:rPr>
        <w:t xml:space="preserve"> for the epicentral distribution of earthquakes in this period.</w:t>
      </w:r>
    </w:p>
    <w:p w14:paraId="6A6A360A" w14:textId="7F1A33D6" w:rsidR="009932D9" w:rsidRDefault="009932D9" w:rsidP="009932D9">
      <w:pPr>
        <w:rPr>
          <w:rFonts w:ascii="Myriad Pro" w:hAnsi="Myriad Pro"/>
          <w:sz w:val="22"/>
          <w:szCs w:val="22"/>
        </w:rPr>
      </w:pPr>
    </w:p>
    <w:p w14:paraId="4FD7BA07" w14:textId="77777777" w:rsidR="00776BDD" w:rsidRPr="00517B41" w:rsidRDefault="00776BDD" w:rsidP="009932D9">
      <w:pPr>
        <w:rPr>
          <w:rFonts w:ascii="Myriad Pro" w:hAnsi="Myriad Pro"/>
          <w:sz w:val="22"/>
          <w:szCs w:val="22"/>
        </w:rPr>
      </w:pPr>
    </w:p>
    <w:p w14:paraId="07A801AA"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drawing>
          <wp:inline distT="0" distB="0" distL="0" distR="0" wp14:anchorId="75310713" wp14:editId="74E95F62">
            <wp:extent cx="5916707" cy="2606723"/>
            <wp:effectExtent l="0" t="0" r="8255" b="3175"/>
            <wp:docPr id="1820207947" name="Picture 1820207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207947"/>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961416" cy="2626420"/>
                    </a:xfrm>
                    <a:prstGeom prst="rect">
                      <a:avLst/>
                    </a:prstGeom>
                  </pic:spPr>
                </pic:pic>
              </a:graphicData>
            </a:graphic>
          </wp:inline>
        </w:drawing>
      </w:r>
    </w:p>
    <w:p w14:paraId="1B11348B" w14:textId="0099A02F" w:rsidR="009932D9" w:rsidRPr="00517B41" w:rsidRDefault="009932D9" w:rsidP="00776BDD">
      <w:pPr>
        <w:pStyle w:val="SMHeading"/>
        <w:jc w:val="both"/>
        <w:rPr>
          <w:rFonts w:ascii="Myriad Pro" w:hAnsi="Myriad Pro"/>
          <w:sz w:val="22"/>
          <w:szCs w:val="22"/>
        </w:rPr>
      </w:pPr>
      <w:bookmarkStart w:id="90" w:name="_Toc162436093"/>
      <w:r w:rsidRPr="00517B41">
        <w:rPr>
          <w:rFonts w:ascii="Myriad Pro" w:hAnsi="Myriad Pro"/>
          <w:sz w:val="22"/>
          <w:szCs w:val="22"/>
        </w:rPr>
        <w:t>Figure S</w:t>
      </w:r>
      <w:r w:rsidR="00CC41AA">
        <w:rPr>
          <w:rFonts w:ascii="Myriad Pro" w:hAnsi="Myriad Pro"/>
          <w:sz w:val="22"/>
          <w:szCs w:val="22"/>
        </w:rPr>
        <w:t>76</w:t>
      </w:r>
      <w:r w:rsidRPr="00517B41">
        <w:rPr>
          <w:rFonts w:ascii="Myriad Pro" w:hAnsi="Myriad Pro"/>
          <w:sz w:val="22"/>
          <w:szCs w:val="22"/>
        </w:rPr>
        <w:t>.</w:t>
      </w:r>
      <w:bookmarkEnd w:id="90"/>
      <w:r w:rsidR="00CC41AA">
        <w:rPr>
          <w:rFonts w:ascii="Myriad Pro" w:hAnsi="Myriad Pro"/>
          <w:sz w:val="22"/>
          <w:szCs w:val="22"/>
        </w:rPr>
        <w:t xml:space="preserve"> </w:t>
      </w:r>
      <w:r w:rsidRPr="00CC41AA">
        <w:rPr>
          <w:rFonts w:ascii="Myriad Pro" w:hAnsi="Myriad Pro"/>
          <w:b w:val="0"/>
          <w:bCs w:val="0"/>
          <w:sz w:val="22"/>
          <w:szCs w:val="22"/>
        </w:rPr>
        <w:t>Earthquakes of the main cluster of 1082 earthquakes, SW of the Pertusillo lake in 5-day (left y-axis, blue histograms), along with water levels of the lake (right y-axis, red continuous line).</w:t>
      </w:r>
    </w:p>
    <w:p w14:paraId="7E1971AA"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312A774D"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37FD19A1" wp14:editId="03CD060A">
            <wp:extent cx="5191938" cy="4522385"/>
            <wp:effectExtent l="0" t="0" r="8890" b="0"/>
            <wp:docPr id="1820207954" name="Picture 1820207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207954"/>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213327" cy="4541015"/>
                    </a:xfrm>
                    <a:prstGeom prst="rect">
                      <a:avLst/>
                    </a:prstGeom>
                  </pic:spPr>
                </pic:pic>
              </a:graphicData>
            </a:graphic>
          </wp:inline>
        </w:drawing>
      </w:r>
    </w:p>
    <w:p w14:paraId="4DEF6E9D" w14:textId="074CCB86" w:rsidR="009932D9" w:rsidRPr="00517B41" w:rsidRDefault="009932D9" w:rsidP="00776BDD">
      <w:pPr>
        <w:pStyle w:val="SMHeading"/>
        <w:jc w:val="both"/>
        <w:rPr>
          <w:rFonts w:ascii="Myriad Pro" w:hAnsi="Myriad Pro"/>
          <w:sz w:val="22"/>
          <w:szCs w:val="22"/>
        </w:rPr>
      </w:pPr>
      <w:bookmarkStart w:id="91" w:name="_Toc162436094"/>
      <w:r w:rsidRPr="00517B41">
        <w:rPr>
          <w:rFonts w:ascii="Myriad Pro" w:hAnsi="Myriad Pro"/>
          <w:sz w:val="22"/>
          <w:szCs w:val="22"/>
        </w:rPr>
        <w:t>Figure S</w:t>
      </w:r>
      <w:r w:rsidR="00776BDD">
        <w:rPr>
          <w:rFonts w:ascii="Myriad Pro" w:hAnsi="Myriad Pro"/>
          <w:sz w:val="22"/>
          <w:szCs w:val="22"/>
        </w:rPr>
        <w:t>77</w:t>
      </w:r>
      <w:r w:rsidRPr="00517B41">
        <w:rPr>
          <w:rFonts w:ascii="Myriad Pro" w:hAnsi="Myriad Pro"/>
          <w:sz w:val="22"/>
          <w:szCs w:val="22"/>
        </w:rPr>
        <w:t>.</w:t>
      </w:r>
      <w:bookmarkEnd w:id="91"/>
      <w:r w:rsidRPr="00517B41">
        <w:rPr>
          <w:rFonts w:ascii="Myriad Pro" w:hAnsi="Myriad Pro"/>
          <w:sz w:val="22"/>
          <w:szCs w:val="22"/>
        </w:rPr>
        <w:t xml:space="preserve"> Epicentral distribution of the 1082 earthquakes of the main cluster of seismicity near the Petusillo lake. </w:t>
      </w:r>
      <w:r w:rsidRPr="00776BDD">
        <w:rPr>
          <w:rFonts w:ascii="Myriad Pro" w:hAnsi="Myriad Pro"/>
          <w:b w:val="0"/>
          <w:bCs w:val="0"/>
          <w:sz w:val="22"/>
          <w:szCs w:val="22"/>
        </w:rPr>
        <w:t>The unused earthquakes for magnitude distribution complexity testing are depicted in gray colors. The earthquake subcatalogs that were selected to assess the magnitude distribution complexity are represented by red, green, yellow and blue circles.</w:t>
      </w:r>
    </w:p>
    <w:p w14:paraId="757367CE" w14:textId="28287F4A" w:rsidR="00776BDD" w:rsidRDefault="00776BDD">
      <w:pPr>
        <w:rPr>
          <w:rFonts w:ascii="Myriad Pro" w:hAnsi="Myriad Pro"/>
          <w:sz w:val="22"/>
          <w:szCs w:val="22"/>
        </w:rPr>
      </w:pPr>
      <w:r>
        <w:rPr>
          <w:rFonts w:ascii="Myriad Pro" w:hAnsi="Myriad Pro"/>
          <w:sz w:val="22"/>
          <w:szCs w:val="22"/>
        </w:rPr>
        <w:br w:type="page"/>
      </w:r>
    </w:p>
    <w:p w14:paraId="676243D1"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6B6D6B39" wp14:editId="0E6C2887">
            <wp:extent cx="3152775" cy="3126630"/>
            <wp:effectExtent l="0" t="0" r="0" b="0"/>
            <wp:docPr id="1820207950" name="Picture 1820207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207950"/>
                    <pic:cNvPicPr/>
                  </pic:nvPicPr>
                  <pic:blipFill>
                    <a:blip r:embed="rId86" cstate="print">
                      <a:extLst>
                        <a:ext uri="{28A0092B-C50C-407E-A947-70E740481C1C}">
                          <a14:useLocalDpi xmlns:a14="http://schemas.microsoft.com/office/drawing/2010/main" val="0"/>
                        </a:ext>
                      </a:extLst>
                    </a:blip>
                    <a:stretch>
                      <a:fillRect/>
                    </a:stretch>
                  </pic:blipFill>
                  <pic:spPr>
                    <a:xfrm>
                      <a:off x="0" y="0"/>
                      <a:ext cx="3173806" cy="3147487"/>
                    </a:xfrm>
                    <a:prstGeom prst="rect">
                      <a:avLst/>
                    </a:prstGeom>
                  </pic:spPr>
                </pic:pic>
              </a:graphicData>
            </a:graphic>
          </wp:inline>
        </w:drawing>
      </w:r>
    </w:p>
    <w:p w14:paraId="11707CF8" w14:textId="33D251A9" w:rsidR="009932D9" w:rsidRPr="00517B41" w:rsidRDefault="009932D9" w:rsidP="00AB7CAE">
      <w:pPr>
        <w:pStyle w:val="SMHeading"/>
        <w:jc w:val="both"/>
        <w:rPr>
          <w:rFonts w:ascii="Myriad Pro" w:hAnsi="Myriad Pro"/>
          <w:sz w:val="22"/>
          <w:szCs w:val="22"/>
        </w:rPr>
      </w:pPr>
      <w:bookmarkStart w:id="92" w:name="_Toc162436095"/>
      <w:r w:rsidRPr="00517B41">
        <w:rPr>
          <w:rFonts w:ascii="Myriad Pro" w:hAnsi="Myriad Pro"/>
          <w:sz w:val="22"/>
          <w:szCs w:val="22"/>
        </w:rPr>
        <w:t>Figure S</w:t>
      </w:r>
      <w:r w:rsidR="00AB7CAE">
        <w:rPr>
          <w:rFonts w:ascii="Myriad Pro" w:hAnsi="Myriad Pro"/>
          <w:sz w:val="22"/>
          <w:szCs w:val="22"/>
        </w:rPr>
        <w:t>78</w:t>
      </w:r>
      <w:r w:rsidRPr="00517B41">
        <w:rPr>
          <w:rFonts w:ascii="Myriad Pro" w:hAnsi="Myriad Pro"/>
          <w:sz w:val="22"/>
          <w:szCs w:val="22"/>
        </w:rPr>
        <w:t>.</w:t>
      </w:r>
      <w:bookmarkEnd w:id="92"/>
      <w:r w:rsidRPr="00517B41">
        <w:rPr>
          <w:rFonts w:ascii="Myriad Pro" w:hAnsi="Myriad Pro"/>
          <w:sz w:val="22"/>
          <w:szCs w:val="22"/>
        </w:rPr>
        <w:t xml:space="preserve"> Cumulative and incremental frequency magnitude distributions of the main cluster of the Val D’Agri episode catalog. </w:t>
      </w:r>
      <w:r w:rsidRPr="00AB7CAE">
        <w:rPr>
          <w:rFonts w:ascii="Myriad Pro" w:hAnsi="Myriad Pro"/>
          <w:b w:val="0"/>
          <w:bCs w:val="0"/>
          <w:sz w:val="22"/>
          <w:szCs w:val="22"/>
        </w:rPr>
        <w:t>The chosen magnitude of completeness is marked by the vertical red line.</w:t>
      </w:r>
    </w:p>
    <w:p w14:paraId="2376F33D" w14:textId="3D04E9F0" w:rsidR="009932D9" w:rsidRDefault="009932D9" w:rsidP="009932D9">
      <w:pPr>
        <w:rPr>
          <w:rFonts w:ascii="Myriad Pro" w:hAnsi="Myriad Pro"/>
          <w:sz w:val="22"/>
          <w:szCs w:val="22"/>
        </w:rPr>
      </w:pPr>
    </w:p>
    <w:p w14:paraId="1C816744" w14:textId="2C8A328C" w:rsidR="00287F81" w:rsidRDefault="00287F81" w:rsidP="002617FC">
      <w:pPr>
        <w:jc w:val="center"/>
        <w:rPr>
          <w:rFonts w:ascii="Myriad Pro" w:hAnsi="Myriad Pro"/>
          <w:sz w:val="22"/>
          <w:szCs w:val="22"/>
        </w:rPr>
      </w:pPr>
      <w:r>
        <w:rPr>
          <w:rFonts w:ascii="Myriad Pro" w:hAnsi="Myriad Pro"/>
          <w:noProof/>
          <w:sz w:val="22"/>
          <w:szCs w:val="22"/>
          <w:lang w:val="en-IN" w:eastAsia="en-IN"/>
        </w:rPr>
        <w:drawing>
          <wp:inline distT="0" distB="0" distL="0" distR="0" wp14:anchorId="4CC1EF1D" wp14:editId="3623482B">
            <wp:extent cx="2990850" cy="3363669"/>
            <wp:effectExtent l="0" t="0" r="0"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87" cstate="print">
                      <a:extLst>
                        <a:ext uri="{28A0092B-C50C-407E-A947-70E740481C1C}">
                          <a14:useLocalDpi xmlns:a14="http://schemas.microsoft.com/office/drawing/2010/main" val="0"/>
                        </a:ext>
                      </a:extLst>
                    </a:blip>
                    <a:stretch>
                      <a:fillRect/>
                    </a:stretch>
                  </pic:blipFill>
                  <pic:spPr>
                    <a:xfrm>
                      <a:off x="0" y="0"/>
                      <a:ext cx="3008446" cy="3383458"/>
                    </a:xfrm>
                    <a:prstGeom prst="rect">
                      <a:avLst/>
                    </a:prstGeom>
                  </pic:spPr>
                </pic:pic>
              </a:graphicData>
            </a:graphic>
          </wp:inline>
        </w:drawing>
      </w:r>
    </w:p>
    <w:p w14:paraId="32B19AA6" w14:textId="56EC6420" w:rsidR="00287F81" w:rsidRPr="00517B41" w:rsidRDefault="00287F81" w:rsidP="00287F81">
      <w:pPr>
        <w:pStyle w:val="SMHeading"/>
        <w:rPr>
          <w:rFonts w:ascii="Myriad Pro" w:hAnsi="Myriad Pro"/>
          <w:sz w:val="22"/>
          <w:szCs w:val="22"/>
        </w:rPr>
      </w:pPr>
      <w:r w:rsidRPr="00517B41">
        <w:rPr>
          <w:rFonts w:ascii="Myriad Pro" w:hAnsi="Myriad Pro"/>
          <w:sz w:val="22"/>
          <w:szCs w:val="22"/>
        </w:rPr>
        <w:t>Figure S</w:t>
      </w:r>
      <w:r>
        <w:rPr>
          <w:rFonts w:ascii="Myriad Pro" w:hAnsi="Myriad Pro"/>
          <w:sz w:val="22"/>
          <w:szCs w:val="22"/>
        </w:rPr>
        <w:t>79</w:t>
      </w:r>
      <w:r w:rsidRPr="00517B41">
        <w:rPr>
          <w:rFonts w:ascii="Myriad Pro" w:hAnsi="Myriad Pro"/>
          <w:sz w:val="22"/>
          <w:szCs w:val="22"/>
        </w:rPr>
        <w:t xml:space="preserve">. </w:t>
      </w:r>
      <w:r>
        <w:rPr>
          <w:rFonts w:ascii="Myriad Pro" w:hAnsi="Myriad Pro"/>
          <w:b w:val="0"/>
          <w:bCs w:val="0"/>
          <w:sz w:val="22"/>
          <w:szCs w:val="22"/>
        </w:rPr>
        <w:t>S</w:t>
      </w:r>
      <w:r w:rsidRPr="003249D8">
        <w:rPr>
          <w:rFonts w:ascii="Myriad Pro" w:hAnsi="Myriad Pro"/>
          <w:b w:val="0"/>
          <w:bCs w:val="0"/>
          <w:sz w:val="22"/>
          <w:szCs w:val="22"/>
        </w:rPr>
        <w:t xml:space="preserve">patial distribution of the magnitude of completeness over a gridded area for </w:t>
      </w:r>
      <w:r>
        <w:rPr>
          <w:rFonts w:ascii="Myriad Pro" w:hAnsi="Myriad Pro"/>
          <w:b w:val="0"/>
          <w:bCs w:val="0"/>
          <w:sz w:val="22"/>
          <w:szCs w:val="22"/>
        </w:rPr>
        <w:t xml:space="preserve">the Val </w:t>
      </w:r>
      <w:r w:rsidR="002617FC">
        <w:rPr>
          <w:rFonts w:ascii="Myriad Pro" w:hAnsi="Myriad Pro"/>
          <w:b w:val="0"/>
          <w:bCs w:val="0"/>
          <w:sz w:val="22"/>
          <w:szCs w:val="22"/>
        </w:rPr>
        <w:t>D’Agri</w:t>
      </w:r>
      <w:r>
        <w:rPr>
          <w:rFonts w:ascii="Myriad Pro" w:hAnsi="Myriad Pro"/>
          <w:b w:val="0"/>
          <w:bCs w:val="0"/>
          <w:sz w:val="22"/>
          <w:szCs w:val="22"/>
        </w:rPr>
        <w:t xml:space="preserve"> episode</w:t>
      </w:r>
      <w:r w:rsidRPr="00A26096">
        <w:rPr>
          <w:rFonts w:ascii="Myriad Pro" w:hAnsi="Myriad Pro"/>
          <w:b w:val="0"/>
          <w:bCs w:val="0"/>
          <w:sz w:val="22"/>
          <w:szCs w:val="22"/>
        </w:rPr>
        <w:t xml:space="preserve"> catalog</w:t>
      </w:r>
    </w:p>
    <w:p w14:paraId="1F3FCE17" w14:textId="1B54B197" w:rsidR="002617FC" w:rsidRDefault="002617FC">
      <w:pPr>
        <w:rPr>
          <w:rFonts w:ascii="Myriad Pro" w:hAnsi="Myriad Pro"/>
          <w:sz w:val="22"/>
          <w:szCs w:val="22"/>
        </w:rPr>
      </w:pPr>
      <w:r>
        <w:rPr>
          <w:rFonts w:ascii="Myriad Pro" w:hAnsi="Myriad Pro"/>
          <w:sz w:val="22"/>
          <w:szCs w:val="22"/>
        </w:rPr>
        <w:br w:type="page"/>
      </w:r>
    </w:p>
    <w:p w14:paraId="1B2DA4A1" w14:textId="77777777" w:rsidR="00287F81" w:rsidRPr="00517B41" w:rsidRDefault="00287F81" w:rsidP="009932D9">
      <w:pPr>
        <w:rPr>
          <w:rFonts w:ascii="Myriad Pro" w:hAnsi="Myriad Pro"/>
          <w:sz w:val="22"/>
          <w:szCs w:val="22"/>
        </w:rPr>
      </w:pPr>
    </w:p>
    <w:p w14:paraId="255E2708"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drawing>
          <wp:inline distT="0" distB="0" distL="0" distR="0" wp14:anchorId="166D4F2D" wp14:editId="7A832C63">
            <wp:extent cx="5905873" cy="2586251"/>
            <wp:effectExtent l="0" t="0" r="0" b="5080"/>
            <wp:docPr id="1820207955" name="Picture 1820207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207955"/>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993918" cy="2624807"/>
                    </a:xfrm>
                    <a:prstGeom prst="rect">
                      <a:avLst/>
                    </a:prstGeom>
                  </pic:spPr>
                </pic:pic>
              </a:graphicData>
            </a:graphic>
          </wp:inline>
        </w:drawing>
      </w:r>
    </w:p>
    <w:p w14:paraId="6EAF437E" w14:textId="61FD98FA" w:rsidR="009932D9" w:rsidRPr="002617FC" w:rsidRDefault="009932D9" w:rsidP="002617FC">
      <w:pPr>
        <w:pStyle w:val="SMHeading"/>
        <w:jc w:val="both"/>
        <w:rPr>
          <w:rFonts w:ascii="Myriad Pro" w:hAnsi="Myriad Pro"/>
          <w:b w:val="0"/>
          <w:bCs w:val="0"/>
          <w:sz w:val="22"/>
          <w:szCs w:val="22"/>
        </w:rPr>
      </w:pPr>
      <w:bookmarkStart w:id="93" w:name="_Toc162436096"/>
      <w:r w:rsidRPr="00517B41">
        <w:rPr>
          <w:rFonts w:ascii="Myriad Pro" w:hAnsi="Myriad Pro"/>
          <w:sz w:val="22"/>
          <w:szCs w:val="22"/>
        </w:rPr>
        <w:t>Figure S</w:t>
      </w:r>
      <w:r w:rsidR="002617FC">
        <w:rPr>
          <w:rFonts w:ascii="Myriad Pro" w:hAnsi="Myriad Pro"/>
          <w:sz w:val="22"/>
          <w:szCs w:val="22"/>
        </w:rPr>
        <w:t>80</w:t>
      </w:r>
      <w:r w:rsidRPr="00517B41">
        <w:rPr>
          <w:rFonts w:ascii="Myriad Pro" w:hAnsi="Myriad Pro"/>
          <w:sz w:val="22"/>
          <w:szCs w:val="22"/>
        </w:rPr>
        <w:t>.</w:t>
      </w:r>
      <w:bookmarkEnd w:id="93"/>
      <w:r w:rsidR="002617FC">
        <w:rPr>
          <w:rFonts w:ascii="Myriad Pro" w:hAnsi="Myriad Pro"/>
          <w:sz w:val="22"/>
          <w:szCs w:val="22"/>
        </w:rPr>
        <w:t xml:space="preserve"> </w:t>
      </w:r>
      <w:r w:rsidRPr="00517B41">
        <w:rPr>
          <w:rFonts w:ascii="Myriad Pro" w:hAnsi="Myriad Pro"/>
          <w:sz w:val="22"/>
          <w:szCs w:val="22"/>
        </w:rPr>
        <w:t xml:space="preserve">Cumulative number of earthquakes above Mc versus time, represented with black circles (left y-axis) along with the water level changes represented by a red continuous line (right y-axis). </w:t>
      </w:r>
      <w:r w:rsidRPr="002617FC">
        <w:rPr>
          <w:rFonts w:ascii="Myriad Pro" w:hAnsi="Myriad Pro"/>
          <w:b w:val="0"/>
          <w:bCs w:val="0"/>
          <w:sz w:val="22"/>
          <w:szCs w:val="22"/>
        </w:rPr>
        <w:t>The stationary activity rate periods are noted by the red, green, yellow and blue colored areas. The same colors are used in Figure S</w:t>
      </w:r>
      <w:r w:rsidR="002617FC">
        <w:rPr>
          <w:rFonts w:ascii="Myriad Pro" w:hAnsi="Myriad Pro"/>
          <w:b w:val="0"/>
          <w:bCs w:val="0"/>
          <w:sz w:val="22"/>
          <w:szCs w:val="22"/>
        </w:rPr>
        <w:t>77</w:t>
      </w:r>
      <w:r w:rsidRPr="002617FC">
        <w:rPr>
          <w:rFonts w:ascii="Myriad Pro" w:hAnsi="Myriad Pro"/>
          <w:b w:val="0"/>
          <w:bCs w:val="0"/>
          <w:sz w:val="22"/>
          <w:szCs w:val="22"/>
        </w:rPr>
        <w:t xml:space="preserve"> for the epicentral distribution of earthquakes in those periods.</w:t>
      </w:r>
    </w:p>
    <w:p w14:paraId="54BD2019"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76854B80"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154AD744" wp14:editId="73310492">
            <wp:extent cx="5831035" cy="4517409"/>
            <wp:effectExtent l="0" t="0" r="0" b="0"/>
            <wp:docPr id="1820207957" name="Picture 1820207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07957" name="Picture 1820207957"/>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851056" cy="4532919"/>
                    </a:xfrm>
                    <a:prstGeom prst="rect">
                      <a:avLst/>
                    </a:prstGeom>
                  </pic:spPr>
                </pic:pic>
              </a:graphicData>
            </a:graphic>
          </wp:inline>
        </w:drawing>
      </w:r>
    </w:p>
    <w:p w14:paraId="27BF0F35" w14:textId="40B15B61" w:rsidR="009932D9" w:rsidRPr="00517B41" w:rsidRDefault="009932D9" w:rsidP="00EF1794">
      <w:pPr>
        <w:pStyle w:val="SMHeading"/>
        <w:jc w:val="both"/>
        <w:rPr>
          <w:rFonts w:ascii="Myriad Pro" w:hAnsi="Myriad Pro"/>
          <w:sz w:val="22"/>
          <w:szCs w:val="22"/>
        </w:rPr>
      </w:pPr>
      <w:bookmarkStart w:id="94" w:name="_Toc162436097"/>
      <w:r w:rsidRPr="00517B41">
        <w:rPr>
          <w:rFonts w:ascii="Myriad Pro" w:hAnsi="Myriad Pro"/>
          <w:sz w:val="22"/>
          <w:szCs w:val="22"/>
        </w:rPr>
        <w:t>Figure S</w:t>
      </w:r>
      <w:r w:rsidR="002617FC">
        <w:rPr>
          <w:rFonts w:ascii="Myriad Pro" w:hAnsi="Myriad Pro"/>
          <w:sz w:val="22"/>
          <w:szCs w:val="22"/>
        </w:rPr>
        <w:t>81</w:t>
      </w:r>
      <w:r w:rsidRPr="00517B41">
        <w:rPr>
          <w:rFonts w:ascii="Myriad Pro" w:hAnsi="Myriad Pro"/>
          <w:sz w:val="22"/>
          <w:szCs w:val="22"/>
        </w:rPr>
        <w:t>.</w:t>
      </w:r>
      <w:bookmarkEnd w:id="94"/>
      <w:r w:rsidR="00EF1794">
        <w:rPr>
          <w:rFonts w:ascii="Myriad Pro" w:hAnsi="Myriad Pro"/>
          <w:sz w:val="22"/>
          <w:szCs w:val="22"/>
        </w:rPr>
        <w:t xml:space="preserve"> </w:t>
      </w:r>
      <w:r w:rsidRPr="00EF1794">
        <w:rPr>
          <w:rFonts w:ascii="Myriad Pro" w:hAnsi="Myriad Pro"/>
          <w:b w:val="0"/>
          <w:bCs w:val="0"/>
          <w:sz w:val="22"/>
          <w:szCs w:val="22"/>
        </w:rPr>
        <w:t xml:space="preserve">Earthquakes of the Song Tranh 2 reservoir, 10-day bins (left y-axis, blue histograms), along with water levels of the lake (right y-axis, red continuous line) for </w:t>
      </w:r>
      <w:r w:rsidRPr="00EF1794">
        <w:rPr>
          <w:rFonts w:ascii="Myriad Pro" w:hAnsi="Myriad Pro"/>
          <w:sz w:val="22"/>
          <w:szCs w:val="22"/>
        </w:rPr>
        <w:t>(a)</w:t>
      </w:r>
      <w:r w:rsidRPr="00EF1794">
        <w:rPr>
          <w:rFonts w:ascii="Myriad Pro" w:hAnsi="Myriad Pro"/>
          <w:b w:val="0"/>
          <w:bCs w:val="0"/>
          <w:sz w:val="22"/>
          <w:szCs w:val="22"/>
        </w:rPr>
        <w:t xml:space="preserve"> The north and </w:t>
      </w:r>
      <w:r w:rsidRPr="00EF1794">
        <w:rPr>
          <w:rFonts w:ascii="Myriad Pro" w:hAnsi="Myriad Pro"/>
          <w:sz w:val="22"/>
          <w:szCs w:val="22"/>
        </w:rPr>
        <w:t>(b)</w:t>
      </w:r>
      <w:r w:rsidRPr="00EF1794">
        <w:rPr>
          <w:rFonts w:ascii="Myriad Pro" w:hAnsi="Myriad Pro"/>
          <w:b w:val="0"/>
          <w:bCs w:val="0"/>
          <w:sz w:val="22"/>
          <w:szCs w:val="22"/>
        </w:rPr>
        <w:t xml:space="preserve"> South parts of the Song Trang area.</w:t>
      </w:r>
    </w:p>
    <w:p w14:paraId="78DF1288"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20D6D296"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3A895012" wp14:editId="40D1A645">
            <wp:extent cx="5899908" cy="3789212"/>
            <wp:effectExtent l="0" t="0" r="5715" b="1905"/>
            <wp:docPr id="1820207958" name="Picture 1820207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07958" name="Picture 1820207958"/>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922419" cy="3803670"/>
                    </a:xfrm>
                    <a:prstGeom prst="rect">
                      <a:avLst/>
                    </a:prstGeom>
                  </pic:spPr>
                </pic:pic>
              </a:graphicData>
            </a:graphic>
          </wp:inline>
        </w:drawing>
      </w:r>
    </w:p>
    <w:p w14:paraId="400E6EBF" w14:textId="2A92E210" w:rsidR="009932D9" w:rsidRPr="00530B71" w:rsidRDefault="009932D9" w:rsidP="00530B71">
      <w:pPr>
        <w:pStyle w:val="SMHeading"/>
        <w:jc w:val="both"/>
        <w:rPr>
          <w:rFonts w:ascii="Myriad Pro" w:hAnsi="Myriad Pro"/>
          <w:b w:val="0"/>
          <w:bCs w:val="0"/>
          <w:sz w:val="22"/>
          <w:szCs w:val="22"/>
        </w:rPr>
      </w:pPr>
      <w:bookmarkStart w:id="95" w:name="_Toc162436098"/>
      <w:r w:rsidRPr="00517B41">
        <w:rPr>
          <w:rFonts w:ascii="Myriad Pro" w:hAnsi="Myriad Pro"/>
          <w:sz w:val="22"/>
          <w:szCs w:val="22"/>
        </w:rPr>
        <w:t>Figure S</w:t>
      </w:r>
      <w:r w:rsidR="00EF1794">
        <w:rPr>
          <w:rFonts w:ascii="Myriad Pro" w:hAnsi="Myriad Pro"/>
          <w:sz w:val="22"/>
          <w:szCs w:val="22"/>
        </w:rPr>
        <w:t>82</w:t>
      </w:r>
      <w:r w:rsidRPr="00517B41">
        <w:rPr>
          <w:rFonts w:ascii="Myriad Pro" w:hAnsi="Myriad Pro"/>
          <w:sz w:val="22"/>
          <w:szCs w:val="22"/>
        </w:rPr>
        <w:t>.</w:t>
      </w:r>
      <w:bookmarkEnd w:id="95"/>
      <w:r w:rsidRPr="00517B41">
        <w:rPr>
          <w:rFonts w:ascii="Myriad Pro" w:hAnsi="Myriad Pro"/>
          <w:sz w:val="22"/>
          <w:szCs w:val="22"/>
        </w:rPr>
        <w:t xml:space="preserve"> Epicentral distribution of the seismicity of the Song Tranh 2 basin with earthquakes of the north part represented by gray circles and those of the south part represented by beige circles</w:t>
      </w:r>
      <w:r w:rsidRPr="00530B71">
        <w:rPr>
          <w:rFonts w:ascii="Myriad Pro" w:hAnsi="Myriad Pro"/>
          <w:b w:val="0"/>
          <w:bCs w:val="0"/>
          <w:sz w:val="22"/>
          <w:szCs w:val="22"/>
        </w:rPr>
        <w:t xml:space="preserve">. In </w:t>
      </w:r>
      <w:r w:rsidRPr="00530B71">
        <w:rPr>
          <w:rFonts w:ascii="Myriad Pro" w:hAnsi="Myriad Pro"/>
          <w:sz w:val="22"/>
          <w:szCs w:val="22"/>
        </w:rPr>
        <w:t>(a)</w:t>
      </w:r>
      <w:r w:rsidRPr="00530B71">
        <w:rPr>
          <w:rFonts w:ascii="Myriad Pro" w:hAnsi="Myriad Pro"/>
          <w:b w:val="0"/>
          <w:bCs w:val="0"/>
          <w:sz w:val="22"/>
          <w:szCs w:val="22"/>
        </w:rPr>
        <w:t xml:space="preserve"> initial studied clusters appear with different colored circles and in </w:t>
      </w:r>
      <w:r w:rsidRPr="00530B71">
        <w:rPr>
          <w:rFonts w:ascii="Myriad Pro" w:hAnsi="Myriad Pro"/>
          <w:sz w:val="22"/>
          <w:szCs w:val="22"/>
        </w:rPr>
        <w:t>(b)</w:t>
      </w:r>
      <w:r w:rsidRPr="00530B71">
        <w:rPr>
          <w:rFonts w:ascii="Myriad Pro" w:hAnsi="Myriad Pro"/>
          <w:b w:val="0"/>
          <w:bCs w:val="0"/>
          <w:sz w:val="22"/>
          <w:szCs w:val="22"/>
        </w:rPr>
        <w:t xml:space="preserve"> the final clusters that form subcatalogs of stationary periods appear with blue, green and red circles. The reservoir shoreline is represented by the blue continuous line and the faults are represented by the brown dashed lines.</w:t>
      </w:r>
    </w:p>
    <w:p w14:paraId="04BB7BD1" w14:textId="17500C13" w:rsidR="0050249F" w:rsidRDefault="0050249F">
      <w:pPr>
        <w:rPr>
          <w:rFonts w:ascii="Myriad Pro" w:hAnsi="Myriad Pro"/>
          <w:sz w:val="22"/>
          <w:szCs w:val="22"/>
        </w:rPr>
      </w:pPr>
      <w:r>
        <w:rPr>
          <w:rFonts w:ascii="Myriad Pro" w:hAnsi="Myriad Pro"/>
          <w:sz w:val="22"/>
          <w:szCs w:val="22"/>
        </w:rPr>
        <w:br w:type="page"/>
      </w:r>
    </w:p>
    <w:p w14:paraId="74EBE215" w14:textId="77777777" w:rsidR="009932D9" w:rsidRPr="00517B41" w:rsidRDefault="009932D9" w:rsidP="009932D9">
      <w:pPr>
        <w:jc w:val="center"/>
        <w:rPr>
          <w:rFonts w:ascii="Myriad Pro" w:hAnsi="Myriad Pro"/>
          <w:sz w:val="22"/>
          <w:szCs w:val="22"/>
        </w:rPr>
      </w:pPr>
    </w:p>
    <w:p w14:paraId="2789C004" w14:textId="0121B897" w:rsidR="009932D9" w:rsidRPr="00517B41" w:rsidRDefault="00495729" w:rsidP="009932D9">
      <w:pPr>
        <w:jc w:val="center"/>
        <w:rPr>
          <w:rFonts w:ascii="Myriad Pro" w:hAnsi="Myriad Pro"/>
          <w:sz w:val="22"/>
          <w:szCs w:val="22"/>
        </w:rPr>
      </w:pPr>
      <w:r>
        <w:rPr>
          <w:rFonts w:ascii="Myriad Pro" w:hAnsi="Myriad Pro"/>
          <w:noProof/>
          <w:sz w:val="22"/>
          <w:szCs w:val="22"/>
          <w:lang w:val="en-IN" w:eastAsia="en-IN"/>
        </w:rPr>
        <w:drawing>
          <wp:inline distT="0" distB="0" distL="0" distR="0" wp14:anchorId="05B32225" wp14:editId="1E744678">
            <wp:extent cx="5486400" cy="2739390"/>
            <wp:effectExtent l="0" t="0" r="0" b="3810"/>
            <wp:docPr id="622849568" name="Picture 622849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49568" name="Picture 622849568"/>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486400" cy="2739390"/>
                    </a:xfrm>
                    <a:prstGeom prst="rect">
                      <a:avLst/>
                    </a:prstGeom>
                  </pic:spPr>
                </pic:pic>
              </a:graphicData>
            </a:graphic>
          </wp:inline>
        </w:drawing>
      </w:r>
    </w:p>
    <w:p w14:paraId="34E7C90B" w14:textId="76A23EF8" w:rsidR="009932D9" w:rsidRPr="00517B41" w:rsidRDefault="009932D9" w:rsidP="006F197D">
      <w:pPr>
        <w:pStyle w:val="SMHeading"/>
        <w:jc w:val="both"/>
        <w:rPr>
          <w:rFonts w:ascii="Myriad Pro" w:hAnsi="Myriad Pro"/>
          <w:sz w:val="22"/>
          <w:szCs w:val="22"/>
        </w:rPr>
      </w:pPr>
      <w:bookmarkStart w:id="96" w:name="_Toc162436099"/>
      <w:r w:rsidRPr="00517B41">
        <w:rPr>
          <w:rFonts w:ascii="Myriad Pro" w:hAnsi="Myriad Pro"/>
          <w:sz w:val="22"/>
          <w:szCs w:val="22"/>
        </w:rPr>
        <w:t>Figure S</w:t>
      </w:r>
      <w:r w:rsidR="001B12E7">
        <w:rPr>
          <w:rFonts w:ascii="Myriad Pro" w:hAnsi="Myriad Pro"/>
          <w:sz w:val="22"/>
          <w:szCs w:val="22"/>
        </w:rPr>
        <w:t>83</w:t>
      </w:r>
      <w:r w:rsidRPr="00517B41">
        <w:rPr>
          <w:rFonts w:ascii="Myriad Pro" w:hAnsi="Myriad Pro"/>
          <w:sz w:val="22"/>
          <w:szCs w:val="22"/>
        </w:rPr>
        <w:t>.</w:t>
      </w:r>
      <w:bookmarkEnd w:id="96"/>
      <w:r w:rsidR="006F197D">
        <w:rPr>
          <w:rFonts w:ascii="Myriad Pro" w:hAnsi="Myriad Pro"/>
          <w:sz w:val="22"/>
          <w:szCs w:val="22"/>
        </w:rPr>
        <w:t xml:space="preserve"> </w:t>
      </w:r>
      <w:r w:rsidRPr="00517B41">
        <w:rPr>
          <w:rFonts w:ascii="Myriad Pro" w:hAnsi="Myriad Pro"/>
          <w:sz w:val="22"/>
          <w:szCs w:val="22"/>
        </w:rPr>
        <w:t xml:space="preserve">Cumulative and incremental frequency magnitude distributions for, (a) </w:t>
      </w:r>
      <w:r w:rsidRPr="006F197D">
        <w:rPr>
          <w:rFonts w:ascii="Myriad Pro" w:hAnsi="Myriad Pro"/>
          <w:b w:val="0"/>
          <w:bCs w:val="0"/>
          <w:sz w:val="22"/>
          <w:szCs w:val="22"/>
        </w:rPr>
        <w:t xml:space="preserve">subcluster A1 and </w:t>
      </w:r>
      <w:r w:rsidRPr="006F197D">
        <w:rPr>
          <w:rFonts w:ascii="Myriad Pro" w:hAnsi="Myriad Pro"/>
          <w:sz w:val="22"/>
          <w:szCs w:val="22"/>
        </w:rPr>
        <w:t>(b)</w:t>
      </w:r>
      <w:r w:rsidRPr="006F197D">
        <w:rPr>
          <w:rFonts w:ascii="Myriad Pro" w:hAnsi="Myriad Pro"/>
          <w:b w:val="0"/>
          <w:bCs w:val="0"/>
          <w:sz w:val="22"/>
          <w:szCs w:val="22"/>
        </w:rPr>
        <w:t xml:space="preserve"> subcluster A2 of the north part of the Song Tranh 2, episode catalog. The chosen magnitudes of completeness are marked by the vertical red lines.</w:t>
      </w:r>
    </w:p>
    <w:p w14:paraId="3B186E0F"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2C331823"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7FBD6C42" wp14:editId="20EF0D99">
            <wp:extent cx="5847549" cy="3868112"/>
            <wp:effectExtent l="0" t="0" r="1270" b="0"/>
            <wp:docPr id="1364078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078450" name="Picture 1364078450"/>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904035" cy="3905477"/>
                    </a:xfrm>
                    <a:prstGeom prst="rect">
                      <a:avLst/>
                    </a:prstGeom>
                  </pic:spPr>
                </pic:pic>
              </a:graphicData>
            </a:graphic>
          </wp:inline>
        </w:drawing>
      </w:r>
    </w:p>
    <w:p w14:paraId="3AA0A391" w14:textId="1D62C92F" w:rsidR="009932D9" w:rsidRPr="00517B41" w:rsidRDefault="009932D9" w:rsidP="006F197D">
      <w:pPr>
        <w:pStyle w:val="SMHeading"/>
        <w:jc w:val="both"/>
        <w:rPr>
          <w:rFonts w:ascii="Myriad Pro" w:hAnsi="Myriad Pro"/>
          <w:sz w:val="22"/>
          <w:szCs w:val="22"/>
        </w:rPr>
      </w:pPr>
      <w:bookmarkStart w:id="97" w:name="_Toc162436100"/>
      <w:r w:rsidRPr="00517B41">
        <w:rPr>
          <w:rFonts w:ascii="Myriad Pro" w:hAnsi="Myriad Pro"/>
          <w:sz w:val="22"/>
          <w:szCs w:val="22"/>
        </w:rPr>
        <w:t>Figure S</w:t>
      </w:r>
      <w:r w:rsidR="001B12E7">
        <w:rPr>
          <w:rFonts w:ascii="Myriad Pro" w:hAnsi="Myriad Pro"/>
          <w:sz w:val="22"/>
          <w:szCs w:val="22"/>
        </w:rPr>
        <w:t>84</w:t>
      </w:r>
      <w:r w:rsidRPr="00517B41">
        <w:rPr>
          <w:rFonts w:ascii="Myriad Pro" w:hAnsi="Myriad Pro"/>
          <w:sz w:val="22"/>
          <w:szCs w:val="22"/>
        </w:rPr>
        <w:t>.</w:t>
      </w:r>
      <w:bookmarkEnd w:id="97"/>
      <w:r w:rsidRPr="00517B41">
        <w:rPr>
          <w:rFonts w:ascii="Myriad Pro" w:hAnsi="Myriad Pro"/>
          <w:sz w:val="22"/>
          <w:szCs w:val="22"/>
        </w:rPr>
        <w:t xml:space="preserve"> Cumulative and incremental frequency magnitude distributions for, (a) </w:t>
      </w:r>
      <w:r w:rsidRPr="006F197D">
        <w:rPr>
          <w:rFonts w:ascii="Myriad Pro" w:hAnsi="Myriad Pro"/>
          <w:b w:val="0"/>
          <w:bCs w:val="0"/>
          <w:sz w:val="22"/>
          <w:szCs w:val="22"/>
        </w:rPr>
        <w:t xml:space="preserve">cluster B, </w:t>
      </w:r>
      <w:r w:rsidRPr="006F197D">
        <w:rPr>
          <w:rFonts w:ascii="Myriad Pro" w:hAnsi="Myriad Pro"/>
          <w:sz w:val="22"/>
          <w:szCs w:val="22"/>
        </w:rPr>
        <w:t>(b)</w:t>
      </w:r>
      <w:r w:rsidRPr="006F197D">
        <w:rPr>
          <w:rFonts w:ascii="Myriad Pro" w:hAnsi="Myriad Pro"/>
          <w:b w:val="0"/>
          <w:bCs w:val="0"/>
          <w:sz w:val="22"/>
          <w:szCs w:val="22"/>
        </w:rPr>
        <w:t xml:space="preserve"> cluster C, </w:t>
      </w:r>
      <w:r w:rsidRPr="006F197D">
        <w:rPr>
          <w:rFonts w:ascii="Myriad Pro" w:hAnsi="Myriad Pro"/>
          <w:sz w:val="22"/>
          <w:szCs w:val="22"/>
        </w:rPr>
        <w:t>(c)</w:t>
      </w:r>
      <w:r w:rsidRPr="006F197D">
        <w:rPr>
          <w:rFonts w:ascii="Myriad Pro" w:hAnsi="Myriad Pro"/>
          <w:b w:val="0"/>
          <w:bCs w:val="0"/>
          <w:sz w:val="22"/>
          <w:szCs w:val="22"/>
        </w:rPr>
        <w:t xml:space="preserve"> cluster D and </w:t>
      </w:r>
      <w:r w:rsidRPr="006F197D">
        <w:rPr>
          <w:rFonts w:ascii="Myriad Pro" w:hAnsi="Myriad Pro"/>
          <w:sz w:val="22"/>
          <w:szCs w:val="22"/>
        </w:rPr>
        <w:t>(d)</w:t>
      </w:r>
      <w:r w:rsidRPr="006F197D">
        <w:rPr>
          <w:rFonts w:ascii="Myriad Pro" w:hAnsi="Myriad Pro"/>
          <w:b w:val="0"/>
          <w:bCs w:val="0"/>
          <w:sz w:val="22"/>
          <w:szCs w:val="22"/>
        </w:rPr>
        <w:t xml:space="preserve"> cluster F of the south part of the Song Tranh 2 episode catalog. The chosen magnitudes of completeness are marked by the vertical red lines.</w:t>
      </w:r>
    </w:p>
    <w:p w14:paraId="3FAFB257" w14:textId="77777777" w:rsidR="009932D9" w:rsidRDefault="009932D9" w:rsidP="009932D9">
      <w:pPr>
        <w:rPr>
          <w:rFonts w:ascii="Myriad Pro" w:hAnsi="Myriad Pro"/>
          <w:sz w:val="22"/>
          <w:szCs w:val="22"/>
        </w:rPr>
      </w:pPr>
      <w:r w:rsidRPr="00517B41">
        <w:rPr>
          <w:rFonts w:ascii="Myriad Pro" w:hAnsi="Myriad Pro"/>
          <w:sz w:val="22"/>
          <w:szCs w:val="22"/>
        </w:rPr>
        <w:br w:type="page"/>
      </w:r>
    </w:p>
    <w:p w14:paraId="10F0F943" w14:textId="417300E4" w:rsidR="00504B66" w:rsidRDefault="00504B66" w:rsidP="009932D9">
      <w:pP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73F5FB00" wp14:editId="5228CE98">
            <wp:extent cx="5486400" cy="407543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486400" cy="4075430"/>
                    </a:xfrm>
                    <a:prstGeom prst="rect">
                      <a:avLst/>
                    </a:prstGeom>
                  </pic:spPr>
                </pic:pic>
              </a:graphicData>
            </a:graphic>
          </wp:inline>
        </w:drawing>
      </w:r>
    </w:p>
    <w:p w14:paraId="14A77BDB" w14:textId="0492C99D" w:rsidR="00504B66" w:rsidRDefault="00504B66" w:rsidP="00FF2F7A">
      <w:pPr>
        <w:pStyle w:val="SMHeading"/>
        <w:jc w:val="both"/>
        <w:rPr>
          <w:rFonts w:ascii="Myriad Pro" w:hAnsi="Myriad Pro"/>
          <w:sz w:val="22"/>
          <w:szCs w:val="22"/>
        </w:rPr>
      </w:pPr>
      <w:r w:rsidRPr="00517B41">
        <w:rPr>
          <w:rFonts w:ascii="Myriad Pro" w:hAnsi="Myriad Pro"/>
          <w:sz w:val="22"/>
          <w:szCs w:val="22"/>
        </w:rPr>
        <w:t>Figure S</w:t>
      </w:r>
      <w:r>
        <w:rPr>
          <w:rFonts w:ascii="Myriad Pro" w:hAnsi="Myriad Pro"/>
          <w:sz w:val="22"/>
          <w:szCs w:val="22"/>
        </w:rPr>
        <w:t>85</w:t>
      </w:r>
      <w:r w:rsidRPr="00517B41">
        <w:rPr>
          <w:rFonts w:ascii="Myriad Pro" w:hAnsi="Myriad Pro"/>
          <w:sz w:val="22"/>
          <w:szCs w:val="22"/>
        </w:rPr>
        <w:t>.</w:t>
      </w:r>
      <w:r>
        <w:rPr>
          <w:rFonts w:ascii="Myriad Pro" w:hAnsi="Myriad Pro"/>
          <w:sz w:val="22"/>
          <w:szCs w:val="22"/>
        </w:rPr>
        <w:t xml:space="preserve"> </w:t>
      </w:r>
      <w:r>
        <w:rPr>
          <w:rFonts w:ascii="Myriad Pro" w:hAnsi="Myriad Pro"/>
          <w:b w:val="0"/>
          <w:bCs w:val="0"/>
          <w:sz w:val="22"/>
          <w:szCs w:val="22"/>
        </w:rPr>
        <w:t>S</w:t>
      </w:r>
      <w:r w:rsidRPr="003249D8">
        <w:rPr>
          <w:rFonts w:ascii="Myriad Pro" w:hAnsi="Myriad Pro"/>
          <w:b w:val="0"/>
          <w:bCs w:val="0"/>
          <w:sz w:val="22"/>
          <w:szCs w:val="22"/>
        </w:rPr>
        <w:t xml:space="preserve">patial distribution of the magnitude of completeness over a gridded area for </w:t>
      </w:r>
      <w:r>
        <w:rPr>
          <w:rFonts w:ascii="Myriad Pro" w:hAnsi="Myriad Pro"/>
          <w:b w:val="0"/>
          <w:bCs w:val="0"/>
          <w:sz w:val="22"/>
          <w:szCs w:val="22"/>
        </w:rPr>
        <w:t xml:space="preserve">clusters </w:t>
      </w:r>
      <w:r w:rsidR="00FF2F7A" w:rsidRPr="00FF2F7A">
        <w:rPr>
          <w:rFonts w:ascii="Myriad Pro" w:hAnsi="Myriad Pro"/>
          <w:sz w:val="22"/>
          <w:szCs w:val="22"/>
        </w:rPr>
        <w:t>(a)</w:t>
      </w:r>
      <w:r w:rsidR="00FF2F7A">
        <w:rPr>
          <w:rFonts w:ascii="Myriad Pro" w:hAnsi="Myriad Pro"/>
          <w:b w:val="0"/>
          <w:bCs w:val="0"/>
          <w:sz w:val="22"/>
          <w:szCs w:val="22"/>
        </w:rPr>
        <w:t xml:space="preserve"> </w:t>
      </w:r>
      <w:r>
        <w:rPr>
          <w:rFonts w:ascii="Myriad Pro" w:hAnsi="Myriad Pro"/>
          <w:b w:val="0"/>
          <w:bCs w:val="0"/>
          <w:sz w:val="22"/>
          <w:szCs w:val="22"/>
        </w:rPr>
        <w:t xml:space="preserve">A1, </w:t>
      </w:r>
      <w:r w:rsidR="00FF2F7A" w:rsidRPr="00FF2F7A">
        <w:rPr>
          <w:rFonts w:ascii="Myriad Pro" w:hAnsi="Myriad Pro"/>
          <w:sz w:val="22"/>
          <w:szCs w:val="22"/>
        </w:rPr>
        <w:t>(b)</w:t>
      </w:r>
      <w:r w:rsidR="00FF2F7A">
        <w:rPr>
          <w:rFonts w:ascii="Myriad Pro" w:hAnsi="Myriad Pro"/>
          <w:b w:val="0"/>
          <w:bCs w:val="0"/>
          <w:sz w:val="22"/>
          <w:szCs w:val="22"/>
        </w:rPr>
        <w:t xml:space="preserve"> </w:t>
      </w:r>
      <w:r>
        <w:rPr>
          <w:rFonts w:ascii="Myriad Pro" w:hAnsi="Myriad Pro"/>
          <w:b w:val="0"/>
          <w:bCs w:val="0"/>
          <w:sz w:val="22"/>
          <w:szCs w:val="22"/>
        </w:rPr>
        <w:t xml:space="preserve">A2, </w:t>
      </w:r>
      <w:r w:rsidR="00FF2F7A" w:rsidRPr="00FF2F7A">
        <w:rPr>
          <w:rFonts w:ascii="Myriad Pro" w:hAnsi="Myriad Pro"/>
          <w:sz w:val="22"/>
          <w:szCs w:val="22"/>
        </w:rPr>
        <w:t>(c)</w:t>
      </w:r>
      <w:r w:rsidR="00FF2F7A">
        <w:rPr>
          <w:rFonts w:ascii="Myriad Pro" w:hAnsi="Myriad Pro"/>
          <w:b w:val="0"/>
          <w:bCs w:val="0"/>
          <w:sz w:val="22"/>
          <w:szCs w:val="22"/>
        </w:rPr>
        <w:t xml:space="preserve"> </w:t>
      </w:r>
      <w:r>
        <w:rPr>
          <w:rFonts w:ascii="Myriad Pro" w:hAnsi="Myriad Pro"/>
          <w:b w:val="0"/>
          <w:bCs w:val="0"/>
          <w:sz w:val="22"/>
          <w:szCs w:val="22"/>
        </w:rPr>
        <w:t xml:space="preserve">B, </w:t>
      </w:r>
      <w:r w:rsidR="00FF2F7A" w:rsidRPr="00FF2F7A">
        <w:rPr>
          <w:rFonts w:ascii="Myriad Pro" w:hAnsi="Myriad Pro"/>
          <w:sz w:val="22"/>
          <w:szCs w:val="22"/>
        </w:rPr>
        <w:t>(d)</w:t>
      </w:r>
      <w:r w:rsidR="00FF2F7A">
        <w:rPr>
          <w:rFonts w:ascii="Myriad Pro" w:hAnsi="Myriad Pro"/>
          <w:b w:val="0"/>
          <w:bCs w:val="0"/>
          <w:sz w:val="22"/>
          <w:szCs w:val="22"/>
        </w:rPr>
        <w:t xml:space="preserve"> </w:t>
      </w:r>
      <w:r>
        <w:rPr>
          <w:rFonts w:ascii="Myriad Pro" w:hAnsi="Myriad Pro"/>
          <w:b w:val="0"/>
          <w:bCs w:val="0"/>
          <w:sz w:val="22"/>
          <w:szCs w:val="22"/>
        </w:rPr>
        <w:t xml:space="preserve">C, </w:t>
      </w:r>
      <w:r w:rsidR="00FF2F7A" w:rsidRPr="00FF2F7A">
        <w:rPr>
          <w:rFonts w:ascii="Myriad Pro" w:hAnsi="Myriad Pro"/>
          <w:sz w:val="22"/>
          <w:szCs w:val="22"/>
        </w:rPr>
        <w:t>(e)</w:t>
      </w:r>
      <w:r w:rsidR="00FF2F7A">
        <w:rPr>
          <w:rFonts w:ascii="Myriad Pro" w:hAnsi="Myriad Pro"/>
          <w:b w:val="0"/>
          <w:bCs w:val="0"/>
          <w:sz w:val="22"/>
          <w:szCs w:val="22"/>
        </w:rPr>
        <w:t xml:space="preserve"> </w:t>
      </w:r>
      <w:r>
        <w:rPr>
          <w:rFonts w:ascii="Myriad Pro" w:hAnsi="Myriad Pro"/>
          <w:b w:val="0"/>
          <w:bCs w:val="0"/>
          <w:sz w:val="22"/>
          <w:szCs w:val="22"/>
        </w:rPr>
        <w:t xml:space="preserve">D and </w:t>
      </w:r>
      <w:r w:rsidR="00FF2F7A" w:rsidRPr="00FF2F7A">
        <w:rPr>
          <w:rFonts w:ascii="Myriad Pro" w:hAnsi="Myriad Pro"/>
          <w:sz w:val="22"/>
          <w:szCs w:val="22"/>
        </w:rPr>
        <w:t xml:space="preserve">(f) </w:t>
      </w:r>
      <w:r>
        <w:rPr>
          <w:rFonts w:ascii="Myriad Pro" w:hAnsi="Myriad Pro"/>
          <w:b w:val="0"/>
          <w:bCs w:val="0"/>
          <w:sz w:val="22"/>
          <w:szCs w:val="22"/>
        </w:rPr>
        <w:t>F of the Song Tranh 2 episode catalog.</w:t>
      </w:r>
    </w:p>
    <w:p w14:paraId="0E1E5EB6" w14:textId="3E2413C1" w:rsidR="00504B66" w:rsidRDefault="00504B66">
      <w:pPr>
        <w:rPr>
          <w:rFonts w:ascii="Myriad Pro" w:hAnsi="Myriad Pro"/>
          <w:sz w:val="22"/>
          <w:szCs w:val="22"/>
        </w:rPr>
      </w:pPr>
      <w:r>
        <w:rPr>
          <w:rFonts w:ascii="Myriad Pro" w:hAnsi="Myriad Pro"/>
          <w:sz w:val="22"/>
          <w:szCs w:val="22"/>
        </w:rPr>
        <w:br w:type="page"/>
      </w:r>
    </w:p>
    <w:p w14:paraId="0916B054" w14:textId="77777777" w:rsidR="00504B66" w:rsidRPr="00517B41" w:rsidRDefault="00504B66" w:rsidP="009932D9">
      <w:pPr>
        <w:rPr>
          <w:rFonts w:ascii="Myriad Pro" w:hAnsi="Myriad Pro"/>
          <w:sz w:val="22"/>
          <w:szCs w:val="22"/>
        </w:rPr>
      </w:pPr>
    </w:p>
    <w:p w14:paraId="52598414"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drawing>
          <wp:inline distT="0" distB="0" distL="0" distR="0" wp14:anchorId="0DE97689" wp14:editId="507511FA">
            <wp:extent cx="5931955" cy="5891592"/>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994747" cy="5953957"/>
                    </a:xfrm>
                    <a:prstGeom prst="rect">
                      <a:avLst/>
                    </a:prstGeom>
                  </pic:spPr>
                </pic:pic>
              </a:graphicData>
            </a:graphic>
          </wp:inline>
        </w:drawing>
      </w:r>
    </w:p>
    <w:p w14:paraId="3920E57B" w14:textId="17C263F3" w:rsidR="009932D9" w:rsidRPr="00517B41" w:rsidRDefault="009932D9" w:rsidP="00AB61C8">
      <w:pPr>
        <w:pStyle w:val="SMHeading"/>
        <w:jc w:val="both"/>
        <w:rPr>
          <w:rFonts w:ascii="Myriad Pro" w:hAnsi="Myriad Pro"/>
          <w:sz w:val="22"/>
          <w:szCs w:val="22"/>
        </w:rPr>
      </w:pPr>
      <w:bookmarkStart w:id="98" w:name="_Toc162436101"/>
      <w:r w:rsidRPr="00517B41">
        <w:rPr>
          <w:rFonts w:ascii="Myriad Pro" w:hAnsi="Myriad Pro"/>
          <w:sz w:val="22"/>
          <w:szCs w:val="22"/>
        </w:rPr>
        <w:t>Figure S</w:t>
      </w:r>
      <w:r w:rsidR="00504B66">
        <w:rPr>
          <w:rFonts w:ascii="Myriad Pro" w:hAnsi="Myriad Pro"/>
          <w:sz w:val="22"/>
          <w:szCs w:val="22"/>
        </w:rPr>
        <w:t>8</w:t>
      </w:r>
      <w:r w:rsidR="00AB61C8">
        <w:rPr>
          <w:rFonts w:ascii="Myriad Pro" w:hAnsi="Myriad Pro"/>
          <w:sz w:val="22"/>
          <w:szCs w:val="22"/>
        </w:rPr>
        <w:t>6</w:t>
      </w:r>
      <w:r w:rsidRPr="00517B41">
        <w:rPr>
          <w:rFonts w:ascii="Myriad Pro" w:hAnsi="Myriad Pro"/>
          <w:sz w:val="22"/>
          <w:szCs w:val="22"/>
        </w:rPr>
        <w:t>.</w:t>
      </w:r>
      <w:bookmarkEnd w:id="98"/>
      <w:r w:rsidR="00AB61C8">
        <w:rPr>
          <w:rFonts w:ascii="Myriad Pro" w:hAnsi="Myriad Pro"/>
          <w:sz w:val="22"/>
          <w:szCs w:val="22"/>
        </w:rPr>
        <w:t xml:space="preserve"> </w:t>
      </w:r>
      <w:r w:rsidRPr="00AB61C8">
        <w:rPr>
          <w:rFonts w:ascii="Myriad Pro" w:hAnsi="Myriad Pro"/>
          <w:sz w:val="22"/>
          <w:szCs w:val="22"/>
        </w:rPr>
        <w:t>(a–f) Cumulative number of earthquakes above Mc versus time,</w:t>
      </w:r>
      <w:r w:rsidRPr="00AB61C8">
        <w:rPr>
          <w:rFonts w:ascii="Myriad Pro" w:hAnsi="Myriad Pro"/>
          <w:b w:val="0"/>
          <w:bCs w:val="0"/>
          <w:sz w:val="22"/>
          <w:szCs w:val="22"/>
        </w:rPr>
        <w:t xml:space="preserve"> represented with black circles (left y-axis) along with the water level changes represented by a red continuous line (right y-axis) for the examined clusters. The stationary activity rate periods are noted by </w:t>
      </w:r>
      <w:r w:rsidRPr="00AB61C8">
        <w:rPr>
          <w:rFonts w:ascii="Myriad Pro" w:hAnsi="Myriad Pro"/>
          <w:sz w:val="22"/>
          <w:szCs w:val="22"/>
        </w:rPr>
        <w:t>(a)</w:t>
      </w:r>
      <w:r w:rsidRPr="00AB61C8">
        <w:rPr>
          <w:rFonts w:ascii="Myriad Pro" w:hAnsi="Myriad Pro"/>
          <w:b w:val="0"/>
          <w:bCs w:val="0"/>
          <w:sz w:val="22"/>
          <w:szCs w:val="22"/>
        </w:rPr>
        <w:t xml:space="preserve"> the blue colored circles, </w:t>
      </w:r>
      <w:r w:rsidRPr="00AB61C8">
        <w:rPr>
          <w:rFonts w:ascii="Myriad Pro" w:hAnsi="Myriad Pro"/>
          <w:sz w:val="22"/>
          <w:szCs w:val="22"/>
        </w:rPr>
        <w:t>(b)</w:t>
      </w:r>
      <w:r w:rsidRPr="00AB61C8">
        <w:rPr>
          <w:rFonts w:ascii="Myriad Pro" w:hAnsi="Myriad Pro"/>
          <w:b w:val="0"/>
          <w:bCs w:val="0"/>
          <w:sz w:val="22"/>
          <w:szCs w:val="22"/>
        </w:rPr>
        <w:t xml:space="preserve"> the green colored circles and </w:t>
      </w:r>
      <w:r w:rsidRPr="00AB61C8">
        <w:rPr>
          <w:rFonts w:ascii="Myriad Pro" w:hAnsi="Myriad Pro"/>
          <w:sz w:val="22"/>
          <w:szCs w:val="22"/>
        </w:rPr>
        <w:t>(d)</w:t>
      </w:r>
      <w:r w:rsidRPr="00AB61C8">
        <w:rPr>
          <w:rFonts w:ascii="Myriad Pro" w:hAnsi="Myriad Pro"/>
          <w:b w:val="0"/>
          <w:bCs w:val="0"/>
          <w:sz w:val="22"/>
          <w:szCs w:val="22"/>
        </w:rPr>
        <w:t xml:space="preserve"> the red colored circles. The same colors are used in Fig. S</w:t>
      </w:r>
      <w:r w:rsidR="00AB61C8">
        <w:rPr>
          <w:rFonts w:ascii="Myriad Pro" w:hAnsi="Myriad Pro"/>
          <w:b w:val="0"/>
          <w:bCs w:val="0"/>
          <w:sz w:val="22"/>
          <w:szCs w:val="22"/>
        </w:rPr>
        <w:t>82</w:t>
      </w:r>
      <w:r w:rsidRPr="00AB61C8">
        <w:rPr>
          <w:rFonts w:ascii="Myriad Pro" w:hAnsi="Myriad Pro"/>
          <w:b w:val="0"/>
          <w:bCs w:val="0"/>
          <w:sz w:val="22"/>
          <w:szCs w:val="22"/>
        </w:rPr>
        <w:t>b for the epicentral distribution of earthquakes in those periods.</w:t>
      </w:r>
    </w:p>
    <w:p w14:paraId="3E107DA5"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19B0F43E" w14:textId="0716A8FB" w:rsidR="009932D9" w:rsidRDefault="009932D9" w:rsidP="009932D9">
      <w:pPr>
        <w:ind w:right="23"/>
        <w:jc w:val="center"/>
        <w:rPr>
          <w:rFonts w:ascii="Myriad Pro" w:hAnsi="Myriad Pro"/>
          <w:sz w:val="22"/>
          <w:szCs w:val="22"/>
        </w:rPr>
      </w:pPr>
    </w:p>
    <w:p w14:paraId="15A828A8" w14:textId="74762A50" w:rsidR="007253E0" w:rsidRPr="00517B41" w:rsidRDefault="003A2D9F" w:rsidP="009932D9">
      <w:pPr>
        <w:ind w:right="23"/>
        <w:jc w:val="center"/>
        <w:rPr>
          <w:rFonts w:ascii="Myriad Pro" w:hAnsi="Myriad Pro"/>
          <w:sz w:val="22"/>
          <w:szCs w:val="22"/>
        </w:rPr>
      </w:pPr>
      <w:r>
        <w:rPr>
          <w:rFonts w:ascii="Myriad Pro" w:hAnsi="Myriad Pro"/>
          <w:noProof/>
          <w:sz w:val="22"/>
          <w:szCs w:val="22"/>
          <w:lang w:val="en-IN" w:eastAsia="en-IN"/>
        </w:rPr>
        <w:drawing>
          <wp:inline distT="0" distB="0" distL="0" distR="0" wp14:anchorId="74423380" wp14:editId="009946BB">
            <wp:extent cx="5486400" cy="5594985"/>
            <wp:effectExtent l="0" t="0" r="0"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486400" cy="5594985"/>
                    </a:xfrm>
                    <a:prstGeom prst="rect">
                      <a:avLst/>
                    </a:prstGeom>
                  </pic:spPr>
                </pic:pic>
              </a:graphicData>
            </a:graphic>
          </wp:inline>
        </w:drawing>
      </w:r>
    </w:p>
    <w:p w14:paraId="5CFAB464" w14:textId="2A74EAA1" w:rsidR="009932D9" w:rsidRPr="00517B41" w:rsidRDefault="009932D9" w:rsidP="00192243">
      <w:pPr>
        <w:pStyle w:val="SMHeading"/>
        <w:jc w:val="both"/>
        <w:rPr>
          <w:rFonts w:ascii="Myriad Pro" w:eastAsiaTheme="minorEastAsia" w:hAnsi="Myriad Pro"/>
          <w:sz w:val="22"/>
          <w:szCs w:val="22"/>
        </w:rPr>
      </w:pPr>
      <w:bookmarkStart w:id="99" w:name="_Toc162436102"/>
      <w:r w:rsidRPr="00517B41">
        <w:rPr>
          <w:rFonts w:ascii="Myriad Pro" w:eastAsiaTheme="minorEastAsia" w:hAnsi="Myriad Pro"/>
          <w:sz w:val="22"/>
          <w:szCs w:val="22"/>
        </w:rPr>
        <w:t>Figure S</w:t>
      </w:r>
      <w:r w:rsidR="00192243">
        <w:rPr>
          <w:rFonts w:ascii="Myriad Pro" w:eastAsiaTheme="minorEastAsia" w:hAnsi="Myriad Pro"/>
          <w:sz w:val="22"/>
          <w:szCs w:val="22"/>
        </w:rPr>
        <w:t>87</w:t>
      </w:r>
      <w:r w:rsidRPr="00517B41">
        <w:rPr>
          <w:rFonts w:ascii="Myriad Pro" w:eastAsiaTheme="minorEastAsia" w:hAnsi="Myriad Pro"/>
          <w:sz w:val="22"/>
          <w:szCs w:val="22"/>
        </w:rPr>
        <w:t>.</w:t>
      </w:r>
      <w:bookmarkEnd w:id="99"/>
      <w:r w:rsidR="00192243">
        <w:rPr>
          <w:rFonts w:ascii="Myriad Pro" w:eastAsiaTheme="minorEastAsia" w:hAnsi="Myriad Pro"/>
          <w:sz w:val="22"/>
          <w:szCs w:val="22"/>
        </w:rPr>
        <w:t xml:space="preserve"> </w:t>
      </w:r>
      <w:r w:rsidRPr="00192243">
        <w:rPr>
          <w:rFonts w:ascii="Myriad Pro" w:eastAsiaTheme="minorEastAsia" w:hAnsi="Myriad Pro"/>
          <w:b w:val="0"/>
          <w:bCs w:val="0"/>
          <w:sz w:val="22"/>
          <w:szCs w:val="22"/>
        </w:rPr>
        <w:t xml:space="preserve">The </w:t>
      </w:r>
      <w:r w:rsidR="00010222">
        <w:rPr>
          <w:rFonts w:ascii="Myriad Pro" w:eastAsiaTheme="minorEastAsia" w:hAnsi="Myriad Pro"/>
          <w:b w:val="0"/>
          <w:bCs w:val="0"/>
          <w:sz w:val="22"/>
          <w:szCs w:val="22"/>
        </w:rPr>
        <w:t>five</w:t>
      </w:r>
      <w:r w:rsidRPr="00192243">
        <w:rPr>
          <w:rFonts w:ascii="Myriad Pro" w:eastAsiaTheme="minorEastAsia" w:hAnsi="Myriad Pro"/>
          <w:b w:val="0"/>
          <w:bCs w:val="0"/>
          <w:sz w:val="22"/>
          <w:szCs w:val="22"/>
        </w:rPr>
        <w:t xml:space="preserve"> cumulative distribution functions (CDFs) used to test the power of the AD, LIL, and KS tests represented by continuous lines.</w:t>
      </w:r>
      <w:r w:rsidRPr="00517B41">
        <w:rPr>
          <w:rFonts w:ascii="Myriad Pro" w:eastAsiaTheme="minorEastAsia" w:hAnsi="Myriad Pro"/>
          <w:sz w:val="22"/>
          <w:szCs w:val="22"/>
        </w:rPr>
        <w:t xml:space="preserve"> </w:t>
      </w:r>
    </w:p>
    <w:p w14:paraId="18E73DEB" w14:textId="77777777" w:rsidR="009932D9" w:rsidRPr="00517B41" w:rsidRDefault="009932D9" w:rsidP="009932D9">
      <w:pPr>
        <w:rPr>
          <w:rFonts w:ascii="Myriad Pro" w:eastAsiaTheme="minorEastAsia" w:hAnsi="Myriad Pro"/>
          <w:sz w:val="22"/>
          <w:szCs w:val="22"/>
        </w:rPr>
      </w:pPr>
      <w:r w:rsidRPr="00517B41">
        <w:rPr>
          <w:rFonts w:ascii="Myriad Pro" w:eastAsiaTheme="minorEastAsia" w:hAnsi="Myriad Pro"/>
          <w:sz w:val="22"/>
          <w:szCs w:val="22"/>
        </w:rPr>
        <w:br w:type="page"/>
      </w:r>
    </w:p>
    <w:p w14:paraId="7A3F0ED3" w14:textId="77777777" w:rsidR="009932D9" w:rsidRPr="00517B41" w:rsidRDefault="009932D9" w:rsidP="009932D9">
      <w:pPr>
        <w:pStyle w:val="SMcaption"/>
        <w:rPr>
          <w:rFonts w:ascii="Myriad Pro" w:eastAsiaTheme="minorEastAsia" w:hAnsi="Myriad Pro"/>
          <w:sz w:val="22"/>
          <w:szCs w:val="22"/>
        </w:rPr>
      </w:pPr>
    </w:p>
    <w:p w14:paraId="6028A62B" w14:textId="666F929F" w:rsidR="009932D9" w:rsidRDefault="009932D9" w:rsidP="009932D9">
      <w:pPr>
        <w:ind w:right="23"/>
        <w:jc w:val="center"/>
        <w:rPr>
          <w:rFonts w:ascii="Myriad Pro" w:eastAsiaTheme="minorEastAsia" w:hAnsi="Myriad Pro"/>
          <w:sz w:val="22"/>
          <w:szCs w:val="22"/>
        </w:rPr>
      </w:pPr>
    </w:p>
    <w:p w14:paraId="68B434C3" w14:textId="677E961D" w:rsidR="00C136C1" w:rsidRPr="00517B41" w:rsidRDefault="00DB093E" w:rsidP="009932D9">
      <w:pPr>
        <w:ind w:right="23"/>
        <w:jc w:val="center"/>
        <w:rPr>
          <w:rFonts w:ascii="Myriad Pro" w:eastAsiaTheme="minorEastAsia" w:hAnsi="Myriad Pro"/>
          <w:sz w:val="22"/>
          <w:szCs w:val="22"/>
        </w:rPr>
      </w:pPr>
      <w:r>
        <w:rPr>
          <w:rFonts w:ascii="Myriad Pro" w:eastAsiaTheme="minorEastAsia" w:hAnsi="Myriad Pro"/>
          <w:noProof/>
          <w:sz w:val="22"/>
          <w:szCs w:val="22"/>
          <w:lang w:val="en-IN" w:eastAsia="en-IN"/>
        </w:rPr>
        <w:drawing>
          <wp:inline distT="0" distB="0" distL="0" distR="0" wp14:anchorId="7E51B684" wp14:editId="7A80E954">
            <wp:extent cx="5486400" cy="523113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486400" cy="5231130"/>
                    </a:xfrm>
                    <a:prstGeom prst="rect">
                      <a:avLst/>
                    </a:prstGeom>
                  </pic:spPr>
                </pic:pic>
              </a:graphicData>
            </a:graphic>
          </wp:inline>
        </w:drawing>
      </w:r>
    </w:p>
    <w:p w14:paraId="409DDE07" w14:textId="2E2B30CD" w:rsidR="009932D9" w:rsidRPr="00010222" w:rsidRDefault="009932D9" w:rsidP="00390D02">
      <w:pPr>
        <w:pStyle w:val="SMHeading"/>
        <w:jc w:val="both"/>
        <w:rPr>
          <w:rFonts w:ascii="Myriad Pro" w:eastAsiaTheme="minorEastAsia" w:hAnsi="Myriad Pro"/>
          <w:sz w:val="22"/>
          <w:szCs w:val="22"/>
        </w:rPr>
      </w:pPr>
      <w:bookmarkStart w:id="100" w:name="_Toc162436103"/>
      <w:r w:rsidRPr="00517B41">
        <w:rPr>
          <w:rFonts w:ascii="Myriad Pro" w:eastAsiaTheme="minorEastAsia" w:hAnsi="Myriad Pro"/>
          <w:sz w:val="22"/>
          <w:szCs w:val="22"/>
        </w:rPr>
        <w:t>Figure S</w:t>
      </w:r>
      <w:r w:rsidR="00390D02">
        <w:rPr>
          <w:rFonts w:ascii="Myriad Pro" w:eastAsiaTheme="minorEastAsia" w:hAnsi="Myriad Pro"/>
          <w:sz w:val="22"/>
          <w:szCs w:val="22"/>
        </w:rPr>
        <w:t>88</w:t>
      </w:r>
      <w:r w:rsidRPr="00517B41">
        <w:rPr>
          <w:rFonts w:ascii="Myriad Pro" w:eastAsiaTheme="minorEastAsia" w:hAnsi="Myriad Pro"/>
          <w:sz w:val="22"/>
          <w:szCs w:val="22"/>
        </w:rPr>
        <w:t>.</w:t>
      </w:r>
      <w:bookmarkEnd w:id="100"/>
      <w:r w:rsidRPr="00517B41">
        <w:rPr>
          <w:rFonts w:ascii="Myriad Pro" w:eastAsiaTheme="minorEastAsia" w:hAnsi="Myriad Pro"/>
          <w:sz w:val="22"/>
          <w:szCs w:val="22"/>
        </w:rPr>
        <w:t xml:space="preserve"> median p-values of the AD (blue), LIL (red) and KS (yellow) tests versus the number of samples </w:t>
      </w:r>
      <w:r w:rsidR="00010222">
        <w:rPr>
          <w:rFonts w:ascii="Myriad Pro" w:eastAsiaTheme="minorEastAsia" w:hAnsi="Myriad Pro"/>
          <w:sz w:val="22"/>
          <w:szCs w:val="22"/>
        </w:rPr>
        <w:t>drawn from</w:t>
      </w:r>
      <w:r w:rsidRPr="00517B41">
        <w:rPr>
          <w:rFonts w:ascii="Myriad Pro" w:eastAsiaTheme="minorEastAsia" w:hAnsi="Myriad Pro"/>
          <w:sz w:val="22"/>
          <w:szCs w:val="22"/>
        </w:rPr>
        <w:t xml:space="preserve">, (a) </w:t>
      </w:r>
      <w:r w:rsidRPr="00390D02">
        <w:rPr>
          <w:rFonts w:ascii="Myriad Pro" w:eastAsiaTheme="minorEastAsia" w:hAnsi="Myriad Pro"/>
          <w:b w:val="0"/>
          <w:bCs w:val="0"/>
          <w:sz w:val="22"/>
          <w:szCs w:val="22"/>
        </w:rPr>
        <w:t xml:space="preserve">the exponential CDF, </w:t>
      </w:r>
      <w:r w:rsidRPr="00390D02">
        <w:rPr>
          <w:rFonts w:ascii="Myriad Pro" w:eastAsiaTheme="minorEastAsia" w:hAnsi="Myriad Pro"/>
          <w:sz w:val="22"/>
          <w:szCs w:val="22"/>
        </w:rPr>
        <w:t>(b)</w:t>
      </w:r>
      <w:r w:rsidRPr="00390D02">
        <w:rPr>
          <w:rFonts w:ascii="Myriad Pro" w:eastAsiaTheme="minorEastAsia" w:hAnsi="Myriad Pro"/>
          <w:b w:val="0"/>
          <w:bCs w:val="0"/>
          <w:sz w:val="22"/>
          <w:szCs w:val="22"/>
        </w:rPr>
        <w:t xml:space="preserve"> the CDF from resulting from a concave composite of two exponential PDFs, </w:t>
      </w:r>
      <w:r w:rsidRPr="00390D02">
        <w:rPr>
          <w:rFonts w:ascii="Myriad Pro" w:eastAsiaTheme="minorEastAsia" w:hAnsi="Myriad Pro"/>
          <w:sz w:val="22"/>
          <w:szCs w:val="22"/>
        </w:rPr>
        <w:t>(c)</w:t>
      </w:r>
      <w:r w:rsidRPr="00390D02">
        <w:rPr>
          <w:rFonts w:ascii="Myriad Pro" w:eastAsiaTheme="minorEastAsia" w:hAnsi="Myriad Pro"/>
          <w:b w:val="0"/>
          <w:bCs w:val="0"/>
          <w:sz w:val="22"/>
          <w:szCs w:val="22"/>
        </w:rPr>
        <w:t xml:space="preserve"> the CDF from resulting from a convex composite of two exponential CDFs, </w:t>
      </w:r>
      <w:r w:rsidRPr="00390D02">
        <w:rPr>
          <w:rFonts w:ascii="Myriad Pro" w:eastAsiaTheme="minorEastAsia" w:hAnsi="Myriad Pro"/>
          <w:sz w:val="22"/>
          <w:szCs w:val="22"/>
        </w:rPr>
        <w:t xml:space="preserve">(d) </w:t>
      </w:r>
      <w:r w:rsidRPr="00390D02">
        <w:rPr>
          <w:rFonts w:ascii="Myriad Pro" w:eastAsiaTheme="minorEastAsia" w:hAnsi="Myriad Pro"/>
          <w:b w:val="0"/>
          <w:bCs w:val="0"/>
          <w:sz w:val="22"/>
          <w:szCs w:val="22"/>
        </w:rPr>
        <w:t>the CDF resulting from a composite of an exponential and normal PDF</w:t>
      </w:r>
      <w:r w:rsidR="00010222">
        <w:rPr>
          <w:rFonts w:ascii="Myriad Pro" w:eastAsiaTheme="minorEastAsia" w:hAnsi="Myriad Pro"/>
          <w:b w:val="0"/>
          <w:bCs w:val="0"/>
          <w:sz w:val="22"/>
          <w:szCs w:val="22"/>
        </w:rPr>
        <w:t xml:space="preserve"> with </w:t>
      </w:r>
      <w:r w:rsidR="00010222">
        <w:rPr>
          <w:rFonts w:ascii="Myriad Pro" w:eastAsiaTheme="minorEastAsia" w:hAnsi="Myriad Pro"/>
          <w:b w:val="0"/>
          <w:bCs w:val="0"/>
          <w:sz w:val="22"/>
          <w:szCs w:val="22"/>
          <w:lang w:val="el-GR"/>
        </w:rPr>
        <w:t>μ</w:t>
      </w:r>
      <w:r w:rsidR="00010222" w:rsidRPr="00010222">
        <w:rPr>
          <w:rFonts w:ascii="Myriad Pro" w:eastAsiaTheme="minorEastAsia" w:hAnsi="Myriad Pro"/>
          <w:b w:val="0"/>
          <w:bCs w:val="0"/>
          <w:sz w:val="22"/>
          <w:szCs w:val="22"/>
        </w:rPr>
        <w:t xml:space="preserve">=3.5 </w:t>
      </w:r>
      <w:r w:rsidR="00010222">
        <w:rPr>
          <w:rFonts w:ascii="Myriad Pro" w:eastAsiaTheme="minorEastAsia" w:hAnsi="Myriad Pro"/>
          <w:b w:val="0"/>
          <w:bCs w:val="0"/>
          <w:sz w:val="22"/>
          <w:szCs w:val="22"/>
        </w:rPr>
        <w:t xml:space="preserve">and </w:t>
      </w:r>
      <w:r w:rsidR="00010222">
        <w:rPr>
          <w:rFonts w:ascii="Myriad Pro" w:eastAsiaTheme="minorEastAsia" w:hAnsi="Myriad Pro"/>
          <w:b w:val="0"/>
          <w:bCs w:val="0"/>
          <w:sz w:val="22"/>
          <w:szCs w:val="22"/>
          <w:lang w:val="el-GR"/>
        </w:rPr>
        <w:t>σ</w:t>
      </w:r>
      <w:r w:rsidR="00010222" w:rsidRPr="00010222">
        <w:rPr>
          <w:rFonts w:ascii="Myriad Pro" w:eastAsiaTheme="minorEastAsia" w:hAnsi="Myriad Pro"/>
          <w:b w:val="0"/>
          <w:bCs w:val="0"/>
          <w:sz w:val="22"/>
          <w:szCs w:val="22"/>
        </w:rPr>
        <w:t>=0.3</w:t>
      </w:r>
      <w:r w:rsidR="00010222">
        <w:rPr>
          <w:rFonts w:ascii="Myriad Pro" w:eastAsiaTheme="minorEastAsia" w:hAnsi="Myriad Pro"/>
          <w:b w:val="0"/>
          <w:bCs w:val="0"/>
          <w:sz w:val="22"/>
          <w:szCs w:val="22"/>
        </w:rPr>
        <w:t>,</w:t>
      </w:r>
      <w:r w:rsidR="00010222" w:rsidRPr="00010222">
        <w:rPr>
          <w:rFonts w:ascii="Myriad Pro" w:eastAsiaTheme="minorEastAsia" w:hAnsi="Myriad Pro"/>
          <w:b w:val="0"/>
          <w:bCs w:val="0"/>
          <w:sz w:val="22"/>
          <w:szCs w:val="22"/>
        </w:rPr>
        <w:t xml:space="preserve"> </w:t>
      </w:r>
      <w:r w:rsidR="00010222">
        <w:rPr>
          <w:rFonts w:ascii="Myriad Pro" w:eastAsiaTheme="minorEastAsia" w:hAnsi="Myriad Pro"/>
          <w:b w:val="0"/>
          <w:bCs w:val="0"/>
          <w:sz w:val="22"/>
          <w:szCs w:val="22"/>
        </w:rPr>
        <w:t xml:space="preserve">and </w:t>
      </w:r>
      <w:r w:rsidR="00010222" w:rsidRPr="00390D02">
        <w:rPr>
          <w:rFonts w:ascii="Myriad Pro" w:eastAsiaTheme="minorEastAsia" w:hAnsi="Myriad Pro"/>
          <w:sz w:val="22"/>
          <w:szCs w:val="22"/>
        </w:rPr>
        <w:t>(</w:t>
      </w:r>
      <w:r w:rsidR="00010222">
        <w:rPr>
          <w:rFonts w:ascii="Myriad Pro" w:eastAsiaTheme="minorEastAsia" w:hAnsi="Myriad Pro"/>
          <w:sz w:val="22"/>
          <w:szCs w:val="22"/>
        </w:rPr>
        <w:t>e</w:t>
      </w:r>
      <w:r w:rsidR="00010222" w:rsidRPr="00390D02">
        <w:rPr>
          <w:rFonts w:ascii="Myriad Pro" w:eastAsiaTheme="minorEastAsia" w:hAnsi="Myriad Pro"/>
          <w:sz w:val="22"/>
          <w:szCs w:val="22"/>
        </w:rPr>
        <w:t xml:space="preserve">) </w:t>
      </w:r>
      <w:r w:rsidR="00010222" w:rsidRPr="00390D02">
        <w:rPr>
          <w:rFonts w:ascii="Myriad Pro" w:eastAsiaTheme="minorEastAsia" w:hAnsi="Myriad Pro"/>
          <w:b w:val="0"/>
          <w:bCs w:val="0"/>
          <w:sz w:val="22"/>
          <w:szCs w:val="22"/>
        </w:rPr>
        <w:t>the CDF resulting from a composite of an exponential and normal PDF</w:t>
      </w:r>
      <w:r w:rsidR="00010222">
        <w:rPr>
          <w:rFonts w:ascii="Myriad Pro" w:eastAsiaTheme="minorEastAsia" w:hAnsi="Myriad Pro"/>
          <w:b w:val="0"/>
          <w:bCs w:val="0"/>
          <w:sz w:val="22"/>
          <w:szCs w:val="22"/>
        </w:rPr>
        <w:t xml:space="preserve"> with </w:t>
      </w:r>
      <w:r w:rsidR="00010222">
        <w:rPr>
          <w:rFonts w:ascii="Myriad Pro" w:eastAsiaTheme="minorEastAsia" w:hAnsi="Myriad Pro"/>
          <w:b w:val="0"/>
          <w:bCs w:val="0"/>
          <w:sz w:val="22"/>
          <w:szCs w:val="22"/>
          <w:lang w:val="el-GR"/>
        </w:rPr>
        <w:t>μ</w:t>
      </w:r>
      <w:r w:rsidR="00010222" w:rsidRPr="00010222">
        <w:rPr>
          <w:rFonts w:ascii="Myriad Pro" w:eastAsiaTheme="minorEastAsia" w:hAnsi="Myriad Pro"/>
          <w:b w:val="0"/>
          <w:bCs w:val="0"/>
          <w:sz w:val="22"/>
          <w:szCs w:val="22"/>
        </w:rPr>
        <w:t>=</w:t>
      </w:r>
      <w:r w:rsidR="00010222">
        <w:rPr>
          <w:rFonts w:ascii="Myriad Pro" w:eastAsiaTheme="minorEastAsia" w:hAnsi="Myriad Pro"/>
          <w:b w:val="0"/>
          <w:bCs w:val="0"/>
          <w:sz w:val="22"/>
          <w:szCs w:val="22"/>
        </w:rPr>
        <w:t>5.0</w:t>
      </w:r>
      <w:r w:rsidR="00010222" w:rsidRPr="00010222">
        <w:rPr>
          <w:rFonts w:ascii="Myriad Pro" w:eastAsiaTheme="minorEastAsia" w:hAnsi="Myriad Pro"/>
          <w:b w:val="0"/>
          <w:bCs w:val="0"/>
          <w:sz w:val="22"/>
          <w:szCs w:val="22"/>
        </w:rPr>
        <w:t xml:space="preserve"> </w:t>
      </w:r>
      <w:r w:rsidR="00010222">
        <w:rPr>
          <w:rFonts w:ascii="Myriad Pro" w:eastAsiaTheme="minorEastAsia" w:hAnsi="Myriad Pro"/>
          <w:b w:val="0"/>
          <w:bCs w:val="0"/>
          <w:sz w:val="22"/>
          <w:szCs w:val="22"/>
        </w:rPr>
        <w:t xml:space="preserve">and </w:t>
      </w:r>
      <w:r w:rsidR="00010222">
        <w:rPr>
          <w:rFonts w:ascii="Myriad Pro" w:eastAsiaTheme="minorEastAsia" w:hAnsi="Myriad Pro"/>
          <w:b w:val="0"/>
          <w:bCs w:val="0"/>
          <w:sz w:val="22"/>
          <w:szCs w:val="22"/>
          <w:lang w:val="el-GR"/>
        </w:rPr>
        <w:t>σ</w:t>
      </w:r>
      <w:r w:rsidR="00010222" w:rsidRPr="00010222">
        <w:rPr>
          <w:rFonts w:ascii="Myriad Pro" w:eastAsiaTheme="minorEastAsia" w:hAnsi="Myriad Pro"/>
          <w:b w:val="0"/>
          <w:bCs w:val="0"/>
          <w:sz w:val="22"/>
          <w:szCs w:val="22"/>
        </w:rPr>
        <w:t>=0.3</w:t>
      </w:r>
      <w:r w:rsidR="00010222">
        <w:rPr>
          <w:rFonts w:ascii="Myriad Pro" w:eastAsiaTheme="minorEastAsia" w:hAnsi="Myriad Pro"/>
          <w:b w:val="0"/>
          <w:bCs w:val="0"/>
          <w:sz w:val="22"/>
          <w:szCs w:val="22"/>
        </w:rPr>
        <w:t>.</w:t>
      </w:r>
    </w:p>
    <w:p w14:paraId="035B7E60" w14:textId="38CB2B78" w:rsidR="009932D9" w:rsidRDefault="009932D9" w:rsidP="009932D9">
      <w:pPr>
        <w:rPr>
          <w:rFonts w:ascii="Myriad Pro" w:hAnsi="Myriad Pro"/>
          <w:sz w:val="22"/>
          <w:szCs w:val="22"/>
        </w:rPr>
      </w:pPr>
    </w:p>
    <w:p w14:paraId="6053400D" w14:textId="0626AECC" w:rsidR="00833104" w:rsidRDefault="003A301D" w:rsidP="003A301D">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150C8DDF" wp14:editId="09320925">
            <wp:extent cx="3848100" cy="62370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7">
                      <a:extLst>
                        <a:ext uri="{28A0092B-C50C-407E-A947-70E740481C1C}">
                          <a14:useLocalDpi xmlns:a14="http://schemas.microsoft.com/office/drawing/2010/main" val="0"/>
                        </a:ext>
                      </a:extLst>
                    </a:blip>
                    <a:stretch>
                      <a:fillRect/>
                    </a:stretch>
                  </pic:blipFill>
                  <pic:spPr>
                    <a:xfrm>
                      <a:off x="0" y="0"/>
                      <a:ext cx="3850997" cy="6241736"/>
                    </a:xfrm>
                    <a:prstGeom prst="rect">
                      <a:avLst/>
                    </a:prstGeom>
                  </pic:spPr>
                </pic:pic>
              </a:graphicData>
            </a:graphic>
          </wp:inline>
        </w:drawing>
      </w:r>
    </w:p>
    <w:p w14:paraId="08C13FB7" w14:textId="19E4DE35" w:rsidR="003A301D" w:rsidRPr="00BA0C54" w:rsidRDefault="003A301D" w:rsidP="00083BBB">
      <w:pPr>
        <w:pStyle w:val="SMHeading"/>
        <w:jc w:val="both"/>
        <w:rPr>
          <w:rFonts w:ascii="Myriad Pro" w:hAnsi="Myriad Pro"/>
          <w:sz w:val="22"/>
          <w:szCs w:val="22"/>
        </w:rPr>
      </w:pPr>
      <w:r w:rsidRPr="00BA0C54">
        <w:rPr>
          <w:rFonts w:ascii="Myriad Pro" w:hAnsi="Myriad Pro"/>
          <w:sz w:val="22"/>
          <w:szCs w:val="22"/>
        </w:rPr>
        <w:t>Figure S</w:t>
      </w:r>
      <w:r w:rsidRPr="00712023">
        <w:rPr>
          <w:rFonts w:ascii="Myriad Pro" w:hAnsi="Myriad Pro"/>
          <w:sz w:val="22"/>
          <w:szCs w:val="22"/>
        </w:rPr>
        <w:t>89.</w:t>
      </w:r>
      <w:r w:rsidR="00785250">
        <w:rPr>
          <w:rFonts w:ascii="Myriad Pro" w:hAnsi="Myriad Pro"/>
          <w:sz w:val="22"/>
          <w:szCs w:val="22"/>
        </w:rPr>
        <w:t xml:space="preserve"> </w:t>
      </w:r>
      <w:r w:rsidR="00FE77BB">
        <w:rPr>
          <w:rFonts w:ascii="Myriad Pro" w:hAnsi="Myriad Pro"/>
          <w:sz w:val="22"/>
          <w:szCs w:val="22"/>
        </w:rPr>
        <w:t xml:space="preserve">Examples of complex exponential-like distributions. </w:t>
      </w:r>
      <w:r w:rsidR="00FE77BB" w:rsidRPr="00BA0C54">
        <w:rPr>
          <w:rFonts w:ascii="Myriad Pro" w:hAnsi="Myriad Pro"/>
          <w:sz w:val="22"/>
          <w:szCs w:val="22"/>
        </w:rPr>
        <w:t>(a)</w:t>
      </w:r>
      <w:r w:rsidR="00FE77BB" w:rsidRPr="00083BBB">
        <w:rPr>
          <w:rFonts w:ascii="Myriad Pro" w:hAnsi="Myriad Pro"/>
          <w:b w:val="0"/>
          <w:bCs w:val="0"/>
          <w:sz w:val="22"/>
          <w:szCs w:val="22"/>
        </w:rPr>
        <w:t xml:space="preserve"> A bimodal </w:t>
      </w:r>
      <w:r w:rsidR="00036876" w:rsidRPr="00083BBB">
        <w:rPr>
          <w:rFonts w:ascii="Myriad Pro" w:hAnsi="Myriad Pro"/>
          <w:b w:val="0"/>
          <w:bCs w:val="0"/>
          <w:sz w:val="22"/>
          <w:szCs w:val="22"/>
        </w:rPr>
        <w:t xml:space="preserve">probability density function and </w:t>
      </w:r>
      <w:r w:rsidR="00036876" w:rsidRPr="00BA0C54">
        <w:rPr>
          <w:rFonts w:ascii="Myriad Pro" w:hAnsi="Myriad Pro"/>
          <w:sz w:val="22"/>
          <w:szCs w:val="22"/>
        </w:rPr>
        <w:t>(b)</w:t>
      </w:r>
      <w:r w:rsidR="00036876" w:rsidRPr="00083BBB">
        <w:rPr>
          <w:rFonts w:ascii="Myriad Pro" w:hAnsi="Myriad Pro"/>
          <w:b w:val="0"/>
          <w:bCs w:val="0"/>
          <w:sz w:val="22"/>
          <w:szCs w:val="22"/>
        </w:rPr>
        <w:t xml:space="preserve"> A two-bump density function. </w:t>
      </w:r>
      <w:r w:rsidR="00FE77BB" w:rsidRPr="00083BBB">
        <w:rPr>
          <w:rFonts w:ascii="Myriad Pro" w:hAnsi="Myriad Pro"/>
          <w:b w:val="0"/>
          <w:bCs w:val="0"/>
          <w:sz w:val="22"/>
          <w:szCs w:val="22"/>
        </w:rPr>
        <w:t xml:space="preserve">Reproduced from Lasocki and Papadimitriou </w:t>
      </w:r>
      <w:r w:rsidR="00036876">
        <w:rPr>
          <w:rFonts w:ascii="Myriad Pro" w:hAnsi="Myriad Pro"/>
          <w:b w:val="0"/>
          <w:bCs w:val="0"/>
          <w:sz w:val="22"/>
          <w:szCs w:val="22"/>
        </w:rPr>
        <w:t>(</w:t>
      </w:r>
      <w:r w:rsidR="00FE77BB" w:rsidRPr="00083BBB">
        <w:rPr>
          <w:rFonts w:ascii="Myriad Pro" w:hAnsi="Myriad Pro"/>
          <w:b w:val="0"/>
          <w:bCs w:val="0"/>
          <w:sz w:val="22"/>
          <w:szCs w:val="22"/>
        </w:rPr>
        <w:t>2006</w:t>
      </w:r>
      <w:r w:rsidR="00036876">
        <w:rPr>
          <w:rFonts w:ascii="Myriad Pro" w:hAnsi="Myriad Pro"/>
          <w:b w:val="0"/>
          <w:bCs w:val="0"/>
          <w:sz w:val="22"/>
          <w:szCs w:val="22"/>
        </w:rPr>
        <w:t>).</w:t>
      </w:r>
    </w:p>
    <w:p w14:paraId="7C86DE07" w14:textId="77777777" w:rsidR="00833104" w:rsidRPr="00517B41" w:rsidRDefault="00833104" w:rsidP="009932D9">
      <w:pPr>
        <w:rPr>
          <w:rFonts w:ascii="Myriad Pro" w:hAnsi="Myriad Pro"/>
          <w:sz w:val="22"/>
          <w:szCs w:val="22"/>
        </w:rPr>
      </w:pPr>
    </w:p>
    <w:p w14:paraId="680BD575" w14:textId="04923B7E" w:rsidR="009932D9" w:rsidRPr="00517B41" w:rsidRDefault="005850C9" w:rsidP="009932D9">
      <w:pPr>
        <w:spacing w:before="240"/>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7900F4BC" wp14:editId="6242B132">
            <wp:extent cx="5591569" cy="5840083"/>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599305" cy="5848163"/>
                    </a:xfrm>
                    <a:prstGeom prst="rect">
                      <a:avLst/>
                    </a:prstGeom>
                  </pic:spPr>
                </pic:pic>
              </a:graphicData>
            </a:graphic>
          </wp:inline>
        </w:drawing>
      </w:r>
    </w:p>
    <w:p w14:paraId="50AAF399" w14:textId="0F3A4621" w:rsidR="009932D9" w:rsidRPr="00517B41" w:rsidRDefault="009932D9" w:rsidP="000815F3">
      <w:pPr>
        <w:pStyle w:val="SMHeading"/>
        <w:jc w:val="both"/>
        <w:rPr>
          <w:rFonts w:ascii="Myriad Pro" w:hAnsi="Myriad Pro"/>
          <w:sz w:val="22"/>
          <w:szCs w:val="22"/>
        </w:rPr>
      </w:pPr>
      <w:bookmarkStart w:id="101" w:name="_Toc162436104"/>
      <w:r w:rsidRPr="00517B41">
        <w:rPr>
          <w:rFonts w:ascii="Myriad Pro" w:hAnsi="Myriad Pro"/>
          <w:sz w:val="22"/>
          <w:szCs w:val="22"/>
        </w:rPr>
        <w:t>Figure S</w:t>
      </w:r>
      <w:r w:rsidR="00030547">
        <w:rPr>
          <w:rFonts w:ascii="Myriad Pro" w:hAnsi="Myriad Pro"/>
          <w:sz w:val="22"/>
          <w:szCs w:val="22"/>
        </w:rPr>
        <w:t>90</w:t>
      </w:r>
      <w:r w:rsidRPr="00517B41">
        <w:rPr>
          <w:rFonts w:ascii="Myriad Pro" w:hAnsi="Myriad Pro"/>
          <w:sz w:val="22"/>
          <w:szCs w:val="22"/>
        </w:rPr>
        <w:t>.</w:t>
      </w:r>
      <w:bookmarkEnd w:id="101"/>
      <w:r w:rsidRPr="00517B41">
        <w:rPr>
          <w:rFonts w:ascii="Myriad Pro" w:hAnsi="Myriad Pro"/>
          <w:sz w:val="22"/>
          <w:szCs w:val="22"/>
        </w:rPr>
        <w:t xml:space="preserve"> b-value variations calculated for 60–earthquake non-overlapping moving windows </w:t>
      </w:r>
      <w:r w:rsidRPr="00390D02">
        <w:rPr>
          <w:rFonts w:ascii="Myriad Pro" w:hAnsi="Myriad Pro"/>
          <w:b w:val="0"/>
          <w:bCs w:val="0"/>
          <w:sz w:val="22"/>
          <w:szCs w:val="22"/>
        </w:rPr>
        <w:t xml:space="preserve">for </w:t>
      </w:r>
      <w:r w:rsidR="00DE56F4" w:rsidRPr="00390D02">
        <w:rPr>
          <w:rFonts w:ascii="Myriad Pro" w:hAnsi="Myriad Pro"/>
          <w:b w:val="0"/>
          <w:bCs w:val="0"/>
          <w:sz w:val="22"/>
          <w:szCs w:val="22"/>
        </w:rPr>
        <w:t xml:space="preserve">the examined subcatalogs of </w:t>
      </w:r>
      <w:r w:rsidRPr="00390D02">
        <w:rPr>
          <w:rFonts w:ascii="Myriad Pro" w:hAnsi="Myriad Pro"/>
          <w:sz w:val="22"/>
          <w:szCs w:val="22"/>
        </w:rPr>
        <w:t>(a)</w:t>
      </w:r>
      <w:r w:rsidRPr="00390D02">
        <w:rPr>
          <w:rFonts w:ascii="Myriad Pro" w:hAnsi="Myriad Pro"/>
          <w:b w:val="0"/>
          <w:bCs w:val="0"/>
          <w:sz w:val="22"/>
          <w:szCs w:val="22"/>
        </w:rPr>
        <w:t xml:space="preserve"> </w:t>
      </w:r>
      <w:r w:rsidR="005850C9" w:rsidRPr="00390D02">
        <w:rPr>
          <w:rFonts w:ascii="Myriad Pro" w:hAnsi="Myriad Pro"/>
          <w:b w:val="0"/>
          <w:bCs w:val="0"/>
          <w:sz w:val="22"/>
          <w:szCs w:val="22"/>
        </w:rPr>
        <w:t xml:space="preserve">the 2005 and  </w:t>
      </w:r>
      <w:r w:rsidRPr="00390D02">
        <w:rPr>
          <w:rFonts w:ascii="Myriad Pro" w:hAnsi="Myriad Pro"/>
          <w:b w:val="0"/>
          <w:bCs w:val="0"/>
          <w:sz w:val="22"/>
          <w:szCs w:val="22"/>
        </w:rPr>
        <w:t>2012 Cooper Basin injection</w:t>
      </w:r>
      <w:r w:rsidR="005850C9" w:rsidRPr="00390D02">
        <w:rPr>
          <w:rFonts w:ascii="Myriad Pro" w:hAnsi="Myriad Pro"/>
          <w:b w:val="0"/>
          <w:bCs w:val="0"/>
          <w:sz w:val="22"/>
          <w:szCs w:val="22"/>
        </w:rPr>
        <w:t xml:space="preserve">, </w:t>
      </w:r>
      <w:r w:rsidR="005850C9" w:rsidRPr="00390D02">
        <w:rPr>
          <w:rFonts w:ascii="Myriad Pro" w:eastAsiaTheme="minorEastAsia" w:hAnsi="Myriad Pro"/>
          <w:sz w:val="22"/>
          <w:szCs w:val="22"/>
        </w:rPr>
        <w:t xml:space="preserve">(b) </w:t>
      </w:r>
      <w:r w:rsidR="005850C9" w:rsidRPr="00390D02">
        <w:rPr>
          <w:rFonts w:ascii="Myriad Pro" w:hAnsi="Myriad Pro"/>
          <w:b w:val="0"/>
          <w:bCs w:val="0"/>
          <w:sz w:val="22"/>
          <w:szCs w:val="22"/>
        </w:rPr>
        <w:t>th</w:t>
      </w:r>
      <w:r w:rsidR="005850C9" w:rsidRPr="00390D02">
        <w:rPr>
          <w:rFonts w:ascii="Myriad Pro" w:eastAsiaTheme="minorEastAsia" w:hAnsi="Myriad Pro"/>
          <w:b w:val="0"/>
          <w:bCs w:val="0"/>
          <w:sz w:val="22"/>
          <w:szCs w:val="22"/>
        </w:rPr>
        <w:t>e Soultz-sous-Forêts 1993, 2004 and 2005 injections,</w:t>
      </w:r>
      <w:r w:rsidR="00DE56F4" w:rsidRPr="00390D02">
        <w:rPr>
          <w:rFonts w:ascii="Myriad Pro" w:eastAsiaTheme="minorEastAsia" w:hAnsi="Myriad Pro"/>
          <w:b w:val="0"/>
          <w:bCs w:val="0"/>
          <w:sz w:val="22"/>
          <w:szCs w:val="22"/>
        </w:rPr>
        <w:t xml:space="preserve"> and </w:t>
      </w:r>
      <w:r w:rsidR="00DE56F4" w:rsidRPr="00390D02">
        <w:rPr>
          <w:rFonts w:ascii="Myriad Pro" w:hAnsi="Myriad Pro"/>
          <w:sz w:val="22"/>
          <w:szCs w:val="22"/>
        </w:rPr>
        <w:t>(c)</w:t>
      </w:r>
      <w:r w:rsidR="00DE56F4" w:rsidRPr="00390D02">
        <w:rPr>
          <w:rFonts w:ascii="Myriad Pro" w:hAnsi="Myriad Pro"/>
          <w:b w:val="0"/>
          <w:bCs w:val="0"/>
          <w:sz w:val="22"/>
          <w:szCs w:val="22"/>
        </w:rPr>
        <w:t xml:space="preserve"> </w:t>
      </w:r>
      <w:r w:rsidR="005850C9" w:rsidRPr="00390D02">
        <w:rPr>
          <w:rFonts w:ascii="Myriad Pro" w:eastAsiaTheme="minorEastAsia" w:hAnsi="Myriad Pro"/>
          <w:b w:val="0"/>
          <w:bCs w:val="0"/>
          <w:sz w:val="22"/>
          <w:szCs w:val="22"/>
        </w:rPr>
        <w:t xml:space="preserve"> t</w:t>
      </w:r>
      <w:r w:rsidR="005850C9" w:rsidRPr="00390D02">
        <w:rPr>
          <w:rFonts w:ascii="Myriad Pro" w:hAnsi="Myriad Pro"/>
          <w:b w:val="0"/>
          <w:bCs w:val="0"/>
          <w:sz w:val="22"/>
          <w:szCs w:val="22"/>
        </w:rPr>
        <w:t>he Geyshers prati 9 and prati 29 injections</w:t>
      </w:r>
      <w:r w:rsidR="0003354C" w:rsidRPr="00390D02">
        <w:rPr>
          <w:rFonts w:ascii="Myriad Pro" w:hAnsi="Myriad Pro"/>
          <w:b w:val="0"/>
          <w:bCs w:val="0"/>
          <w:sz w:val="22"/>
          <w:szCs w:val="22"/>
        </w:rPr>
        <w:t>,</w:t>
      </w:r>
      <w:r w:rsidR="005850C9" w:rsidRPr="00390D02">
        <w:rPr>
          <w:rFonts w:ascii="Myriad Pro" w:hAnsi="Myriad Pro"/>
          <w:b w:val="0"/>
          <w:bCs w:val="0"/>
          <w:sz w:val="22"/>
          <w:szCs w:val="22"/>
        </w:rPr>
        <w:t xml:space="preserve"> the Carbfix and St. Gallen episodes.</w:t>
      </w:r>
    </w:p>
    <w:p w14:paraId="495006B4"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1F53BF2B" w14:textId="7EE3A2DF" w:rsidR="009932D9" w:rsidRPr="00517B41" w:rsidRDefault="00126986"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7DEC52C6" wp14:editId="22423195">
            <wp:extent cx="5486400" cy="57931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489816" cy="5796712"/>
                    </a:xfrm>
                    <a:prstGeom prst="rect">
                      <a:avLst/>
                    </a:prstGeom>
                  </pic:spPr>
                </pic:pic>
              </a:graphicData>
            </a:graphic>
          </wp:inline>
        </w:drawing>
      </w:r>
    </w:p>
    <w:p w14:paraId="5BA2C078" w14:textId="49A127FE" w:rsidR="009932D9" w:rsidRPr="00517B41" w:rsidRDefault="009932D9" w:rsidP="00511101">
      <w:pPr>
        <w:pStyle w:val="SMHeading"/>
        <w:jc w:val="both"/>
        <w:rPr>
          <w:rFonts w:ascii="Myriad Pro" w:hAnsi="Myriad Pro"/>
          <w:sz w:val="22"/>
          <w:szCs w:val="22"/>
        </w:rPr>
      </w:pPr>
      <w:bookmarkStart w:id="102" w:name="_Toc162436106"/>
      <w:r w:rsidRPr="00517B41">
        <w:rPr>
          <w:rFonts w:ascii="Myriad Pro" w:hAnsi="Myriad Pro"/>
          <w:sz w:val="22"/>
          <w:szCs w:val="22"/>
        </w:rPr>
        <w:t>Figure S</w:t>
      </w:r>
      <w:r w:rsidR="000815F3">
        <w:rPr>
          <w:rFonts w:ascii="Myriad Pro" w:hAnsi="Myriad Pro"/>
          <w:sz w:val="22"/>
          <w:szCs w:val="22"/>
        </w:rPr>
        <w:t>9</w:t>
      </w:r>
      <w:r w:rsidR="00030547">
        <w:rPr>
          <w:rFonts w:ascii="Myriad Pro" w:hAnsi="Myriad Pro"/>
          <w:sz w:val="22"/>
          <w:szCs w:val="22"/>
        </w:rPr>
        <w:t>1</w:t>
      </w:r>
      <w:r w:rsidRPr="00517B41">
        <w:rPr>
          <w:rFonts w:ascii="Myriad Pro" w:hAnsi="Myriad Pro"/>
          <w:sz w:val="22"/>
          <w:szCs w:val="22"/>
        </w:rPr>
        <w:t>.</w:t>
      </w:r>
      <w:bookmarkEnd w:id="102"/>
      <w:r w:rsidR="000815F3">
        <w:rPr>
          <w:rFonts w:ascii="Myriad Pro" w:hAnsi="Myriad Pro"/>
          <w:sz w:val="22"/>
          <w:szCs w:val="22"/>
        </w:rPr>
        <w:t xml:space="preserve"> </w:t>
      </w:r>
      <w:r w:rsidRPr="00517B41">
        <w:rPr>
          <w:rFonts w:ascii="Myriad Pro" w:hAnsi="Myriad Pro"/>
          <w:sz w:val="22"/>
          <w:szCs w:val="22"/>
        </w:rPr>
        <w:t xml:space="preserve">b-value variations calculated for 60–earthquake non-overlapping moving windows </w:t>
      </w:r>
      <w:r w:rsidRPr="000815F3">
        <w:rPr>
          <w:rFonts w:ascii="Myriad Pro" w:hAnsi="Myriad Pro"/>
          <w:b w:val="0"/>
          <w:bCs w:val="0"/>
          <w:sz w:val="22"/>
          <w:szCs w:val="22"/>
        </w:rPr>
        <w:t xml:space="preserve">for the examined subcatalogs of </w:t>
      </w:r>
      <w:r w:rsidRPr="000815F3">
        <w:rPr>
          <w:rFonts w:ascii="Myriad Pro" w:hAnsi="Myriad Pro"/>
          <w:sz w:val="22"/>
          <w:szCs w:val="22"/>
        </w:rPr>
        <w:t>(a)</w:t>
      </w:r>
      <w:r w:rsidRPr="000815F3">
        <w:rPr>
          <w:rFonts w:ascii="Myriad Pro" w:hAnsi="Myriad Pro"/>
          <w:b w:val="0"/>
          <w:bCs w:val="0"/>
          <w:sz w:val="22"/>
          <w:szCs w:val="22"/>
        </w:rPr>
        <w:t xml:space="preserve"> th</w:t>
      </w:r>
      <w:r w:rsidRPr="000815F3">
        <w:rPr>
          <w:rFonts w:ascii="Myriad Pro" w:eastAsiaTheme="minorEastAsia" w:hAnsi="Myriad Pro"/>
          <w:b w:val="0"/>
          <w:bCs w:val="0"/>
          <w:sz w:val="22"/>
          <w:szCs w:val="22"/>
        </w:rPr>
        <w:t xml:space="preserve">e Groningen field, </w:t>
      </w:r>
      <w:r w:rsidRPr="000815F3">
        <w:rPr>
          <w:rFonts w:ascii="Myriad Pro" w:eastAsiaTheme="minorEastAsia" w:hAnsi="Myriad Pro"/>
          <w:sz w:val="22"/>
          <w:szCs w:val="22"/>
        </w:rPr>
        <w:t>(b)</w:t>
      </w:r>
      <w:r w:rsidRPr="000815F3">
        <w:rPr>
          <w:rFonts w:ascii="Myriad Pro" w:eastAsiaTheme="minorEastAsia" w:hAnsi="Myriad Pro"/>
          <w:b w:val="0"/>
          <w:bCs w:val="0"/>
          <w:sz w:val="22"/>
          <w:szCs w:val="22"/>
        </w:rPr>
        <w:t xml:space="preserve"> t</w:t>
      </w:r>
      <w:r w:rsidRPr="000815F3">
        <w:rPr>
          <w:rFonts w:ascii="Myriad Pro" w:hAnsi="Myriad Pro"/>
          <w:b w:val="0"/>
          <w:bCs w:val="0"/>
          <w:sz w:val="22"/>
          <w:szCs w:val="22"/>
        </w:rPr>
        <w:t xml:space="preserve">he LACQ field, and </w:t>
      </w:r>
      <w:r w:rsidRPr="000815F3">
        <w:rPr>
          <w:rFonts w:ascii="Myriad Pro" w:hAnsi="Myriad Pro"/>
          <w:sz w:val="22"/>
          <w:szCs w:val="22"/>
        </w:rPr>
        <w:t>(c)</w:t>
      </w:r>
      <w:r w:rsidRPr="000815F3">
        <w:rPr>
          <w:rFonts w:ascii="Myriad Pro" w:hAnsi="Myriad Pro"/>
          <w:b w:val="0"/>
          <w:bCs w:val="0"/>
          <w:sz w:val="22"/>
          <w:szCs w:val="22"/>
        </w:rPr>
        <w:t xml:space="preserve"> the Cotton Valley episode, </w:t>
      </w:r>
      <w:r w:rsidRPr="000815F3">
        <w:rPr>
          <w:rFonts w:ascii="Myriad Pro" w:hAnsi="Myriad Pro"/>
          <w:sz w:val="22"/>
          <w:szCs w:val="22"/>
        </w:rPr>
        <w:t>(d)</w:t>
      </w:r>
      <w:r w:rsidRPr="000815F3">
        <w:rPr>
          <w:rFonts w:ascii="Myriad Pro" w:hAnsi="Myriad Pro"/>
          <w:b w:val="0"/>
          <w:bCs w:val="0"/>
          <w:sz w:val="22"/>
          <w:szCs w:val="22"/>
        </w:rPr>
        <w:t xml:space="preserve"> the Gazli field, and </w:t>
      </w:r>
      <w:r w:rsidRPr="000815F3">
        <w:rPr>
          <w:rFonts w:ascii="Myriad Pro" w:hAnsi="Myriad Pro"/>
          <w:sz w:val="22"/>
          <w:szCs w:val="22"/>
        </w:rPr>
        <w:t>(e)</w:t>
      </w:r>
      <w:r w:rsidRPr="000815F3">
        <w:rPr>
          <w:rFonts w:ascii="Myriad Pro" w:hAnsi="Myriad Pro"/>
          <w:b w:val="0"/>
          <w:bCs w:val="0"/>
          <w:sz w:val="22"/>
          <w:szCs w:val="22"/>
        </w:rPr>
        <w:t xml:space="preserve"> the Starfish episode.</w:t>
      </w:r>
    </w:p>
    <w:p w14:paraId="0DBEA924"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666B92FB" w14:textId="7C7C3D45" w:rsidR="009932D9" w:rsidRPr="00517B41" w:rsidRDefault="00126986" w:rsidP="009932D9">
      <w:pPr>
        <w:jc w:val="center"/>
        <w:rPr>
          <w:rFonts w:ascii="Myriad Pro" w:hAnsi="Myriad Pro"/>
          <w:sz w:val="22"/>
          <w:szCs w:val="22"/>
        </w:rPr>
      </w:pPr>
      <w:r>
        <w:rPr>
          <w:rFonts w:ascii="Myriad Pro" w:hAnsi="Myriad Pro"/>
          <w:noProof/>
          <w:sz w:val="22"/>
          <w:szCs w:val="22"/>
          <w:lang w:val="en-IN" w:eastAsia="en-IN"/>
        </w:rPr>
        <w:lastRenderedPageBreak/>
        <w:drawing>
          <wp:inline distT="0" distB="0" distL="0" distR="0" wp14:anchorId="45477DF2" wp14:editId="3385964E">
            <wp:extent cx="4544704" cy="4057096"/>
            <wp:effectExtent l="0" t="0" r="825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4553867" cy="4065276"/>
                    </a:xfrm>
                    <a:prstGeom prst="rect">
                      <a:avLst/>
                    </a:prstGeom>
                  </pic:spPr>
                </pic:pic>
              </a:graphicData>
            </a:graphic>
          </wp:inline>
        </w:drawing>
      </w:r>
    </w:p>
    <w:p w14:paraId="23A9395E" w14:textId="46882A78" w:rsidR="009932D9" w:rsidRPr="00517B41" w:rsidRDefault="009932D9" w:rsidP="00511101">
      <w:pPr>
        <w:pStyle w:val="SMHeading"/>
        <w:jc w:val="both"/>
        <w:rPr>
          <w:rFonts w:ascii="Myriad Pro" w:hAnsi="Myriad Pro"/>
          <w:sz w:val="22"/>
          <w:szCs w:val="22"/>
        </w:rPr>
      </w:pPr>
      <w:bookmarkStart w:id="103" w:name="_Toc162436107"/>
      <w:r w:rsidRPr="00517B41">
        <w:rPr>
          <w:rFonts w:ascii="Myriad Pro" w:hAnsi="Myriad Pro"/>
          <w:sz w:val="22"/>
          <w:szCs w:val="22"/>
        </w:rPr>
        <w:t>Figure S</w:t>
      </w:r>
      <w:bookmarkEnd w:id="103"/>
      <w:r w:rsidR="00511101">
        <w:rPr>
          <w:rFonts w:ascii="Myriad Pro" w:hAnsi="Myriad Pro"/>
          <w:sz w:val="22"/>
          <w:szCs w:val="22"/>
        </w:rPr>
        <w:t>9</w:t>
      </w:r>
      <w:r w:rsidR="00030547">
        <w:rPr>
          <w:rFonts w:ascii="Myriad Pro" w:hAnsi="Myriad Pro"/>
          <w:sz w:val="22"/>
          <w:szCs w:val="22"/>
        </w:rPr>
        <w:t>2</w:t>
      </w:r>
      <w:r w:rsidRPr="00517B41">
        <w:rPr>
          <w:rFonts w:ascii="Myriad Pro" w:hAnsi="Myriad Pro"/>
          <w:sz w:val="22"/>
          <w:szCs w:val="22"/>
        </w:rPr>
        <w:t xml:space="preserve"> b-value variations calculated for 60–earthquake non-overlapping moving windows</w:t>
      </w:r>
      <w:r w:rsidRPr="00511101">
        <w:rPr>
          <w:rFonts w:ascii="Myriad Pro" w:hAnsi="Myriad Pro"/>
          <w:b w:val="0"/>
          <w:bCs w:val="0"/>
          <w:sz w:val="22"/>
          <w:szCs w:val="22"/>
        </w:rPr>
        <w:t xml:space="preserve"> for the examined subcatalogs of </w:t>
      </w:r>
      <w:r w:rsidRPr="00511101">
        <w:rPr>
          <w:rFonts w:ascii="Myriad Pro" w:hAnsi="Myriad Pro"/>
          <w:sz w:val="22"/>
          <w:szCs w:val="22"/>
        </w:rPr>
        <w:t>(a)</w:t>
      </w:r>
      <w:r w:rsidRPr="00511101">
        <w:rPr>
          <w:rFonts w:ascii="Myriad Pro" w:hAnsi="Myriad Pro"/>
          <w:b w:val="0"/>
          <w:bCs w:val="0"/>
          <w:sz w:val="22"/>
          <w:szCs w:val="22"/>
        </w:rPr>
        <w:t xml:space="preserve"> th</w:t>
      </w:r>
      <w:r w:rsidRPr="00511101">
        <w:rPr>
          <w:rFonts w:ascii="Myriad Pro" w:eastAsiaTheme="minorEastAsia" w:hAnsi="Myriad Pro"/>
          <w:b w:val="0"/>
          <w:bCs w:val="0"/>
          <w:sz w:val="22"/>
          <w:szCs w:val="22"/>
        </w:rPr>
        <w:t xml:space="preserve">e GISOS–CERVILLE mine, </w:t>
      </w:r>
      <w:r w:rsidRPr="00511101">
        <w:rPr>
          <w:rFonts w:ascii="Myriad Pro" w:eastAsiaTheme="minorEastAsia" w:hAnsi="Myriad Pro"/>
          <w:sz w:val="22"/>
          <w:szCs w:val="22"/>
        </w:rPr>
        <w:t>(b)</w:t>
      </w:r>
      <w:r w:rsidRPr="00511101">
        <w:rPr>
          <w:rFonts w:ascii="Myriad Pro" w:eastAsiaTheme="minorEastAsia" w:hAnsi="Myriad Pro"/>
          <w:b w:val="0"/>
          <w:bCs w:val="0"/>
          <w:sz w:val="22"/>
          <w:szCs w:val="22"/>
        </w:rPr>
        <w:t xml:space="preserve"> t</w:t>
      </w:r>
      <w:r w:rsidRPr="00511101">
        <w:rPr>
          <w:rFonts w:ascii="Myriad Pro" w:hAnsi="Myriad Pro"/>
          <w:b w:val="0"/>
          <w:bCs w:val="0"/>
          <w:sz w:val="22"/>
          <w:szCs w:val="22"/>
        </w:rPr>
        <w:t xml:space="preserve">he Pyhasalmi mine, and </w:t>
      </w:r>
      <w:r w:rsidRPr="00511101">
        <w:rPr>
          <w:rFonts w:ascii="Myriad Pro" w:hAnsi="Myriad Pro"/>
          <w:sz w:val="22"/>
          <w:szCs w:val="22"/>
        </w:rPr>
        <w:t>(c)</w:t>
      </w:r>
      <w:r w:rsidRPr="00511101">
        <w:rPr>
          <w:rFonts w:ascii="Myriad Pro" w:hAnsi="Myriad Pro"/>
          <w:b w:val="0"/>
          <w:bCs w:val="0"/>
          <w:sz w:val="22"/>
          <w:szCs w:val="22"/>
        </w:rPr>
        <w:t xml:space="preserve"> the LGCD mine, clusters 1–6, and </w:t>
      </w:r>
      <w:r w:rsidRPr="00511101">
        <w:rPr>
          <w:rFonts w:ascii="Myriad Pro" w:hAnsi="Myriad Pro"/>
          <w:sz w:val="22"/>
          <w:szCs w:val="22"/>
        </w:rPr>
        <w:t>(d)</w:t>
      </w:r>
      <w:r w:rsidRPr="00511101">
        <w:rPr>
          <w:rFonts w:ascii="Myriad Pro" w:hAnsi="Myriad Pro"/>
          <w:b w:val="0"/>
          <w:bCs w:val="0"/>
          <w:sz w:val="22"/>
          <w:szCs w:val="22"/>
        </w:rPr>
        <w:t xml:space="preserve"> the LGCD mine, clusters 7–10.</w:t>
      </w:r>
    </w:p>
    <w:p w14:paraId="2E0A8D29" w14:textId="2B30E986" w:rsidR="009932D9" w:rsidRPr="00517B41" w:rsidRDefault="009932D9" w:rsidP="009932D9">
      <w:pPr>
        <w:rPr>
          <w:rFonts w:ascii="Myriad Pro" w:hAnsi="Myriad Pro"/>
          <w:sz w:val="22"/>
          <w:szCs w:val="22"/>
        </w:rPr>
      </w:pPr>
    </w:p>
    <w:p w14:paraId="65D638B5" w14:textId="241C0195" w:rsidR="009932D9" w:rsidRPr="00517B41" w:rsidRDefault="00696BDF" w:rsidP="009932D9">
      <w:pPr>
        <w:jc w:val="center"/>
        <w:rPr>
          <w:rFonts w:ascii="Myriad Pro" w:hAnsi="Myriad Pro"/>
          <w:sz w:val="22"/>
          <w:szCs w:val="22"/>
        </w:rPr>
      </w:pPr>
      <w:r>
        <w:rPr>
          <w:rFonts w:ascii="Myriad Pro" w:hAnsi="Myriad Pro"/>
          <w:noProof/>
          <w:sz w:val="22"/>
          <w:szCs w:val="22"/>
          <w:lang w:val="en-IN" w:eastAsia="en-IN"/>
        </w:rPr>
        <w:drawing>
          <wp:inline distT="0" distB="0" distL="0" distR="0" wp14:anchorId="617589C4" wp14:editId="4AF90D5D">
            <wp:extent cx="4360488" cy="2108579"/>
            <wp:effectExtent l="0" t="0" r="254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4401400" cy="2128363"/>
                    </a:xfrm>
                    <a:prstGeom prst="rect">
                      <a:avLst/>
                    </a:prstGeom>
                  </pic:spPr>
                </pic:pic>
              </a:graphicData>
            </a:graphic>
          </wp:inline>
        </w:drawing>
      </w:r>
    </w:p>
    <w:p w14:paraId="19BB44E9" w14:textId="70D20659" w:rsidR="009932D9" w:rsidRPr="00511101" w:rsidRDefault="009932D9" w:rsidP="00511101">
      <w:pPr>
        <w:pStyle w:val="SMHeading"/>
        <w:jc w:val="both"/>
        <w:rPr>
          <w:rFonts w:ascii="Myriad Pro" w:hAnsi="Myriad Pro"/>
          <w:b w:val="0"/>
          <w:bCs w:val="0"/>
          <w:sz w:val="22"/>
          <w:szCs w:val="22"/>
        </w:rPr>
      </w:pPr>
      <w:bookmarkStart w:id="104" w:name="_Toc162436108"/>
      <w:r w:rsidRPr="00517B41">
        <w:rPr>
          <w:rFonts w:ascii="Myriad Pro" w:hAnsi="Myriad Pro"/>
          <w:sz w:val="22"/>
          <w:szCs w:val="22"/>
        </w:rPr>
        <w:t>Figure S</w:t>
      </w:r>
      <w:r w:rsidR="0066226A">
        <w:rPr>
          <w:rFonts w:ascii="Myriad Pro" w:hAnsi="Myriad Pro"/>
          <w:sz w:val="22"/>
          <w:szCs w:val="22"/>
        </w:rPr>
        <w:t>9</w:t>
      </w:r>
      <w:r w:rsidR="00030547">
        <w:rPr>
          <w:rFonts w:ascii="Myriad Pro" w:hAnsi="Myriad Pro"/>
          <w:sz w:val="22"/>
          <w:szCs w:val="22"/>
        </w:rPr>
        <w:t>3</w:t>
      </w:r>
      <w:r w:rsidRPr="00517B41">
        <w:rPr>
          <w:rFonts w:ascii="Myriad Pro" w:hAnsi="Myriad Pro"/>
          <w:sz w:val="22"/>
          <w:szCs w:val="22"/>
        </w:rPr>
        <w:t>.</w:t>
      </w:r>
      <w:bookmarkEnd w:id="104"/>
      <w:r w:rsidR="00511101">
        <w:rPr>
          <w:rFonts w:ascii="Myriad Pro" w:hAnsi="Myriad Pro"/>
          <w:sz w:val="22"/>
          <w:szCs w:val="22"/>
        </w:rPr>
        <w:t xml:space="preserve"> </w:t>
      </w:r>
      <w:r w:rsidRPr="00517B41">
        <w:rPr>
          <w:rFonts w:ascii="Myriad Pro" w:hAnsi="Myriad Pro"/>
          <w:sz w:val="22"/>
          <w:szCs w:val="22"/>
        </w:rPr>
        <w:t xml:space="preserve">b-value variations calculated for 60–earthquake non-overlapping moving windows </w:t>
      </w:r>
      <w:r w:rsidRPr="00511101">
        <w:rPr>
          <w:rFonts w:ascii="Myriad Pro" w:hAnsi="Myriad Pro"/>
          <w:b w:val="0"/>
          <w:bCs w:val="0"/>
          <w:sz w:val="22"/>
          <w:szCs w:val="22"/>
        </w:rPr>
        <w:t>for the examined subcatalogs related to the examined Reservoir Impoundment episodes</w:t>
      </w:r>
    </w:p>
    <w:p w14:paraId="404F62FB"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409503D6" w14:textId="77777777" w:rsidR="009932D9" w:rsidRPr="00517B41" w:rsidRDefault="009932D9" w:rsidP="009932D9">
      <w:pPr>
        <w:jc w:val="center"/>
        <w:rPr>
          <w:rFonts w:ascii="Myriad Pro" w:hAnsi="Myriad Pro"/>
          <w:sz w:val="22"/>
          <w:szCs w:val="22"/>
        </w:rPr>
      </w:pPr>
      <w:r w:rsidRPr="00517B41">
        <w:rPr>
          <w:rFonts w:ascii="Myriad Pro" w:hAnsi="Myriad Pro"/>
          <w:noProof/>
          <w:sz w:val="22"/>
          <w:szCs w:val="22"/>
          <w:lang w:val="en-IN" w:eastAsia="en-IN"/>
        </w:rPr>
        <w:lastRenderedPageBreak/>
        <w:drawing>
          <wp:inline distT="0" distB="0" distL="0" distR="0" wp14:anchorId="282D9DAB" wp14:editId="79067D43">
            <wp:extent cx="4784830" cy="4442256"/>
            <wp:effectExtent l="0" t="0" r="0" b="0"/>
            <wp:docPr id="622849543" name="Picture 622849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792421" cy="4449304"/>
                    </a:xfrm>
                    <a:prstGeom prst="rect">
                      <a:avLst/>
                    </a:prstGeom>
                  </pic:spPr>
                </pic:pic>
              </a:graphicData>
            </a:graphic>
          </wp:inline>
        </w:drawing>
      </w:r>
    </w:p>
    <w:p w14:paraId="19818BD5" w14:textId="7B6668DA" w:rsidR="009932D9" w:rsidRPr="0066226A" w:rsidRDefault="009932D9" w:rsidP="0066226A">
      <w:pPr>
        <w:pStyle w:val="SMHeading"/>
        <w:jc w:val="both"/>
        <w:rPr>
          <w:rFonts w:ascii="Myriad Pro" w:hAnsi="Myriad Pro"/>
          <w:b w:val="0"/>
          <w:bCs w:val="0"/>
          <w:sz w:val="22"/>
          <w:szCs w:val="22"/>
        </w:rPr>
      </w:pPr>
      <w:bookmarkStart w:id="105" w:name="_Toc162436109"/>
      <w:r w:rsidRPr="00517B41">
        <w:rPr>
          <w:rFonts w:ascii="Myriad Pro" w:hAnsi="Myriad Pro"/>
          <w:sz w:val="22"/>
          <w:szCs w:val="22"/>
        </w:rPr>
        <w:t>Figure S</w:t>
      </w:r>
      <w:r w:rsidR="0066226A">
        <w:rPr>
          <w:rFonts w:ascii="Myriad Pro" w:hAnsi="Myriad Pro"/>
          <w:sz w:val="22"/>
          <w:szCs w:val="22"/>
        </w:rPr>
        <w:t>9</w:t>
      </w:r>
      <w:r w:rsidR="00083BBB">
        <w:rPr>
          <w:rFonts w:ascii="Myriad Pro" w:hAnsi="Myriad Pro"/>
          <w:sz w:val="22"/>
          <w:szCs w:val="22"/>
        </w:rPr>
        <w:t>4</w:t>
      </w:r>
      <w:r w:rsidRPr="00517B41">
        <w:rPr>
          <w:rFonts w:ascii="Myriad Pro" w:hAnsi="Myriad Pro"/>
          <w:sz w:val="22"/>
          <w:szCs w:val="22"/>
        </w:rPr>
        <w:t>.</w:t>
      </w:r>
      <w:bookmarkEnd w:id="105"/>
      <w:r w:rsidRPr="00517B41">
        <w:rPr>
          <w:rFonts w:ascii="Myriad Pro" w:hAnsi="Myriad Pro"/>
          <w:sz w:val="22"/>
          <w:szCs w:val="22"/>
        </w:rPr>
        <w:t xml:space="preserve"> </w:t>
      </w:r>
      <w:r w:rsidRPr="0066226A">
        <w:rPr>
          <w:rFonts w:ascii="Myriad Pro" w:hAnsi="Myriad Pro"/>
          <w:b w:val="0"/>
          <w:bCs w:val="0"/>
          <w:sz w:val="22"/>
          <w:szCs w:val="22"/>
        </w:rPr>
        <w:t>PDFs of two exponential distributions with b=0.7 (blue line) and b=1.1 (orange line).</w:t>
      </w:r>
    </w:p>
    <w:p w14:paraId="19DE1D08" w14:textId="77777777" w:rsidR="009932D9" w:rsidRPr="00517B41" w:rsidRDefault="009932D9" w:rsidP="009932D9">
      <w:pPr>
        <w:pStyle w:val="SMcaption"/>
        <w:jc w:val="both"/>
        <w:rPr>
          <w:rFonts w:ascii="Myriad Pro" w:hAnsi="Myriad Pro"/>
          <w:sz w:val="22"/>
          <w:szCs w:val="22"/>
        </w:rPr>
      </w:pPr>
    </w:p>
    <w:p w14:paraId="790C8DA6" w14:textId="77777777" w:rsidR="009932D9" w:rsidRPr="00517B41" w:rsidRDefault="009932D9" w:rsidP="009932D9">
      <w:pPr>
        <w:rPr>
          <w:rFonts w:ascii="Myriad Pro" w:hAnsi="Myriad Pro"/>
          <w:sz w:val="22"/>
          <w:szCs w:val="22"/>
        </w:rPr>
      </w:pPr>
      <w:r w:rsidRPr="00517B41">
        <w:rPr>
          <w:rFonts w:ascii="Myriad Pro" w:hAnsi="Myriad Pro"/>
          <w:sz w:val="22"/>
          <w:szCs w:val="22"/>
        </w:rPr>
        <w:br w:type="page"/>
      </w:r>
    </w:p>
    <w:p w14:paraId="71A32006" w14:textId="77777777" w:rsidR="009932D9" w:rsidRPr="00517B41" w:rsidRDefault="009932D9" w:rsidP="009932D9">
      <w:pPr>
        <w:jc w:val="center"/>
        <w:rPr>
          <w:rFonts w:ascii="Myriad Pro" w:hAnsi="Myriad Pro"/>
          <w:sz w:val="22"/>
          <w:szCs w:val="22"/>
          <w:u w:val="single"/>
        </w:rPr>
      </w:pPr>
      <w:r w:rsidRPr="00517B41">
        <w:rPr>
          <w:rFonts w:ascii="Myriad Pro" w:hAnsi="Myriad Pro"/>
          <w:noProof/>
          <w:sz w:val="22"/>
          <w:szCs w:val="22"/>
          <w:lang w:val="en-IN" w:eastAsia="en-IN"/>
        </w:rPr>
        <w:lastRenderedPageBreak/>
        <w:drawing>
          <wp:inline distT="0" distB="0" distL="0" distR="0" wp14:anchorId="090072DF" wp14:editId="71438E7B">
            <wp:extent cx="4757534" cy="4416915"/>
            <wp:effectExtent l="0" t="0" r="5080" b="3175"/>
            <wp:docPr id="622849544" name="Picture 622849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4765738" cy="4424532"/>
                    </a:xfrm>
                    <a:prstGeom prst="rect">
                      <a:avLst/>
                    </a:prstGeom>
                  </pic:spPr>
                </pic:pic>
              </a:graphicData>
            </a:graphic>
          </wp:inline>
        </w:drawing>
      </w:r>
    </w:p>
    <w:p w14:paraId="13EF406F" w14:textId="57256EBC" w:rsidR="009932D9" w:rsidRPr="0066226A" w:rsidRDefault="009932D9" w:rsidP="0066226A">
      <w:pPr>
        <w:pStyle w:val="SMHeading"/>
        <w:rPr>
          <w:rFonts w:ascii="Myriad Pro" w:hAnsi="Myriad Pro"/>
          <w:sz w:val="22"/>
          <w:szCs w:val="22"/>
        </w:rPr>
      </w:pPr>
      <w:bookmarkStart w:id="106" w:name="_Toc162436110"/>
      <w:r w:rsidRPr="00517B41">
        <w:rPr>
          <w:rFonts w:ascii="Myriad Pro" w:hAnsi="Myriad Pro"/>
          <w:sz w:val="22"/>
          <w:szCs w:val="22"/>
        </w:rPr>
        <w:t>Figure S</w:t>
      </w:r>
      <w:r w:rsidR="0066226A">
        <w:rPr>
          <w:rFonts w:ascii="Myriad Pro" w:hAnsi="Myriad Pro"/>
          <w:sz w:val="22"/>
          <w:szCs w:val="22"/>
        </w:rPr>
        <w:t>9</w:t>
      </w:r>
      <w:r w:rsidR="00083BBB">
        <w:rPr>
          <w:rFonts w:ascii="Myriad Pro" w:hAnsi="Myriad Pro"/>
          <w:sz w:val="22"/>
          <w:szCs w:val="22"/>
        </w:rPr>
        <w:t>5</w:t>
      </w:r>
      <w:r w:rsidRPr="00517B41">
        <w:rPr>
          <w:rFonts w:ascii="Myriad Pro" w:hAnsi="Myriad Pro"/>
          <w:sz w:val="22"/>
          <w:szCs w:val="22"/>
        </w:rPr>
        <w:t>.</w:t>
      </w:r>
      <w:bookmarkEnd w:id="106"/>
      <w:r w:rsidRPr="00517B41">
        <w:rPr>
          <w:rFonts w:ascii="Myriad Pro" w:hAnsi="Myriad Pro"/>
          <w:sz w:val="22"/>
          <w:szCs w:val="22"/>
        </w:rPr>
        <w:t xml:space="preserve"> </w:t>
      </w:r>
      <w:r w:rsidRPr="0066226A">
        <w:rPr>
          <w:rFonts w:ascii="Myriad Pro" w:hAnsi="Myriad Pro"/>
          <w:b w:val="0"/>
          <w:bCs w:val="0"/>
          <w:sz w:val="22"/>
          <w:szCs w:val="22"/>
        </w:rPr>
        <w:t>PDF of a combination of exponential distribution with b=0.1 and a gaussian function with a sigma of 0.3).</w:t>
      </w:r>
    </w:p>
    <w:p w14:paraId="18B164EE" w14:textId="464B5E6E" w:rsidR="00517B41" w:rsidRDefault="00517B41">
      <w:pPr>
        <w:rPr>
          <w:rFonts w:ascii="Myriad Pro" w:hAnsi="Myriad Pro"/>
          <w:sz w:val="22"/>
          <w:szCs w:val="22"/>
        </w:rPr>
      </w:pPr>
      <w:r>
        <w:rPr>
          <w:rFonts w:ascii="Myriad Pro" w:hAnsi="Myriad Pro"/>
          <w:sz w:val="22"/>
          <w:szCs w:val="22"/>
        </w:rPr>
        <w:br w:type="page"/>
      </w:r>
    </w:p>
    <w:p w14:paraId="45F20CC3" w14:textId="6AF60E90" w:rsidR="00517B41" w:rsidRPr="003D03A9" w:rsidRDefault="00517B41" w:rsidP="003D03A9">
      <w:pPr>
        <w:pStyle w:val="SMHeading"/>
        <w:rPr>
          <w:rFonts w:ascii="Myriad Pro" w:hAnsi="Myriad Pro"/>
          <w:sz w:val="22"/>
          <w:szCs w:val="22"/>
        </w:rPr>
      </w:pPr>
      <w:bookmarkStart w:id="107" w:name="_Toc162436113"/>
      <w:r w:rsidRPr="003D03A9">
        <w:rPr>
          <w:rFonts w:ascii="Myriad Pro" w:hAnsi="Myriad Pro"/>
          <w:sz w:val="22"/>
          <w:szCs w:val="22"/>
        </w:rPr>
        <w:lastRenderedPageBreak/>
        <w:t>Table S</w:t>
      </w:r>
      <w:bookmarkEnd w:id="107"/>
      <w:r w:rsidR="007F7A3C">
        <w:rPr>
          <w:rFonts w:ascii="Myriad Pro" w:hAnsi="Myriad Pro"/>
          <w:sz w:val="22"/>
          <w:szCs w:val="22"/>
        </w:rPr>
        <w:t>1</w:t>
      </w:r>
      <w:r w:rsidR="003D03A9">
        <w:rPr>
          <w:rFonts w:ascii="Myriad Pro" w:hAnsi="Myriad Pro"/>
          <w:sz w:val="22"/>
          <w:szCs w:val="22"/>
        </w:rPr>
        <w:t xml:space="preserve"> </w:t>
      </w:r>
      <w:r w:rsidRPr="003D03A9">
        <w:rPr>
          <w:rFonts w:ascii="Myriad Pro" w:hAnsi="Myriad Pro"/>
          <w:b w:val="0"/>
          <w:bCs w:val="0"/>
          <w:sz w:val="22"/>
          <w:szCs w:val="22"/>
        </w:rPr>
        <w:t>Information available on the Soultz-sous-Forêts 2004 episode.</w:t>
      </w:r>
    </w:p>
    <w:tbl>
      <w:tblPr>
        <w:tblStyle w:val="TableGrid"/>
        <w:tblW w:w="7010" w:type="dxa"/>
        <w:jc w:val="center"/>
        <w:tblLook w:val="04A0" w:firstRow="1" w:lastRow="0" w:firstColumn="1" w:lastColumn="0" w:noHBand="0" w:noVBand="1"/>
      </w:tblPr>
      <w:tblGrid>
        <w:gridCol w:w="2515"/>
        <w:gridCol w:w="4495"/>
      </w:tblGrid>
      <w:tr w:rsidR="00517B41" w:rsidRPr="003D03A9" w14:paraId="50E16BF4" w14:textId="77777777" w:rsidTr="0003242E">
        <w:trPr>
          <w:jc w:val="center"/>
        </w:trPr>
        <w:tc>
          <w:tcPr>
            <w:tcW w:w="2515" w:type="dxa"/>
          </w:tcPr>
          <w:p w14:paraId="71E07293"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4495" w:type="dxa"/>
          </w:tcPr>
          <w:p w14:paraId="4A985428"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Geothermal energy production</w:t>
            </w:r>
          </w:p>
        </w:tc>
      </w:tr>
      <w:tr w:rsidR="00517B41" w:rsidRPr="003D03A9" w14:paraId="3F0C6BB5" w14:textId="77777777" w:rsidTr="0003242E">
        <w:trPr>
          <w:jc w:val="center"/>
        </w:trPr>
        <w:tc>
          <w:tcPr>
            <w:tcW w:w="2515" w:type="dxa"/>
          </w:tcPr>
          <w:p w14:paraId="72F75F48"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4495" w:type="dxa"/>
          </w:tcPr>
          <w:p w14:paraId="170F3FB9"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5861</w:t>
            </w:r>
          </w:p>
        </w:tc>
      </w:tr>
      <w:tr w:rsidR="00517B41" w:rsidRPr="003D03A9" w14:paraId="6265ADDA" w14:textId="77777777" w:rsidTr="0003242E">
        <w:trPr>
          <w:jc w:val="center"/>
        </w:trPr>
        <w:tc>
          <w:tcPr>
            <w:tcW w:w="2515" w:type="dxa"/>
          </w:tcPr>
          <w:p w14:paraId="5A8CCDE0"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4495" w:type="dxa"/>
          </w:tcPr>
          <w:p w14:paraId="66C30362" w14:textId="77777777" w:rsidR="00517B41" w:rsidRPr="003D03A9" w:rsidRDefault="00517B41" w:rsidP="0003242E">
            <w:pPr>
              <w:pStyle w:val="NormalWeb"/>
              <w:jc w:val="both"/>
              <w:rPr>
                <w:rFonts w:ascii="Myriad Pro" w:hAnsi="Myriad Pro"/>
                <w:sz w:val="22"/>
                <w:szCs w:val="22"/>
              </w:rPr>
            </w:pPr>
            <w:r w:rsidRPr="003D03A9">
              <w:rPr>
                <w:rFonts w:ascii="Myriad Pro" w:eastAsia="Calibri" w:hAnsi="Myriad Pro"/>
                <w:color w:val="000000" w:themeColor="text1"/>
                <w:kern w:val="24"/>
                <w:sz w:val="22"/>
                <w:szCs w:val="22"/>
              </w:rPr>
              <w:t>08/09/2004 – 24/09/2004</w:t>
            </w:r>
          </w:p>
        </w:tc>
      </w:tr>
      <w:tr w:rsidR="00517B41" w:rsidRPr="003D03A9" w14:paraId="7F00BA19" w14:textId="77777777" w:rsidTr="0003242E">
        <w:trPr>
          <w:jc w:val="center"/>
        </w:trPr>
        <w:tc>
          <w:tcPr>
            <w:tcW w:w="2515" w:type="dxa"/>
          </w:tcPr>
          <w:p w14:paraId="71CB6992"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Pr="003D03A9">
              <w:rPr>
                <w:rFonts w:ascii="Myriad Pro" w:hAnsi="Myriad Pro" w:cs="Times New Roman"/>
                <w:b/>
                <w:sz w:val="22"/>
                <w:vertAlign w:val="subscript"/>
              </w:rPr>
              <w:t>L</w:t>
            </w:r>
            <w:r w:rsidRPr="003D03A9">
              <w:rPr>
                <w:rFonts w:ascii="Myriad Pro" w:hAnsi="Myriad Pro" w:cs="Times New Roman"/>
                <w:b/>
                <w:sz w:val="22"/>
              </w:rPr>
              <w:t xml:space="preserve"> </w:t>
            </w:r>
          </w:p>
        </w:tc>
        <w:tc>
          <w:tcPr>
            <w:tcW w:w="4495" w:type="dxa"/>
          </w:tcPr>
          <w:p w14:paraId="239DFD07" w14:textId="77777777" w:rsidR="00517B41" w:rsidRPr="003D03A9" w:rsidRDefault="00517B41" w:rsidP="0003242E">
            <w:pPr>
              <w:pStyle w:val="NormalWeb"/>
              <w:jc w:val="both"/>
              <w:rPr>
                <w:rFonts w:ascii="Myriad Pro" w:hAnsi="Myriad Pro"/>
                <w:sz w:val="22"/>
                <w:szCs w:val="22"/>
              </w:rPr>
            </w:pPr>
            <w:r w:rsidRPr="003D03A9">
              <w:rPr>
                <w:rFonts w:ascii="Myriad Pro" w:eastAsia="Calibri" w:hAnsi="Myriad Pro"/>
                <w:color w:val="000000" w:themeColor="text1"/>
                <w:kern w:val="24"/>
                <w:sz w:val="22"/>
                <w:szCs w:val="22"/>
              </w:rPr>
              <w:t xml:space="preserve">-2.3 – 2.3 (0.1 precision) </w:t>
            </w:r>
          </w:p>
        </w:tc>
      </w:tr>
      <w:tr w:rsidR="00517B41" w:rsidRPr="003D03A9" w14:paraId="50589EAB" w14:textId="77777777" w:rsidTr="0003242E">
        <w:trPr>
          <w:jc w:val="center"/>
        </w:trPr>
        <w:tc>
          <w:tcPr>
            <w:tcW w:w="2515" w:type="dxa"/>
          </w:tcPr>
          <w:p w14:paraId="59F05900"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4495" w:type="dxa"/>
          </w:tcPr>
          <w:p w14:paraId="74934205"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Stable for the whole period</w:t>
            </w:r>
          </w:p>
        </w:tc>
      </w:tr>
      <w:tr w:rsidR="00517B41" w:rsidRPr="003D03A9" w14:paraId="701A3F9E" w14:textId="77777777" w:rsidTr="0003242E">
        <w:trPr>
          <w:jc w:val="center"/>
        </w:trPr>
        <w:tc>
          <w:tcPr>
            <w:tcW w:w="2515" w:type="dxa"/>
          </w:tcPr>
          <w:p w14:paraId="72CBF2D7"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4495" w:type="dxa"/>
          </w:tcPr>
          <w:p w14:paraId="15301174"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Inj. Rate, wellhead pressure, Flowback rate</w:t>
            </w:r>
          </w:p>
        </w:tc>
      </w:tr>
      <w:tr w:rsidR="00517B41" w:rsidRPr="003D03A9" w14:paraId="570F3051" w14:textId="77777777" w:rsidTr="0003242E">
        <w:trPr>
          <w:jc w:val="center"/>
        </w:trPr>
        <w:tc>
          <w:tcPr>
            <w:tcW w:w="2515" w:type="dxa"/>
          </w:tcPr>
          <w:p w14:paraId="3A077E3E"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4495" w:type="dxa"/>
          </w:tcPr>
          <w:p w14:paraId="4C82F574"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w:t>
            </w:r>
          </w:p>
        </w:tc>
      </w:tr>
    </w:tbl>
    <w:p w14:paraId="0A99D56E" w14:textId="03F72F75" w:rsidR="00517B41" w:rsidRPr="003D03A9" w:rsidRDefault="00517B41" w:rsidP="00517B41">
      <w:pPr>
        <w:rPr>
          <w:rFonts w:ascii="Myriad Pro" w:hAnsi="Myriad Pro"/>
          <w:sz w:val="22"/>
          <w:szCs w:val="22"/>
        </w:rPr>
      </w:pPr>
    </w:p>
    <w:p w14:paraId="19FFE742" w14:textId="2935F4EB" w:rsidR="00517B41" w:rsidRPr="003D03A9" w:rsidRDefault="00517B41" w:rsidP="003D03A9">
      <w:pPr>
        <w:pStyle w:val="SMHeading"/>
        <w:rPr>
          <w:rFonts w:ascii="Myriad Pro" w:hAnsi="Myriad Pro"/>
          <w:sz w:val="22"/>
          <w:szCs w:val="22"/>
        </w:rPr>
      </w:pPr>
      <w:bookmarkStart w:id="108" w:name="_Toc162436114"/>
      <w:r w:rsidRPr="003D03A9">
        <w:rPr>
          <w:rFonts w:ascii="Myriad Pro" w:hAnsi="Myriad Pro"/>
          <w:sz w:val="22"/>
          <w:szCs w:val="22"/>
        </w:rPr>
        <w:t>Table S</w:t>
      </w:r>
      <w:bookmarkEnd w:id="108"/>
      <w:r w:rsidR="007F7A3C">
        <w:rPr>
          <w:rFonts w:ascii="Myriad Pro" w:hAnsi="Myriad Pro"/>
          <w:sz w:val="22"/>
          <w:szCs w:val="22"/>
        </w:rPr>
        <w:t>2</w:t>
      </w:r>
      <w:r w:rsidR="003D03A9">
        <w:rPr>
          <w:rFonts w:ascii="Myriad Pro" w:hAnsi="Myriad Pro"/>
          <w:sz w:val="22"/>
          <w:szCs w:val="22"/>
        </w:rPr>
        <w:t xml:space="preserve"> </w:t>
      </w:r>
      <w:r w:rsidRPr="003D03A9">
        <w:rPr>
          <w:rFonts w:ascii="Myriad Pro" w:hAnsi="Myriad Pro"/>
          <w:b w:val="0"/>
          <w:bCs w:val="0"/>
          <w:sz w:val="22"/>
          <w:szCs w:val="22"/>
        </w:rPr>
        <w:t>Information available on the Soultz-sous-Forêts 2005 episode.</w:t>
      </w:r>
    </w:p>
    <w:tbl>
      <w:tblPr>
        <w:tblStyle w:val="TableGrid"/>
        <w:tblW w:w="6750" w:type="dxa"/>
        <w:jc w:val="center"/>
        <w:tblLook w:val="04A0" w:firstRow="1" w:lastRow="0" w:firstColumn="1" w:lastColumn="0" w:noHBand="0" w:noVBand="1"/>
      </w:tblPr>
      <w:tblGrid>
        <w:gridCol w:w="2515"/>
        <w:gridCol w:w="4235"/>
      </w:tblGrid>
      <w:tr w:rsidR="00517B41" w:rsidRPr="003D03A9" w14:paraId="55287AFE" w14:textId="77777777" w:rsidTr="0003242E">
        <w:trPr>
          <w:jc w:val="center"/>
        </w:trPr>
        <w:tc>
          <w:tcPr>
            <w:tcW w:w="2515" w:type="dxa"/>
          </w:tcPr>
          <w:p w14:paraId="09579231"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4235" w:type="dxa"/>
          </w:tcPr>
          <w:p w14:paraId="7F9012A7"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Geothermal energy production</w:t>
            </w:r>
          </w:p>
        </w:tc>
      </w:tr>
      <w:tr w:rsidR="00517B41" w:rsidRPr="003D03A9" w14:paraId="382E36A4" w14:textId="77777777" w:rsidTr="0003242E">
        <w:trPr>
          <w:jc w:val="center"/>
        </w:trPr>
        <w:tc>
          <w:tcPr>
            <w:tcW w:w="2515" w:type="dxa"/>
          </w:tcPr>
          <w:p w14:paraId="0D033286"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4235" w:type="dxa"/>
          </w:tcPr>
          <w:p w14:paraId="4EB606C3"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3709</w:t>
            </w:r>
          </w:p>
        </w:tc>
      </w:tr>
      <w:tr w:rsidR="00517B41" w:rsidRPr="003D03A9" w14:paraId="4F1473D4" w14:textId="77777777" w:rsidTr="0003242E">
        <w:trPr>
          <w:jc w:val="center"/>
        </w:trPr>
        <w:tc>
          <w:tcPr>
            <w:tcW w:w="2515" w:type="dxa"/>
          </w:tcPr>
          <w:p w14:paraId="5FF2F636"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4235" w:type="dxa"/>
          </w:tcPr>
          <w:p w14:paraId="06DC5E25" w14:textId="77777777" w:rsidR="00517B41" w:rsidRPr="003D03A9" w:rsidRDefault="00517B41" w:rsidP="0003242E">
            <w:pPr>
              <w:pStyle w:val="NormalWeb"/>
              <w:jc w:val="both"/>
              <w:rPr>
                <w:rFonts w:ascii="Myriad Pro" w:hAnsi="Myriad Pro"/>
                <w:sz w:val="22"/>
                <w:szCs w:val="22"/>
              </w:rPr>
            </w:pPr>
            <w:r w:rsidRPr="003D03A9">
              <w:rPr>
                <w:rFonts w:ascii="Myriad Pro" w:eastAsia="Calibri" w:hAnsi="Myriad Pro"/>
                <w:color w:val="000000" w:themeColor="text1"/>
                <w:kern w:val="24"/>
                <w:sz w:val="22"/>
                <w:szCs w:val="22"/>
              </w:rPr>
              <w:t>04/02/2005 – 01/04/2005</w:t>
            </w:r>
          </w:p>
        </w:tc>
      </w:tr>
      <w:tr w:rsidR="00517B41" w:rsidRPr="003D03A9" w14:paraId="126E248B" w14:textId="77777777" w:rsidTr="0003242E">
        <w:trPr>
          <w:jc w:val="center"/>
        </w:trPr>
        <w:tc>
          <w:tcPr>
            <w:tcW w:w="2515" w:type="dxa"/>
          </w:tcPr>
          <w:p w14:paraId="5EAC634E"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Pr="003D03A9">
              <w:rPr>
                <w:rFonts w:ascii="Myriad Pro" w:hAnsi="Myriad Pro" w:cs="Times New Roman"/>
                <w:b/>
                <w:sz w:val="22"/>
                <w:vertAlign w:val="subscript"/>
              </w:rPr>
              <w:t>L</w:t>
            </w:r>
            <w:r w:rsidRPr="003D03A9">
              <w:rPr>
                <w:rFonts w:ascii="Myriad Pro" w:hAnsi="Myriad Pro" w:cs="Times New Roman"/>
                <w:b/>
                <w:sz w:val="22"/>
              </w:rPr>
              <w:t xml:space="preserve"> </w:t>
            </w:r>
          </w:p>
        </w:tc>
        <w:tc>
          <w:tcPr>
            <w:tcW w:w="4235" w:type="dxa"/>
          </w:tcPr>
          <w:p w14:paraId="166A98A1" w14:textId="77777777" w:rsidR="00517B41" w:rsidRPr="003D03A9" w:rsidRDefault="00517B41" w:rsidP="0003242E">
            <w:pPr>
              <w:pStyle w:val="NormalWeb"/>
              <w:jc w:val="both"/>
              <w:rPr>
                <w:rFonts w:ascii="Myriad Pro" w:hAnsi="Myriad Pro"/>
                <w:sz w:val="22"/>
                <w:szCs w:val="22"/>
              </w:rPr>
            </w:pPr>
            <w:r w:rsidRPr="003D03A9">
              <w:rPr>
                <w:rFonts w:ascii="Myriad Pro" w:eastAsia="Calibri" w:hAnsi="Myriad Pro"/>
                <w:color w:val="000000" w:themeColor="text1"/>
                <w:kern w:val="24"/>
                <w:sz w:val="22"/>
                <w:szCs w:val="22"/>
              </w:rPr>
              <w:t xml:space="preserve">-1.8 – 2.3 (0.1 precision) </w:t>
            </w:r>
          </w:p>
        </w:tc>
      </w:tr>
      <w:tr w:rsidR="00517B41" w:rsidRPr="003D03A9" w14:paraId="560831EE" w14:textId="77777777" w:rsidTr="0003242E">
        <w:trPr>
          <w:jc w:val="center"/>
        </w:trPr>
        <w:tc>
          <w:tcPr>
            <w:tcW w:w="2515" w:type="dxa"/>
          </w:tcPr>
          <w:p w14:paraId="267CA9FC"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4235" w:type="dxa"/>
          </w:tcPr>
          <w:p w14:paraId="1791F8F3"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Stable for the whole period</w:t>
            </w:r>
          </w:p>
        </w:tc>
      </w:tr>
      <w:tr w:rsidR="00517B41" w:rsidRPr="003D03A9" w14:paraId="20341608" w14:textId="77777777" w:rsidTr="0003242E">
        <w:trPr>
          <w:jc w:val="center"/>
        </w:trPr>
        <w:tc>
          <w:tcPr>
            <w:tcW w:w="2515" w:type="dxa"/>
          </w:tcPr>
          <w:p w14:paraId="13706562"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4235" w:type="dxa"/>
          </w:tcPr>
          <w:p w14:paraId="59EE25FC"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Inj. Rate, wellhead pressure, Inj. volume</w:t>
            </w:r>
          </w:p>
        </w:tc>
      </w:tr>
      <w:tr w:rsidR="00517B41" w:rsidRPr="003D03A9" w14:paraId="726FD037" w14:textId="77777777" w:rsidTr="0003242E">
        <w:trPr>
          <w:jc w:val="center"/>
        </w:trPr>
        <w:tc>
          <w:tcPr>
            <w:tcW w:w="2515" w:type="dxa"/>
          </w:tcPr>
          <w:p w14:paraId="093DF073"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4235" w:type="dxa"/>
          </w:tcPr>
          <w:p w14:paraId="283E2074"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w:t>
            </w:r>
          </w:p>
        </w:tc>
      </w:tr>
    </w:tbl>
    <w:p w14:paraId="2006EA37" w14:textId="77777777" w:rsidR="003D03A9" w:rsidRPr="003D03A9" w:rsidRDefault="003D03A9" w:rsidP="00517B41">
      <w:pPr>
        <w:rPr>
          <w:rFonts w:ascii="Myriad Pro" w:hAnsi="Myriad Pro"/>
          <w:sz w:val="22"/>
          <w:szCs w:val="22"/>
        </w:rPr>
      </w:pPr>
    </w:p>
    <w:p w14:paraId="71AB3892" w14:textId="5824C639" w:rsidR="00517B41" w:rsidRPr="003D03A9" w:rsidRDefault="00517B41" w:rsidP="003D03A9">
      <w:pPr>
        <w:pStyle w:val="SMHeading"/>
        <w:rPr>
          <w:rFonts w:ascii="Myriad Pro" w:hAnsi="Myriad Pro"/>
          <w:b w:val="0"/>
          <w:bCs w:val="0"/>
          <w:sz w:val="22"/>
          <w:szCs w:val="22"/>
        </w:rPr>
      </w:pPr>
      <w:bookmarkStart w:id="109" w:name="_Toc162436115"/>
      <w:r w:rsidRPr="003D03A9">
        <w:rPr>
          <w:rFonts w:ascii="Myriad Pro" w:hAnsi="Myriad Pro"/>
          <w:sz w:val="22"/>
          <w:szCs w:val="22"/>
        </w:rPr>
        <w:t>Table S</w:t>
      </w:r>
      <w:bookmarkEnd w:id="109"/>
      <w:r w:rsidR="007F7A3C">
        <w:rPr>
          <w:rFonts w:ascii="Myriad Pro" w:hAnsi="Myriad Pro"/>
          <w:sz w:val="22"/>
          <w:szCs w:val="22"/>
        </w:rPr>
        <w:t>3</w:t>
      </w:r>
      <w:r w:rsidR="003D03A9" w:rsidRPr="003D03A9">
        <w:rPr>
          <w:rFonts w:ascii="Myriad Pro" w:hAnsi="Myriad Pro"/>
          <w:b w:val="0"/>
          <w:bCs w:val="0"/>
          <w:sz w:val="22"/>
          <w:szCs w:val="22"/>
        </w:rPr>
        <w:t xml:space="preserve"> </w:t>
      </w:r>
      <w:r w:rsidRPr="003D03A9">
        <w:rPr>
          <w:rFonts w:ascii="Myriad Pro" w:hAnsi="Myriad Pro"/>
          <w:b w:val="0"/>
          <w:bCs w:val="0"/>
          <w:sz w:val="22"/>
          <w:szCs w:val="22"/>
        </w:rPr>
        <w:t>Available information on the Cooper Basin 2005 episode.</w:t>
      </w:r>
    </w:p>
    <w:tbl>
      <w:tblPr>
        <w:tblStyle w:val="TableGrid"/>
        <w:tblW w:w="8130" w:type="dxa"/>
        <w:jc w:val="center"/>
        <w:tblLook w:val="04A0" w:firstRow="1" w:lastRow="0" w:firstColumn="1" w:lastColumn="0" w:noHBand="0" w:noVBand="1"/>
      </w:tblPr>
      <w:tblGrid>
        <w:gridCol w:w="2515"/>
        <w:gridCol w:w="5615"/>
      </w:tblGrid>
      <w:tr w:rsidR="00517B41" w:rsidRPr="003D03A9" w14:paraId="324EA3B8" w14:textId="77777777" w:rsidTr="0003242E">
        <w:trPr>
          <w:jc w:val="center"/>
        </w:trPr>
        <w:tc>
          <w:tcPr>
            <w:tcW w:w="2515" w:type="dxa"/>
          </w:tcPr>
          <w:p w14:paraId="50A63844"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5615" w:type="dxa"/>
          </w:tcPr>
          <w:p w14:paraId="13C97308"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Geothermal energy production</w:t>
            </w:r>
          </w:p>
        </w:tc>
      </w:tr>
      <w:tr w:rsidR="00517B41" w:rsidRPr="003D03A9" w14:paraId="1F7CC45C" w14:textId="77777777" w:rsidTr="0003242E">
        <w:trPr>
          <w:jc w:val="center"/>
        </w:trPr>
        <w:tc>
          <w:tcPr>
            <w:tcW w:w="2515" w:type="dxa"/>
          </w:tcPr>
          <w:p w14:paraId="0DEB8AF6"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5615" w:type="dxa"/>
          </w:tcPr>
          <w:p w14:paraId="203EACED"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8283</w:t>
            </w:r>
          </w:p>
        </w:tc>
      </w:tr>
      <w:tr w:rsidR="00517B41" w:rsidRPr="003D03A9" w14:paraId="28D6C2E5" w14:textId="77777777" w:rsidTr="0003242E">
        <w:trPr>
          <w:jc w:val="center"/>
        </w:trPr>
        <w:tc>
          <w:tcPr>
            <w:tcW w:w="2515" w:type="dxa"/>
          </w:tcPr>
          <w:p w14:paraId="1085C31C"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5615" w:type="dxa"/>
          </w:tcPr>
          <w:p w14:paraId="769AB9CC"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11/09/2005 – 30/09/2005</w:t>
            </w:r>
          </w:p>
        </w:tc>
      </w:tr>
      <w:tr w:rsidR="00517B41" w:rsidRPr="003D03A9" w14:paraId="326F2433" w14:textId="77777777" w:rsidTr="0003242E">
        <w:trPr>
          <w:jc w:val="center"/>
        </w:trPr>
        <w:tc>
          <w:tcPr>
            <w:tcW w:w="2515" w:type="dxa"/>
          </w:tcPr>
          <w:p w14:paraId="51FF815D" w14:textId="6818EE6A"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00222E3B" w:rsidRPr="00222E3B">
              <w:rPr>
                <w:rFonts w:ascii="Myriad Pro" w:hAnsi="Myriad Pro" w:cs="Times New Roman"/>
                <w:b/>
                <w:sz w:val="22"/>
                <w:vertAlign w:val="subscript"/>
              </w:rPr>
              <w:t>L</w:t>
            </w:r>
            <w:r w:rsidRPr="00222E3B">
              <w:rPr>
                <w:rFonts w:ascii="Myriad Pro" w:hAnsi="Myriad Pro" w:cs="Times New Roman"/>
                <w:b/>
                <w:sz w:val="22"/>
                <w:vertAlign w:val="subscript"/>
              </w:rPr>
              <w:t xml:space="preserve"> </w:t>
            </w:r>
          </w:p>
        </w:tc>
        <w:tc>
          <w:tcPr>
            <w:tcW w:w="5615" w:type="dxa"/>
          </w:tcPr>
          <w:p w14:paraId="5212B323"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-0.9 – 2.9 (0.1 precision)</w:t>
            </w:r>
          </w:p>
        </w:tc>
      </w:tr>
      <w:tr w:rsidR="00517B41" w:rsidRPr="003D03A9" w14:paraId="19853606" w14:textId="77777777" w:rsidTr="0003242E">
        <w:trPr>
          <w:jc w:val="center"/>
        </w:trPr>
        <w:tc>
          <w:tcPr>
            <w:tcW w:w="2515" w:type="dxa"/>
          </w:tcPr>
          <w:p w14:paraId="6CCC943D"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5615" w:type="dxa"/>
          </w:tcPr>
          <w:p w14:paraId="7F5FCE95"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Stable for the whole period</w:t>
            </w:r>
          </w:p>
        </w:tc>
      </w:tr>
      <w:tr w:rsidR="00517B41" w:rsidRPr="003D03A9" w14:paraId="2FAFC0C9" w14:textId="77777777" w:rsidTr="0003242E">
        <w:trPr>
          <w:jc w:val="center"/>
        </w:trPr>
        <w:tc>
          <w:tcPr>
            <w:tcW w:w="2515" w:type="dxa"/>
          </w:tcPr>
          <w:p w14:paraId="26763C74"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5615" w:type="dxa"/>
          </w:tcPr>
          <w:p w14:paraId="20F9F16E"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Inj. Rate, Well paths, Well positions wellhead pressure</w:t>
            </w:r>
          </w:p>
        </w:tc>
      </w:tr>
      <w:tr w:rsidR="00517B41" w:rsidRPr="003D03A9" w14:paraId="5F6D958C" w14:textId="77777777" w:rsidTr="0003242E">
        <w:trPr>
          <w:jc w:val="center"/>
        </w:trPr>
        <w:tc>
          <w:tcPr>
            <w:tcW w:w="2515" w:type="dxa"/>
          </w:tcPr>
          <w:p w14:paraId="04839EDD"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5615" w:type="dxa"/>
          </w:tcPr>
          <w:p w14:paraId="48722E78"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w:t>
            </w:r>
          </w:p>
        </w:tc>
      </w:tr>
    </w:tbl>
    <w:p w14:paraId="73FF77B0" w14:textId="4D99201F" w:rsidR="00517B41" w:rsidRDefault="00517B41" w:rsidP="00517B41">
      <w:pPr>
        <w:rPr>
          <w:rFonts w:ascii="Myriad Pro" w:hAnsi="Myriad Pro"/>
          <w:sz w:val="22"/>
          <w:szCs w:val="22"/>
        </w:rPr>
      </w:pPr>
    </w:p>
    <w:p w14:paraId="47AAEA47" w14:textId="34E649DC" w:rsidR="00517B41" w:rsidRPr="003D03A9" w:rsidRDefault="00517B41" w:rsidP="003D03A9">
      <w:pPr>
        <w:pStyle w:val="SMHeading"/>
        <w:rPr>
          <w:rFonts w:ascii="Myriad Pro" w:hAnsi="Myriad Pro"/>
          <w:sz w:val="22"/>
          <w:szCs w:val="22"/>
        </w:rPr>
      </w:pPr>
      <w:bookmarkStart w:id="110" w:name="_Toc162436117"/>
      <w:r w:rsidRPr="003D03A9">
        <w:rPr>
          <w:rFonts w:ascii="Myriad Pro" w:hAnsi="Myriad Pro"/>
          <w:sz w:val="22"/>
          <w:szCs w:val="22"/>
        </w:rPr>
        <w:t>Table S</w:t>
      </w:r>
      <w:bookmarkEnd w:id="110"/>
      <w:r w:rsidR="007F7A3C">
        <w:rPr>
          <w:rFonts w:ascii="Myriad Pro" w:hAnsi="Myriad Pro"/>
          <w:sz w:val="22"/>
          <w:szCs w:val="22"/>
        </w:rPr>
        <w:t>4</w:t>
      </w:r>
      <w:r w:rsidRPr="003D03A9">
        <w:rPr>
          <w:rFonts w:ascii="Myriad Pro" w:hAnsi="Myriad Pro"/>
          <w:sz w:val="22"/>
          <w:szCs w:val="22"/>
        </w:rPr>
        <w:t xml:space="preserve"> </w:t>
      </w:r>
      <w:r w:rsidRPr="003D03A9">
        <w:rPr>
          <w:rFonts w:ascii="Myriad Pro" w:hAnsi="Myriad Pro"/>
          <w:b w:val="0"/>
          <w:bCs w:val="0"/>
          <w:sz w:val="22"/>
          <w:szCs w:val="22"/>
        </w:rPr>
        <w:t>Information available on The Geyshers prati 9 and prati 29 cluster episode.</w:t>
      </w:r>
    </w:p>
    <w:tbl>
      <w:tblPr>
        <w:tblStyle w:val="TableGrid"/>
        <w:tblW w:w="7696" w:type="dxa"/>
        <w:jc w:val="center"/>
        <w:tblLook w:val="04A0" w:firstRow="1" w:lastRow="0" w:firstColumn="1" w:lastColumn="0" w:noHBand="0" w:noVBand="1"/>
      </w:tblPr>
      <w:tblGrid>
        <w:gridCol w:w="2515"/>
        <w:gridCol w:w="5181"/>
      </w:tblGrid>
      <w:tr w:rsidR="00517B41" w:rsidRPr="003D03A9" w14:paraId="1290012E" w14:textId="77777777" w:rsidTr="0003242E">
        <w:trPr>
          <w:jc w:val="center"/>
        </w:trPr>
        <w:tc>
          <w:tcPr>
            <w:tcW w:w="2515" w:type="dxa"/>
          </w:tcPr>
          <w:p w14:paraId="02EA75F8"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5181" w:type="dxa"/>
          </w:tcPr>
          <w:p w14:paraId="77BC6C34"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Geothermal energy production</w:t>
            </w:r>
          </w:p>
        </w:tc>
      </w:tr>
      <w:tr w:rsidR="00517B41" w:rsidRPr="003D03A9" w14:paraId="597AC560" w14:textId="77777777" w:rsidTr="0003242E">
        <w:trPr>
          <w:jc w:val="center"/>
        </w:trPr>
        <w:tc>
          <w:tcPr>
            <w:tcW w:w="2515" w:type="dxa"/>
          </w:tcPr>
          <w:p w14:paraId="3989F6B0"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5181" w:type="dxa"/>
          </w:tcPr>
          <w:p w14:paraId="7CC98185"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1252</w:t>
            </w:r>
          </w:p>
        </w:tc>
      </w:tr>
      <w:tr w:rsidR="00517B41" w:rsidRPr="003D03A9" w14:paraId="5F06D676" w14:textId="77777777" w:rsidTr="0003242E">
        <w:trPr>
          <w:jc w:val="center"/>
        </w:trPr>
        <w:tc>
          <w:tcPr>
            <w:tcW w:w="2515" w:type="dxa"/>
          </w:tcPr>
          <w:p w14:paraId="55F2C9AB"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5181" w:type="dxa"/>
          </w:tcPr>
          <w:p w14:paraId="5E2F7E22"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10/12/2007 – 23/08/2014</w:t>
            </w:r>
          </w:p>
        </w:tc>
      </w:tr>
      <w:tr w:rsidR="00517B41" w:rsidRPr="003D03A9" w14:paraId="4206AE7A" w14:textId="77777777" w:rsidTr="0003242E">
        <w:trPr>
          <w:jc w:val="center"/>
        </w:trPr>
        <w:tc>
          <w:tcPr>
            <w:tcW w:w="2515" w:type="dxa"/>
          </w:tcPr>
          <w:p w14:paraId="245E4D3A"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Pr="003D03A9">
              <w:rPr>
                <w:rFonts w:ascii="Myriad Pro" w:hAnsi="Myriad Pro" w:cs="Times New Roman"/>
                <w:b/>
                <w:sz w:val="22"/>
                <w:vertAlign w:val="subscript"/>
              </w:rPr>
              <w:t>W</w:t>
            </w:r>
            <w:r w:rsidRPr="003D03A9">
              <w:rPr>
                <w:rFonts w:ascii="Myriad Pro" w:hAnsi="Myriad Pro" w:cs="Times New Roman"/>
                <w:b/>
                <w:sz w:val="22"/>
              </w:rPr>
              <w:t xml:space="preserve"> </w:t>
            </w:r>
          </w:p>
        </w:tc>
        <w:tc>
          <w:tcPr>
            <w:tcW w:w="5181" w:type="dxa"/>
          </w:tcPr>
          <w:p w14:paraId="50C5742C"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1.4 – 3.2 (0.1 precision)</w:t>
            </w:r>
          </w:p>
        </w:tc>
      </w:tr>
      <w:tr w:rsidR="00517B41" w:rsidRPr="003D03A9" w14:paraId="6357136E" w14:textId="77777777" w:rsidTr="0003242E">
        <w:trPr>
          <w:jc w:val="center"/>
        </w:trPr>
        <w:tc>
          <w:tcPr>
            <w:tcW w:w="2515" w:type="dxa"/>
          </w:tcPr>
          <w:p w14:paraId="156046C7"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5181" w:type="dxa"/>
          </w:tcPr>
          <w:p w14:paraId="29880C92"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w:t>
            </w:r>
          </w:p>
        </w:tc>
      </w:tr>
      <w:tr w:rsidR="00517B41" w:rsidRPr="003D03A9" w14:paraId="207D0CAB" w14:textId="77777777" w:rsidTr="0003242E">
        <w:trPr>
          <w:jc w:val="center"/>
        </w:trPr>
        <w:tc>
          <w:tcPr>
            <w:tcW w:w="2515" w:type="dxa"/>
          </w:tcPr>
          <w:p w14:paraId="1E914D5D"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5181" w:type="dxa"/>
          </w:tcPr>
          <w:p w14:paraId="47519990"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Inj. Rate, Well paths, Well positions</w:t>
            </w:r>
          </w:p>
        </w:tc>
      </w:tr>
      <w:tr w:rsidR="00517B41" w:rsidRPr="003D03A9" w14:paraId="33158D1D" w14:textId="77777777" w:rsidTr="0003242E">
        <w:trPr>
          <w:jc w:val="center"/>
        </w:trPr>
        <w:tc>
          <w:tcPr>
            <w:tcW w:w="2515" w:type="dxa"/>
          </w:tcPr>
          <w:p w14:paraId="785BD06A"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5181" w:type="dxa"/>
          </w:tcPr>
          <w:p w14:paraId="7557599B"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Catalog is provided after completeness calculation</w:t>
            </w:r>
          </w:p>
        </w:tc>
      </w:tr>
    </w:tbl>
    <w:p w14:paraId="35A8951A" w14:textId="4454146D" w:rsidR="00517B41" w:rsidRDefault="00517B41" w:rsidP="00517B41">
      <w:pPr>
        <w:rPr>
          <w:rFonts w:ascii="Myriad Pro" w:hAnsi="Myriad Pro"/>
          <w:b/>
          <w:bCs/>
          <w:sz w:val="22"/>
          <w:szCs w:val="22"/>
        </w:rPr>
      </w:pPr>
    </w:p>
    <w:p w14:paraId="1AC5E473" w14:textId="77777777" w:rsidR="007F7A3C" w:rsidRPr="003D03A9" w:rsidRDefault="007F7A3C" w:rsidP="00517B41">
      <w:pPr>
        <w:rPr>
          <w:rFonts w:ascii="Myriad Pro" w:hAnsi="Myriad Pro"/>
          <w:b/>
          <w:bCs/>
          <w:sz w:val="22"/>
          <w:szCs w:val="22"/>
        </w:rPr>
      </w:pPr>
    </w:p>
    <w:p w14:paraId="2ABD920B" w14:textId="486FEC35" w:rsidR="00517B41" w:rsidRPr="003D03A9" w:rsidRDefault="00517B41" w:rsidP="003D03A9">
      <w:pPr>
        <w:pStyle w:val="SMHeading"/>
        <w:rPr>
          <w:rFonts w:ascii="Myriad Pro" w:hAnsi="Myriad Pro"/>
          <w:b w:val="0"/>
          <w:bCs w:val="0"/>
          <w:sz w:val="22"/>
          <w:szCs w:val="22"/>
        </w:rPr>
      </w:pPr>
      <w:bookmarkStart w:id="111" w:name="_Toc162436118"/>
      <w:r w:rsidRPr="003D03A9">
        <w:rPr>
          <w:rFonts w:ascii="Myriad Pro" w:hAnsi="Myriad Pro"/>
          <w:sz w:val="22"/>
          <w:szCs w:val="22"/>
        </w:rPr>
        <w:lastRenderedPageBreak/>
        <w:t>Table S</w:t>
      </w:r>
      <w:bookmarkEnd w:id="111"/>
      <w:r w:rsidR="007F7A3C">
        <w:rPr>
          <w:rFonts w:ascii="Myriad Pro" w:hAnsi="Myriad Pro"/>
          <w:sz w:val="22"/>
          <w:szCs w:val="22"/>
        </w:rPr>
        <w:t>5</w:t>
      </w:r>
      <w:r w:rsidR="003D03A9" w:rsidRPr="003D03A9">
        <w:rPr>
          <w:rFonts w:ascii="Myriad Pro" w:hAnsi="Myriad Pro"/>
          <w:b w:val="0"/>
          <w:bCs w:val="0"/>
          <w:sz w:val="22"/>
          <w:szCs w:val="22"/>
        </w:rPr>
        <w:t xml:space="preserve"> </w:t>
      </w:r>
      <w:r w:rsidRPr="003D03A9">
        <w:rPr>
          <w:rFonts w:ascii="Myriad Pro" w:hAnsi="Myriad Pro"/>
          <w:b w:val="0"/>
          <w:bCs w:val="0"/>
          <w:sz w:val="22"/>
          <w:szCs w:val="22"/>
        </w:rPr>
        <w:t>Information available on the St. Gallen episode</w:t>
      </w:r>
    </w:p>
    <w:tbl>
      <w:tblPr>
        <w:tblStyle w:val="TableGrid"/>
        <w:tblW w:w="7377" w:type="dxa"/>
        <w:jc w:val="center"/>
        <w:tblLook w:val="04A0" w:firstRow="1" w:lastRow="0" w:firstColumn="1" w:lastColumn="0" w:noHBand="0" w:noVBand="1"/>
      </w:tblPr>
      <w:tblGrid>
        <w:gridCol w:w="2515"/>
        <w:gridCol w:w="4862"/>
      </w:tblGrid>
      <w:tr w:rsidR="00517B41" w:rsidRPr="003D03A9" w14:paraId="079D82C5" w14:textId="77777777" w:rsidTr="0003242E">
        <w:trPr>
          <w:jc w:val="center"/>
        </w:trPr>
        <w:tc>
          <w:tcPr>
            <w:tcW w:w="2515" w:type="dxa"/>
          </w:tcPr>
          <w:p w14:paraId="45987FA5"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4862" w:type="dxa"/>
          </w:tcPr>
          <w:p w14:paraId="0665BA02"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Geothermal energy production</w:t>
            </w:r>
          </w:p>
        </w:tc>
      </w:tr>
      <w:tr w:rsidR="00517B41" w:rsidRPr="003D03A9" w14:paraId="5FED2CD8" w14:textId="77777777" w:rsidTr="0003242E">
        <w:trPr>
          <w:jc w:val="center"/>
        </w:trPr>
        <w:tc>
          <w:tcPr>
            <w:tcW w:w="2515" w:type="dxa"/>
          </w:tcPr>
          <w:p w14:paraId="40AE8134"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4862" w:type="dxa"/>
          </w:tcPr>
          <w:p w14:paraId="019F863B"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347</w:t>
            </w:r>
          </w:p>
        </w:tc>
      </w:tr>
      <w:tr w:rsidR="00517B41" w:rsidRPr="003D03A9" w14:paraId="4D09BBB8" w14:textId="77777777" w:rsidTr="0003242E">
        <w:trPr>
          <w:jc w:val="center"/>
        </w:trPr>
        <w:tc>
          <w:tcPr>
            <w:tcW w:w="2515" w:type="dxa"/>
          </w:tcPr>
          <w:p w14:paraId="28DE4924"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4862" w:type="dxa"/>
          </w:tcPr>
          <w:p w14:paraId="72A8B3E1"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14/07/2013 – 19/05/2015</w:t>
            </w:r>
          </w:p>
        </w:tc>
      </w:tr>
      <w:tr w:rsidR="00517B41" w:rsidRPr="003D03A9" w14:paraId="135BC597" w14:textId="77777777" w:rsidTr="0003242E">
        <w:trPr>
          <w:jc w:val="center"/>
        </w:trPr>
        <w:tc>
          <w:tcPr>
            <w:tcW w:w="2515" w:type="dxa"/>
          </w:tcPr>
          <w:p w14:paraId="09735ACA"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Pr="003D03A9">
              <w:rPr>
                <w:rFonts w:ascii="Myriad Pro" w:hAnsi="Myriad Pro" w:cs="Times New Roman"/>
                <w:b/>
                <w:sz w:val="22"/>
                <w:vertAlign w:val="subscript"/>
              </w:rPr>
              <w:t>L</w:t>
            </w:r>
            <w:r w:rsidRPr="003D03A9">
              <w:rPr>
                <w:rFonts w:ascii="Myriad Pro" w:hAnsi="Myriad Pro" w:cs="Times New Roman"/>
                <w:b/>
                <w:sz w:val="22"/>
              </w:rPr>
              <w:t xml:space="preserve"> </w:t>
            </w:r>
          </w:p>
        </w:tc>
        <w:tc>
          <w:tcPr>
            <w:tcW w:w="4862" w:type="dxa"/>
          </w:tcPr>
          <w:p w14:paraId="296E9BCD"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-1.2 – 3.5 (0.1 precision)</w:t>
            </w:r>
          </w:p>
        </w:tc>
      </w:tr>
      <w:tr w:rsidR="00517B41" w:rsidRPr="003D03A9" w14:paraId="2FA33724" w14:textId="77777777" w:rsidTr="0003242E">
        <w:trPr>
          <w:jc w:val="center"/>
        </w:trPr>
        <w:tc>
          <w:tcPr>
            <w:tcW w:w="2515" w:type="dxa"/>
          </w:tcPr>
          <w:p w14:paraId="42B7FB96"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4862" w:type="dxa"/>
          </w:tcPr>
          <w:p w14:paraId="273B7925"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 xml:space="preserve">Numerous changes in network configuration </w:t>
            </w:r>
          </w:p>
        </w:tc>
      </w:tr>
      <w:tr w:rsidR="00517B41" w:rsidRPr="003D03A9" w14:paraId="216F4FE9" w14:textId="77777777" w:rsidTr="0003242E">
        <w:trPr>
          <w:jc w:val="center"/>
        </w:trPr>
        <w:tc>
          <w:tcPr>
            <w:tcW w:w="2515" w:type="dxa"/>
          </w:tcPr>
          <w:p w14:paraId="23872A7C"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4862" w:type="dxa"/>
          </w:tcPr>
          <w:p w14:paraId="137598B0"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Well paths, Well positions, Downhole pressure</w:t>
            </w:r>
          </w:p>
        </w:tc>
      </w:tr>
      <w:tr w:rsidR="00517B41" w:rsidRPr="003D03A9" w14:paraId="568550D6" w14:textId="77777777" w:rsidTr="0003242E">
        <w:trPr>
          <w:jc w:val="center"/>
        </w:trPr>
        <w:tc>
          <w:tcPr>
            <w:tcW w:w="2515" w:type="dxa"/>
          </w:tcPr>
          <w:p w14:paraId="46596B6C"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4862" w:type="dxa"/>
          </w:tcPr>
          <w:p w14:paraId="6F7AD68A"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w:t>
            </w:r>
          </w:p>
        </w:tc>
      </w:tr>
    </w:tbl>
    <w:p w14:paraId="30CA4C86" w14:textId="35644E94" w:rsidR="00517B41" w:rsidRDefault="00517B41" w:rsidP="00517B41">
      <w:pPr>
        <w:rPr>
          <w:rFonts w:ascii="Myriad Pro" w:hAnsi="Myriad Pro"/>
          <w:sz w:val="22"/>
          <w:szCs w:val="22"/>
        </w:rPr>
      </w:pPr>
    </w:p>
    <w:p w14:paraId="37039A7D" w14:textId="255A55CA" w:rsidR="00517B41" w:rsidRPr="003D03A9" w:rsidRDefault="00517B41" w:rsidP="003D03A9">
      <w:pPr>
        <w:pStyle w:val="SMHeading"/>
        <w:rPr>
          <w:rFonts w:ascii="Myriad Pro" w:hAnsi="Myriad Pro"/>
          <w:sz w:val="22"/>
          <w:szCs w:val="22"/>
        </w:rPr>
      </w:pPr>
      <w:bookmarkStart w:id="112" w:name="_Toc162436119"/>
      <w:r w:rsidRPr="003D03A9">
        <w:rPr>
          <w:rFonts w:ascii="Myriad Pro" w:hAnsi="Myriad Pro"/>
          <w:sz w:val="22"/>
          <w:szCs w:val="22"/>
        </w:rPr>
        <w:t>Table S</w:t>
      </w:r>
      <w:bookmarkEnd w:id="112"/>
      <w:r w:rsidR="007F7A3C">
        <w:rPr>
          <w:rFonts w:ascii="Myriad Pro" w:hAnsi="Myriad Pro"/>
          <w:sz w:val="22"/>
          <w:szCs w:val="22"/>
        </w:rPr>
        <w:t>6</w:t>
      </w:r>
      <w:r w:rsidR="003D03A9" w:rsidRPr="003D03A9">
        <w:rPr>
          <w:rFonts w:ascii="Myriad Pro" w:hAnsi="Myriad Pro"/>
          <w:b w:val="0"/>
          <w:bCs w:val="0"/>
          <w:sz w:val="22"/>
          <w:szCs w:val="22"/>
        </w:rPr>
        <w:t xml:space="preserve"> </w:t>
      </w:r>
      <w:r w:rsidRPr="003D03A9">
        <w:rPr>
          <w:rFonts w:ascii="Myriad Pro" w:hAnsi="Myriad Pro"/>
          <w:b w:val="0"/>
          <w:bCs w:val="0"/>
          <w:sz w:val="22"/>
          <w:szCs w:val="22"/>
        </w:rPr>
        <w:t>Information available on the Carbfix episode.</w:t>
      </w:r>
    </w:p>
    <w:tbl>
      <w:tblPr>
        <w:tblStyle w:val="TableGrid"/>
        <w:tblW w:w="7425" w:type="dxa"/>
        <w:jc w:val="center"/>
        <w:tblLook w:val="04A0" w:firstRow="1" w:lastRow="0" w:firstColumn="1" w:lastColumn="0" w:noHBand="0" w:noVBand="1"/>
      </w:tblPr>
      <w:tblGrid>
        <w:gridCol w:w="1950"/>
        <w:gridCol w:w="5475"/>
      </w:tblGrid>
      <w:tr w:rsidR="00517B41" w:rsidRPr="003D03A9" w14:paraId="74D7B3AE" w14:textId="77777777" w:rsidTr="0003242E">
        <w:trPr>
          <w:jc w:val="center"/>
        </w:trPr>
        <w:tc>
          <w:tcPr>
            <w:tcW w:w="1950" w:type="dxa"/>
          </w:tcPr>
          <w:p w14:paraId="204A7DF6"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5475" w:type="dxa"/>
          </w:tcPr>
          <w:p w14:paraId="64CF03F5"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Geothermal energy production and Co2 sequestration</w:t>
            </w:r>
          </w:p>
        </w:tc>
      </w:tr>
      <w:tr w:rsidR="00517B41" w:rsidRPr="003D03A9" w14:paraId="19A5C2DC" w14:textId="77777777" w:rsidTr="0003242E">
        <w:trPr>
          <w:jc w:val="center"/>
        </w:trPr>
        <w:tc>
          <w:tcPr>
            <w:tcW w:w="1950" w:type="dxa"/>
          </w:tcPr>
          <w:p w14:paraId="121506B6"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5475" w:type="dxa"/>
          </w:tcPr>
          <w:p w14:paraId="4BAF2831"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1081</w:t>
            </w:r>
          </w:p>
        </w:tc>
      </w:tr>
      <w:tr w:rsidR="00517B41" w:rsidRPr="003D03A9" w14:paraId="174884BF" w14:textId="77777777" w:rsidTr="0003242E">
        <w:trPr>
          <w:jc w:val="center"/>
        </w:trPr>
        <w:tc>
          <w:tcPr>
            <w:tcW w:w="1950" w:type="dxa"/>
          </w:tcPr>
          <w:p w14:paraId="07312A59"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5475" w:type="dxa"/>
          </w:tcPr>
          <w:p w14:paraId="04324332"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29/11/2017 – 28/02/2018</w:t>
            </w:r>
          </w:p>
        </w:tc>
      </w:tr>
      <w:tr w:rsidR="00517B41" w:rsidRPr="003D03A9" w14:paraId="1903BC43" w14:textId="77777777" w:rsidTr="0003242E">
        <w:trPr>
          <w:jc w:val="center"/>
        </w:trPr>
        <w:tc>
          <w:tcPr>
            <w:tcW w:w="1950" w:type="dxa"/>
          </w:tcPr>
          <w:p w14:paraId="541953F9"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Pr="003D03A9">
              <w:rPr>
                <w:rFonts w:ascii="Myriad Pro" w:hAnsi="Myriad Pro" w:cs="Times New Roman"/>
                <w:b/>
                <w:sz w:val="22"/>
                <w:vertAlign w:val="subscript"/>
              </w:rPr>
              <w:t>L</w:t>
            </w:r>
            <w:r w:rsidRPr="003D03A9">
              <w:rPr>
                <w:rFonts w:ascii="Myriad Pro" w:hAnsi="Myriad Pro" w:cs="Times New Roman"/>
                <w:b/>
                <w:sz w:val="22"/>
              </w:rPr>
              <w:t xml:space="preserve"> </w:t>
            </w:r>
          </w:p>
        </w:tc>
        <w:tc>
          <w:tcPr>
            <w:tcW w:w="5475" w:type="dxa"/>
          </w:tcPr>
          <w:p w14:paraId="6AB76753"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-0.9 – 4.3 (0.1 precision)</w:t>
            </w:r>
          </w:p>
        </w:tc>
      </w:tr>
      <w:tr w:rsidR="00517B41" w:rsidRPr="003D03A9" w14:paraId="0DEA983C" w14:textId="77777777" w:rsidTr="0003242E">
        <w:trPr>
          <w:jc w:val="center"/>
        </w:trPr>
        <w:tc>
          <w:tcPr>
            <w:tcW w:w="1950" w:type="dxa"/>
          </w:tcPr>
          <w:p w14:paraId="3F5A1967"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5475" w:type="dxa"/>
          </w:tcPr>
          <w:p w14:paraId="7E8D4DB2"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Stable for the whole period</w:t>
            </w:r>
          </w:p>
        </w:tc>
      </w:tr>
      <w:tr w:rsidR="00517B41" w:rsidRPr="003D03A9" w14:paraId="21574DED" w14:textId="77777777" w:rsidTr="0003242E">
        <w:trPr>
          <w:jc w:val="center"/>
        </w:trPr>
        <w:tc>
          <w:tcPr>
            <w:tcW w:w="1950" w:type="dxa"/>
          </w:tcPr>
          <w:p w14:paraId="7BDEDEEE"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5475" w:type="dxa"/>
          </w:tcPr>
          <w:p w14:paraId="301B45F3"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Ground water level, Well Path, Well Position</w:t>
            </w:r>
          </w:p>
        </w:tc>
      </w:tr>
      <w:tr w:rsidR="00517B41" w:rsidRPr="003D03A9" w14:paraId="0A7D41B9" w14:textId="77777777" w:rsidTr="0003242E">
        <w:trPr>
          <w:jc w:val="center"/>
        </w:trPr>
        <w:tc>
          <w:tcPr>
            <w:tcW w:w="1950" w:type="dxa"/>
          </w:tcPr>
          <w:p w14:paraId="2D553DFD"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5475" w:type="dxa"/>
          </w:tcPr>
          <w:p w14:paraId="3A37D1ED"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w:t>
            </w:r>
          </w:p>
        </w:tc>
      </w:tr>
    </w:tbl>
    <w:p w14:paraId="6B052B44" w14:textId="77777777" w:rsidR="0092639E" w:rsidRPr="003D03A9" w:rsidRDefault="0092639E" w:rsidP="00517B41">
      <w:pPr>
        <w:pStyle w:val="SMcaption"/>
        <w:jc w:val="both"/>
        <w:rPr>
          <w:rFonts w:ascii="Myriad Pro" w:hAnsi="Myriad Pro"/>
          <w:sz w:val="22"/>
          <w:szCs w:val="22"/>
        </w:rPr>
      </w:pPr>
    </w:p>
    <w:p w14:paraId="407DA941" w14:textId="4E554FE8" w:rsidR="00517B41" w:rsidRPr="003D03A9" w:rsidRDefault="00517B41" w:rsidP="003D03A9">
      <w:pPr>
        <w:pStyle w:val="SMHeading"/>
        <w:rPr>
          <w:rFonts w:ascii="Myriad Pro" w:hAnsi="Myriad Pro"/>
          <w:b w:val="0"/>
          <w:bCs w:val="0"/>
          <w:sz w:val="22"/>
          <w:szCs w:val="22"/>
        </w:rPr>
      </w:pPr>
      <w:bookmarkStart w:id="113" w:name="_Toc162436120"/>
      <w:r w:rsidRPr="003D03A9">
        <w:rPr>
          <w:rFonts w:ascii="Myriad Pro" w:hAnsi="Myriad Pro"/>
          <w:sz w:val="22"/>
          <w:szCs w:val="22"/>
        </w:rPr>
        <w:t>Table S</w:t>
      </w:r>
      <w:bookmarkEnd w:id="113"/>
      <w:r w:rsidR="007F7A3C">
        <w:rPr>
          <w:rFonts w:ascii="Myriad Pro" w:hAnsi="Myriad Pro"/>
          <w:sz w:val="22"/>
          <w:szCs w:val="22"/>
        </w:rPr>
        <w:t>7</w:t>
      </w:r>
      <w:r w:rsidR="003D03A9">
        <w:rPr>
          <w:rFonts w:ascii="Myriad Pro" w:hAnsi="Myriad Pro"/>
          <w:sz w:val="22"/>
          <w:szCs w:val="22"/>
        </w:rPr>
        <w:t xml:space="preserve"> </w:t>
      </w:r>
      <w:r w:rsidRPr="003D03A9">
        <w:rPr>
          <w:rFonts w:ascii="Myriad Pro" w:hAnsi="Myriad Pro"/>
          <w:b w:val="0"/>
          <w:bCs w:val="0"/>
          <w:sz w:val="22"/>
          <w:szCs w:val="22"/>
        </w:rPr>
        <w:t>Information available on the Cotton Valley episode.</w:t>
      </w:r>
    </w:p>
    <w:tbl>
      <w:tblPr>
        <w:tblStyle w:val="TableGrid"/>
        <w:tblW w:w="7511" w:type="dxa"/>
        <w:jc w:val="center"/>
        <w:tblLook w:val="04A0" w:firstRow="1" w:lastRow="0" w:firstColumn="1" w:lastColumn="0" w:noHBand="0" w:noVBand="1"/>
      </w:tblPr>
      <w:tblGrid>
        <w:gridCol w:w="1950"/>
        <w:gridCol w:w="5561"/>
      </w:tblGrid>
      <w:tr w:rsidR="00517B41" w:rsidRPr="003D03A9" w14:paraId="2C537BCD" w14:textId="77777777" w:rsidTr="0003242E">
        <w:trPr>
          <w:jc w:val="center"/>
        </w:trPr>
        <w:tc>
          <w:tcPr>
            <w:tcW w:w="1950" w:type="dxa"/>
          </w:tcPr>
          <w:p w14:paraId="2FD2E800"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5561" w:type="dxa"/>
          </w:tcPr>
          <w:p w14:paraId="491B031E"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Unconventional hydrocarbon extraction</w:t>
            </w:r>
          </w:p>
        </w:tc>
      </w:tr>
      <w:tr w:rsidR="00517B41" w:rsidRPr="003D03A9" w14:paraId="6ADF82EF" w14:textId="77777777" w:rsidTr="0003242E">
        <w:trPr>
          <w:jc w:val="center"/>
        </w:trPr>
        <w:tc>
          <w:tcPr>
            <w:tcW w:w="1950" w:type="dxa"/>
          </w:tcPr>
          <w:p w14:paraId="19C14283"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5561" w:type="dxa"/>
          </w:tcPr>
          <w:p w14:paraId="262169AB"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888</w:t>
            </w:r>
          </w:p>
        </w:tc>
      </w:tr>
      <w:tr w:rsidR="00517B41" w:rsidRPr="003D03A9" w14:paraId="5C005A92" w14:textId="77777777" w:rsidTr="0003242E">
        <w:trPr>
          <w:jc w:val="center"/>
        </w:trPr>
        <w:tc>
          <w:tcPr>
            <w:tcW w:w="1950" w:type="dxa"/>
          </w:tcPr>
          <w:p w14:paraId="1BAF0569"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5561" w:type="dxa"/>
          </w:tcPr>
          <w:p w14:paraId="246F46EB"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14/05/1997 – 14/05/1997</w:t>
            </w:r>
          </w:p>
        </w:tc>
      </w:tr>
      <w:tr w:rsidR="00517B41" w:rsidRPr="003D03A9" w14:paraId="1A4EB481" w14:textId="77777777" w:rsidTr="0003242E">
        <w:trPr>
          <w:jc w:val="center"/>
        </w:trPr>
        <w:tc>
          <w:tcPr>
            <w:tcW w:w="1950" w:type="dxa"/>
          </w:tcPr>
          <w:p w14:paraId="149F6B88"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Pr="003D03A9">
              <w:rPr>
                <w:rFonts w:ascii="Myriad Pro" w:hAnsi="Myriad Pro" w:cs="Times New Roman"/>
                <w:b/>
                <w:sz w:val="22"/>
                <w:vertAlign w:val="subscript"/>
              </w:rPr>
              <w:t>W</w:t>
            </w:r>
            <w:r w:rsidRPr="003D03A9">
              <w:rPr>
                <w:rFonts w:ascii="Myriad Pro" w:hAnsi="Myriad Pro" w:cs="Times New Roman"/>
                <w:b/>
                <w:sz w:val="22"/>
              </w:rPr>
              <w:t xml:space="preserve"> </w:t>
            </w:r>
          </w:p>
        </w:tc>
        <w:tc>
          <w:tcPr>
            <w:tcW w:w="5561" w:type="dxa"/>
          </w:tcPr>
          <w:p w14:paraId="42ED07BD"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-2.38 – -0.69 (0.01 precision)</w:t>
            </w:r>
          </w:p>
        </w:tc>
      </w:tr>
      <w:tr w:rsidR="00517B41" w:rsidRPr="003D03A9" w14:paraId="13A648FE" w14:textId="77777777" w:rsidTr="0003242E">
        <w:trPr>
          <w:jc w:val="center"/>
        </w:trPr>
        <w:tc>
          <w:tcPr>
            <w:tcW w:w="1950" w:type="dxa"/>
          </w:tcPr>
          <w:p w14:paraId="586F8058"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5561" w:type="dxa"/>
          </w:tcPr>
          <w:p w14:paraId="489B94BF"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Stable</w:t>
            </w:r>
          </w:p>
        </w:tc>
      </w:tr>
      <w:tr w:rsidR="00517B41" w:rsidRPr="003D03A9" w14:paraId="4CDCEDB7" w14:textId="77777777" w:rsidTr="0003242E">
        <w:trPr>
          <w:jc w:val="center"/>
        </w:trPr>
        <w:tc>
          <w:tcPr>
            <w:tcW w:w="1950" w:type="dxa"/>
          </w:tcPr>
          <w:p w14:paraId="6D4AF770"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5561" w:type="dxa"/>
          </w:tcPr>
          <w:p w14:paraId="7003623F"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Fracking process parameters, well path, well position</w:t>
            </w:r>
          </w:p>
        </w:tc>
      </w:tr>
      <w:tr w:rsidR="00517B41" w:rsidRPr="003D03A9" w14:paraId="20890575" w14:textId="77777777" w:rsidTr="0003242E">
        <w:trPr>
          <w:jc w:val="center"/>
        </w:trPr>
        <w:tc>
          <w:tcPr>
            <w:tcW w:w="1950" w:type="dxa"/>
          </w:tcPr>
          <w:p w14:paraId="529875CC"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5561" w:type="dxa"/>
          </w:tcPr>
          <w:p w14:paraId="3DEBF7AA"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Catalog refers to one day of the three days of injection</w:t>
            </w:r>
          </w:p>
        </w:tc>
      </w:tr>
    </w:tbl>
    <w:p w14:paraId="64D08157" w14:textId="23E32F87" w:rsidR="00517B41" w:rsidRDefault="00517B41" w:rsidP="00517B41">
      <w:pPr>
        <w:rPr>
          <w:rFonts w:ascii="Myriad Pro" w:hAnsi="Myriad Pro"/>
          <w:sz w:val="22"/>
          <w:szCs w:val="22"/>
        </w:rPr>
      </w:pPr>
    </w:p>
    <w:p w14:paraId="24122598" w14:textId="7B537618" w:rsidR="00517B41" w:rsidRPr="003D03A9" w:rsidRDefault="00517B41" w:rsidP="003D03A9">
      <w:pPr>
        <w:pStyle w:val="SMHeading"/>
        <w:rPr>
          <w:rFonts w:ascii="Myriad Pro" w:hAnsi="Myriad Pro"/>
          <w:sz w:val="22"/>
          <w:szCs w:val="22"/>
        </w:rPr>
      </w:pPr>
      <w:bookmarkStart w:id="114" w:name="_Toc162436121"/>
      <w:r w:rsidRPr="003D03A9">
        <w:rPr>
          <w:rFonts w:ascii="Myriad Pro" w:hAnsi="Myriad Pro"/>
          <w:sz w:val="22"/>
          <w:szCs w:val="22"/>
        </w:rPr>
        <w:t>Table S</w:t>
      </w:r>
      <w:bookmarkEnd w:id="114"/>
      <w:r w:rsidR="007F7A3C">
        <w:rPr>
          <w:rFonts w:ascii="Myriad Pro" w:hAnsi="Myriad Pro"/>
          <w:sz w:val="22"/>
          <w:szCs w:val="22"/>
        </w:rPr>
        <w:t>8</w:t>
      </w:r>
      <w:r w:rsidR="003D03A9" w:rsidRPr="003D03A9">
        <w:rPr>
          <w:rFonts w:ascii="Myriad Pro" w:hAnsi="Myriad Pro"/>
          <w:b w:val="0"/>
          <w:bCs w:val="0"/>
          <w:sz w:val="22"/>
          <w:szCs w:val="22"/>
        </w:rPr>
        <w:t xml:space="preserve"> </w:t>
      </w:r>
      <w:r w:rsidRPr="003D03A9">
        <w:rPr>
          <w:rFonts w:ascii="Myriad Pro" w:hAnsi="Myriad Pro"/>
          <w:b w:val="0"/>
          <w:bCs w:val="0"/>
          <w:sz w:val="22"/>
          <w:szCs w:val="22"/>
        </w:rPr>
        <w:t>Information available on the Groningen episode.</w:t>
      </w:r>
    </w:p>
    <w:tbl>
      <w:tblPr>
        <w:tblStyle w:val="TableGrid"/>
        <w:tblW w:w="8091" w:type="dxa"/>
        <w:jc w:val="center"/>
        <w:tblLook w:val="04A0" w:firstRow="1" w:lastRow="0" w:firstColumn="1" w:lastColumn="0" w:noHBand="0" w:noVBand="1"/>
      </w:tblPr>
      <w:tblGrid>
        <w:gridCol w:w="2515"/>
        <w:gridCol w:w="5576"/>
      </w:tblGrid>
      <w:tr w:rsidR="00517B41" w:rsidRPr="003D03A9" w14:paraId="58B72E56" w14:textId="77777777" w:rsidTr="0003242E">
        <w:trPr>
          <w:jc w:val="center"/>
        </w:trPr>
        <w:tc>
          <w:tcPr>
            <w:tcW w:w="2515" w:type="dxa"/>
          </w:tcPr>
          <w:p w14:paraId="6738F210"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5576" w:type="dxa"/>
          </w:tcPr>
          <w:p w14:paraId="0EAB3259"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Conventional hydrocarbon extraction</w:t>
            </w:r>
          </w:p>
        </w:tc>
      </w:tr>
      <w:tr w:rsidR="00517B41" w:rsidRPr="003D03A9" w14:paraId="291517D8" w14:textId="77777777" w:rsidTr="0003242E">
        <w:trPr>
          <w:jc w:val="center"/>
        </w:trPr>
        <w:tc>
          <w:tcPr>
            <w:tcW w:w="2515" w:type="dxa"/>
          </w:tcPr>
          <w:p w14:paraId="06798751"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5576" w:type="dxa"/>
          </w:tcPr>
          <w:p w14:paraId="7F48DB61"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1889</w:t>
            </w:r>
          </w:p>
        </w:tc>
      </w:tr>
      <w:tr w:rsidR="00517B41" w:rsidRPr="003D03A9" w14:paraId="63B5E613" w14:textId="77777777" w:rsidTr="0003242E">
        <w:trPr>
          <w:jc w:val="center"/>
        </w:trPr>
        <w:tc>
          <w:tcPr>
            <w:tcW w:w="2515" w:type="dxa"/>
          </w:tcPr>
          <w:p w14:paraId="294079D5"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5576" w:type="dxa"/>
          </w:tcPr>
          <w:p w14:paraId="298EBB58"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26/12/1986 – 16/07/2022</w:t>
            </w:r>
          </w:p>
        </w:tc>
      </w:tr>
      <w:tr w:rsidR="00517B41" w:rsidRPr="003D03A9" w14:paraId="01337CF5" w14:textId="77777777" w:rsidTr="0003242E">
        <w:trPr>
          <w:jc w:val="center"/>
        </w:trPr>
        <w:tc>
          <w:tcPr>
            <w:tcW w:w="2515" w:type="dxa"/>
          </w:tcPr>
          <w:p w14:paraId="54484F34"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Pr="003D03A9">
              <w:rPr>
                <w:rFonts w:ascii="Myriad Pro" w:hAnsi="Myriad Pro" w:cs="Times New Roman"/>
                <w:b/>
                <w:sz w:val="22"/>
                <w:vertAlign w:val="subscript"/>
              </w:rPr>
              <w:t>W</w:t>
            </w:r>
            <w:r w:rsidRPr="003D03A9">
              <w:rPr>
                <w:rFonts w:ascii="Myriad Pro" w:hAnsi="Myriad Pro" w:cs="Times New Roman"/>
                <w:b/>
                <w:sz w:val="22"/>
              </w:rPr>
              <w:t xml:space="preserve"> </w:t>
            </w:r>
          </w:p>
        </w:tc>
        <w:tc>
          <w:tcPr>
            <w:tcW w:w="5576" w:type="dxa"/>
          </w:tcPr>
          <w:p w14:paraId="751351BC"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-0.8 – 3.4 (0.1 precision)</w:t>
            </w:r>
          </w:p>
        </w:tc>
      </w:tr>
      <w:tr w:rsidR="00517B41" w:rsidRPr="003D03A9" w14:paraId="2494BD22" w14:textId="77777777" w:rsidTr="0003242E">
        <w:trPr>
          <w:jc w:val="center"/>
        </w:trPr>
        <w:tc>
          <w:tcPr>
            <w:tcW w:w="2515" w:type="dxa"/>
          </w:tcPr>
          <w:p w14:paraId="2F4D6699"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5576" w:type="dxa"/>
          </w:tcPr>
          <w:p w14:paraId="4765B9C6"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 xml:space="preserve">Information only after April 2015 </w:t>
            </w:r>
          </w:p>
        </w:tc>
      </w:tr>
      <w:tr w:rsidR="00517B41" w:rsidRPr="003D03A9" w14:paraId="4A64DCDB" w14:textId="77777777" w:rsidTr="0003242E">
        <w:trPr>
          <w:jc w:val="center"/>
        </w:trPr>
        <w:tc>
          <w:tcPr>
            <w:tcW w:w="2515" w:type="dxa"/>
          </w:tcPr>
          <w:p w14:paraId="79287533"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5576" w:type="dxa"/>
          </w:tcPr>
          <w:p w14:paraId="20251A0B"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Natural gas production, production cluster position</w:t>
            </w:r>
          </w:p>
        </w:tc>
      </w:tr>
      <w:tr w:rsidR="00517B41" w:rsidRPr="003D03A9" w14:paraId="66FF6C01" w14:textId="77777777" w:rsidTr="0003242E">
        <w:trPr>
          <w:jc w:val="center"/>
        </w:trPr>
        <w:tc>
          <w:tcPr>
            <w:tcW w:w="2515" w:type="dxa"/>
          </w:tcPr>
          <w:p w14:paraId="1A7994A1"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5576" w:type="dxa"/>
          </w:tcPr>
          <w:p w14:paraId="45479A83"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Unknown seismic network configuration prior to 2015</w:t>
            </w:r>
          </w:p>
        </w:tc>
      </w:tr>
    </w:tbl>
    <w:p w14:paraId="6403D251" w14:textId="59918C45" w:rsidR="00517B41" w:rsidRDefault="00517B41" w:rsidP="00517B41">
      <w:pPr>
        <w:rPr>
          <w:rFonts w:ascii="Myriad Pro" w:hAnsi="Myriad Pro"/>
          <w:sz w:val="22"/>
          <w:szCs w:val="22"/>
        </w:rPr>
      </w:pPr>
    </w:p>
    <w:p w14:paraId="7FF9407F" w14:textId="77777777" w:rsidR="00082E71" w:rsidRPr="003D03A9" w:rsidRDefault="00082E71" w:rsidP="00517B41">
      <w:pPr>
        <w:rPr>
          <w:rFonts w:ascii="Myriad Pro" w:hAnsi="Myriad Pro"/>
          <w:sz w:val="22"/>
          <w:szCs w:val="22"/>
        </w:rPr>
      </w:pPr>
    </w:p>
    <w:p w14:paraId="32B9AB3C" w14:textId="586B067D" w:rsidR="00517B41" w:rsidRPr="003D03A9" w:rsidRDefault="00517B41" w:rsidP="003D03A9">
      <w:pPr>
        <w:pStyle w:val="SMHeading"/>
        <w:rPr>
          <w:rFonts w:ascii="Myriad Pro" w:hAnsi="Myriad Pro"/>
          <w:sz w:val="22"/>
          <w:szCs w:val="22"/>
        </w:rPr>
      </w:pPr>
      <w:bookmarkStart w:id="115" w:name="_Toc162436122"/>
      <w:r w:rsidRPr="003D03A9">
        <w:rPr>
          <w:rFonts w:ascii="Myriad Pro" w:hAnsi="Myriad Pro"/>
          <w:sz w:val="22"/>
          <w:szCs w:val="22"/>
        </w:rPr>
        <w:lastRenderedPageBreak/>
        <w:t>Table S</w:t>
      </w:r>
      <w:bookmarkEnd w:id="115"/>
      <w:r w:rsidR="007F7A3C">
        <w:rPr>
          <w:rFonts w:ascii="Myriad Pro" w:hAnsi="Myriad Pro"/>
          <w:sz w:val="22"/>
          <w:szCs w:val="22"/>
        </w:rPr>
        <w:t xml:space="preserve">9 </w:t>
      </w:r>
      <w:r w:rsidRPr="003D03A9">
        <w:rPr>
          <w:rFonts w:ascii="Myriad Pro" w:hAnsi="Myriad Pro"/>
          <w:b w:val="0"/>
          <w:bCs w:val="0"/>
          <w:sz w:val="22"/>
          <w:szCs w:val="22"/>
        </w:rPr>
        <w:t>Information available on the Lacq episode.</w:t>
      </w:r>
    </w:p>
    <w:tbl>
      <w:tblPr>
        <w:tblStyle w:val="TableGrid"/>
        <w:tblW w:w="8203" w:type="dxa"/>
        <w:jc w:val="center"/>
        <w:tblLook w:val="04A0" w:firstRow="1" w:lastRow="0" w:firstColumn="1" w:lastColumn="0" w:noHBand="0" w:noVBand="1"/>
      </w:tblPr>
      <w:tblGrid>
        <w:gridCol w:w="2515"/>
        <w:gridCol w:w="5688"/>
      </w:tblGrid>
      <w:tr w:rsidR="00517B41" w:rsidRPr="003D03A9" w14:paraId="717A2EC6" w14:textId="77777777" w:rsidTr="0003242E">
        <w:trPr>
          <w:jc w:val="center"/>
        </w:trPr>
        <w:tc>
          <w:tcPr>
            <w:tcW w:w="2515" w:type="dxa"/>
          </w:tcPr>
          <w:p w14:paraId="17EAE867"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5688" w:type="dxa"/>
          </w:tcPr>
          <w:p w14:paraId="29E280F6"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Conventional hydrocarbon extraction</w:t>
            </w:r>
          </w:p>
        </w:tc>
      </w:tr>
      <w:tr w:rsidR="00517B41" w:rsidRPr="003D03A9" w14:paraId="5258E8D5" w14:textId="77777777" w:rsidTr="0003242E">
        <w:trPr>
          <w:jc w:val="center"/>
        </w:trPr>
        <w:tc>
          <w:tcPr>
            <w:tcW w:w="2515" w:type="dxa"/>
          </w:tcPr>
          <w:p w14:paraId="77615C79"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5688" w:type="dxa"/>
          </w:tcPr>
          <w:p w14:paraId="6D257DD3" w14:textId="77777777" w:rsidR="00517B41" w:rsidRPr="003D03A9" w:rsidRDefault="00517B41" w:rsidP="0003242E">
            <w:pPr>
              <w:jc w:val="both"/>
              <w:rPr>
                <w:rFonts w:ascii="Myriad Pro" w:hAnsi="Myriad Pro" w:cs="Times New Roman"/>
                <w:sz w:val="22"/>
                <w:lang w:val="el-GR"/>
              </w:rPr>
            </w:pPr>
            <w:r w:rsidRPr="003D03A9">
              <w:rPr>
                <w:rFonts w:ascii="Myriad Pro" w:hAnsi="Myriad Pro" w:cs="Times New Roman"/>
                <w:sz w:val="22"/>
                <w:lang w:val="el-GR"/>
              </w:rPr>
              <w:t>489</w:t>
            </w:r>
          </w:p>
        </w:tc>
      </w:tr>
      <w:tr w:rsidR="00517B41" w:rsidRPr="003D03A9" w14:paraId="566B30D2" w14:textId="77777777" w:rsidTr="0003242E">
        <w:trPr>
          <w:jc w:val="center"/>
        </w:trPr>
        <w:tc>
          <w:tcPr>
            <w:tcW w:w="2515" w:type="dxa"/>
          </w:tcPr>
          <w:p w14:paraId="37E923D9"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5688" w:type="dxa"/>
          </w:tcPr>
          <w:p w14:paraId="061107F7" w14:textId="77777777" w:rsidR="00517B41" w:rsidRPr="003D03A9" w:rsidRDefault="00517B41" w:rsidP="0003242E">
            <w:pPr>
              <w:jc w:val="both"/>
              <w:rPr>
                <w:rFonts w:ascii="Myriad Pro" w:hAnsi="Myriad Pro" w:cs="Times New Roman"/>
                <w:sz w:val="22"/>
                <w:lang w:val="el-GR"/>
              </w:rPr>
            </w:pPr>
            <w:r w:rsidRPr="003D03A9">
              <w:rPr>
                <w:rFonts w:ascii="Myriad Pro" w:hAnsi="Myriad Pro" w:cs="Times New Roman"/>
                <w:sz w:val="22"/>
                <w:lang w:val="el-GR"/>
              </w:rPr>
              <w:t>13</w:t>
            </w:r>
            <w:r w:rsidRPr="003D03A9">
              <w:rPr>
                <w:rFonts w:ascii="Myriad Pro" w:hAnsi="Myriad Pro" w:cs="Times New Roman"/>
                <w:sz w:val="22"/>
              </w:rPr>
              <w:t>/12/19</w:t>
            </w:r>
            <w:r w:rsidRPr="003D03A9">
              <w:rPr>
                <w:rFonts w:ascii="Myriad Pro" w:hAnsi="Myriad Pro" w:cs="Times New Roman"/>
                <w:sz w:val="22"/>
                <w:lang w:val="el-GR"/>
              </w:rPr>
              <w:t>67</w:t>
            </w:r>
            <w:r w:rsidRPr="003D03A9">
              <w:rPr>
                <w:rFonts w:ascii="Myriad Pro" w:hAnsi="Myriad Pro" w:cs="Times New Roman"/>
                <w:sz w:val="22"/>
              </w:rPr>
              <w:t xml:space="preserve"> – </w:t>
            </w:r>
            <w:r w:rsidRPr="003D03A9">
              <w:rPr>
                <w:rFonts w:ascii="Myriad Pro" w:hAnsi="Myriad Pro" w:cs="Times New Roman"/>
                <w:sz w:val="22"/>
                <w:lang w:val="el-GR"/>
              </w:rPr>
              <w:t>11</w:t>
            </w:r>
            <w:r w:rsidRPr="003D03A9">
              <w:rPr>
                <w:rFonts w:ascii="Myriad Pro" w:hAnsi="Myriad Pro" w:cs="Times New Roman"/>
                <w:sz w:val="22"/>
              </w:rPr>
              <w:t>/</w:t>
            </w:r>
            <w:r w:rsidRPr="003D03A9">
              <w:rPr>
                <w:rFonts w:ascii="Myriad Pro" w:hAnsi="Myriad Pro" w:cs="Times New Roman"/>
                <w:sz w:val="22"/>
                <w:lang w:val="el-GR"/>
              </w:rPr>
              <w:t>12/</w:t>
            </w:r>
            <w:r w:rsidRPr="003D03A9">
              <w:rPr>
                <w:rFonts w:ascii="Myriad Pro" w:hAnsi="Myriad Pro" w:cs="Times New Roman"/>
                <w:sz w:val="22"/>
              </w:rPr>
              <w:t>20</w:t>
            </w:r>
            <w:r w:rsidRPr="003D03A9">
              <w:rPr>
                <w:rFonts w:ascii="Myriad Pro" w:hAnsi="Myriad Pro" w:cs="Times New Roman"/>
                <w:sz w:val="22"/>
                <w:lang w:val="el-GR"/>
              </w:rPr>
              <w:t>09</w:t>
            </w:r>
          </w:p>
        </w:tc>
      </w:tr>
      <w:tr w:rsidR="00517B41" w:rsidRPr="003D03A9" w14:paraId="62853F97" w14:textId="77777777" w:rsidTr="0003242E">
        <w:trPr>
          <w:jc w:val="center"/>
        </w:trPr>
        <w:tc>
          <w:tcPr>
            <w:tcW w:w="2515" w:type="dxa"/>
          </w:tcPr>
          <w:p w14:paraId="693CDAED"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Pr="003D03A9">
              <w:rPr>
                <w:rFonts w:ascii="Myriad Pro" w:hAnsi="Myriad Pro" w:cs="Times New Roman"/>
                <w:b/>
                <w:sz w:val="22"/>
                <w:vertAlign w:val="subscript"/>
              </w:rPr>
              <w:t>W</w:t>
            </w:r>
            <w:r w:rsidRPr="003D03A9">
              <w:rPr>
                <w:rFonts w:ascii="Myriad Pro" w:hAnsi="Myriad Pro" w:cs="Times New Roman"/>
                <w:b/>
                <w:sz w:val="22"/>
              </w:rPr>
              <w:t xml:space="preserve"> </w:t>
            </w:r>
          </w:p>
        </w:tc>
        <w:tc>
          <w:tcPr>
            <w:tcW w:w="5688" w:type="dxa"/>
          </w:tcPr>
          <w:p w14:paraId="5EA7B2DA"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lang w:val="el-GR"/>
              </w:rPr>
              <w:t>1.3</w:t>
            </w:r>
            <w:r w:rsidRPr="003D03A9">
              <w:rPr>
                <w:rFonts w:ascii="Myriad Pro" w:hAnsi="Myriad Pro" w:cs="Times New Roman"/>
                <w:sz w:val="22"/>
              </w:rPr>
              <w:t xml:space="preserve"> – 5.2 (0.1 precision)</w:t>
            </w:r>
          </w:p>
        </w:tc>
      </w:tr>
      <w:tr w:rsidR="00517B41" w:rsidRPr="003D03A9" w14:paraId="58D26B96" w14:textId="77777777" w:rsidTr="0003242E">
        <w:trPr>
          <w:jc w:val="center"/>
        </w:trPr>
        <w:tc>
          <w:tcPr>
            <w:tcW w:w="2515" w:type="dxa"/>
          </w:tcPr>
          <w:p w14:paraId="2CE5815D"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5688" w:type="dxa"/>
          </w:tcPr>
          <w:p w14:paraId="7BA089C6"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Network changes with time</w:t>
            </w:r>
          </w:p>
        </w:tc>
      </w:tr>
      <w:tr w:rsidR="00517B41" w:rsidRPr="003D03A9" w14:paraId="4BE93C26" w14:textId="77777777" w:rsidTr="0003242E">
        <w:trPr>
          <w:jc w:val="center"/>
        </w:trPr>
        <w:tc>
          <w:tcPr>
            <w:tcW w:w="2515" w:type="dxa"/>
          </w:tcPr>
          <w:p w14:paraId="1B7640AC"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5688" w:type="dxa"/>
          </w:tcPr>
          <w:p w14:paraId="229BBE88"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Injection volume, Gas field area, natural gas production</w:t>
            </w:r>
          </w:p>
        </w:tc>
      </w:tr>
      <w:tr w:rsidR="00517B41" w:rsidRPr="003D03A9" w14:paraId="675C6C0A" w14:textId="77777777" w:rsidTr="0003242E">
        <w:trPr>
          <w:jc w:val="center"/>
        </w:trPr>
        <w:tc>
          <w:tcPr>
            <w:tcW w:w="2515" w:type="dxa"/>
          </w:tcPr>
          <w:p w14:paraId="4DB5685A"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5688" w:type="dxa"/>
          </w:tcPr>
          <w:p w14:paraId="437129C6"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3L catalog</w:t>
            </w:r>
          </w:p>
        </w:tc>
      </w:tr>
    </w:tbl>
    <w:p w14:paraId="5FA9B70A" w14:textId="77777777" w:rsidR="00517B41" w:rsidRPr="003D03A9" w:rsidRDefault="00517B41" w:rsidP="00517B41">
      <w:pPr>
        <w:pStyle w:val="SMcaption"/>
        <w:jc w:val="both"/>
        <w:rPr>
          <w:rFonts w:ascii="Myriad Pro" w:hAnsi="Myriad Pro"/>
          <w:sz w:val="22"/>
          <w:szCs w:val="22"/>
        </w:rPr>
      </w:pPr>
    </w:p>
    <w:p w14:paraId="558B09CD" w14:textId="101A74CE" w:rsidR="00517B41" w:rsidRPr="003D03A9" w:rsidRDefault="00517B41" w:rsidP="003D03A9">
      <w:pPr>
        <w:pStyle w:val="SMHeading"/>
        <w:rPr>
          <w:rFonts w:ascii="Myriad Pro" w:hAnsi="Myriad Pro"/>
          <w:sz w:val="22"/>
          <w:szCs w:val="22"/>
        </w:rPr>
      </w:pPr>
      <w:bookmarkStart w:id="116" w:name="_Toc162436123"/>
      <w:r w:rsidRPr="003D03A9">
        <w:rPr>
          <w:rFonts w:ascii="Myriad Pro" w:hAnsi="Myriad Pro"/>
          <w:sz w:val="22"/>
          <w:szCs w:val="22"/>
        </w:rPr>
        <w:t>Table S1</w:t>
      </w:r>
      <w:bookmarkEnd w:id="116"/>
      <w:r w:rsidR="007F7A3C">
        <w:rPr>
          <w:rFonts w:ascii="Myriad Pro" w:hAnsi="Myriad Pro"/>
          <w:sz w:val="22"/>
          <w:szCs w:val="22"/>
        </w:rPr>
        <w:t>0</w:t>
      </w:r>
      <w:r w:rsidR="003D03A9" w:rsidRPr="003D03A9">
        <w:rPr>
          <w:rFonts w:ascii="Myriad Pro" w:hAnsi="Myriad Pro"/>
          <w:b w:val="0"/>
          <w:bCs w:val="0"/>
          <w:sz w:val="22"/>
          <w:szCs w:val="22"/>
        </w:rPr>
        <w:t xml:space="preserve"> </w:t>
      </w:r>
      <w:r w:rsidRPr="003D03A9">
        <w:rPr>
          <w:rFonts w:ascii="Myriad Pro" w:hAnsi="Myriad Pro"/>
          <w:b w:val="0"/>
          <w:bCs w:val="0"/>
          <w:sz w:val="22"/>
          <w:szCs w:val="22"/>
        </w:rPr>
        <w:t>Available Information on the Gazli episode.</w:t>
      </w:r>
    </w:p>
    <w:tbl>
      <w:tblPr>
        <w:tblStyle w:val="TableGrid"/>
        <w:tblW w:w="7800" w:type="dxa"/>
        <w:jc w:val="center"/>
        <w:tblLook w:val="04A0" w:firstRow="1" w:lastRow="0" w:firstColumn="1" w:lastColumn="0" w:noHBand="0" w:noVBand="1"/>
      </w:tblPr>
      <w:tblGrid>
        <w:gridCol w:w="2515"/>
        <w:gridCol w:w="5285"/>
      </w:tblGrid>
      <w:tr w:rsidR="00517B41" w:rsidRPr="003D03A9" w14:paraId="4874AE8E" w14:textId="77777777" w:rsidTr="0003242E">
        <w:trPr>
          <w:jc w:val="center"/>
        </w:trPr>
        <w:tc>
          <w:tcPr>
            <w:tcW w:w="2515" w:type="dxa"/>
          </w:tcPr>
          <w:p w14:paraId="5203EACB"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5285" w:type="dxa"/>
          </w:tcPr>
          <w:p w14:paraId="7B535F1C"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Conventional hydrocarbon extraction</w:t>
            </w:r>
          </w:p>
        </w:tc>
      </w:tr>
      <w:tr w:rsidR="00517B41" w:rsidRPr="003D03A9" w14:paraId="40274406" w14:textId="77777777" w:rsidTr="0003242E">
        <w:trPr>
          <w:jc w:val="center"/>
        </w:trPr>
        <w:tc>
          <w:tcPr>
            <w:tcW w:w="2515" w:type="dxa"/>
          </w:tcPr>
          <w:p w14:paraId="3F596151"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5285" w:type="dxa"/>
          </w:tcPr>
          <w:p w14:paraId="62F73132" w14:textId="77777777" w:rsidR="00517B41" w:rsidRPr="003D03A9" w:rsidRDefault="00517B41" w:rsidP="0003242E">
            <w:pPr>
              <w:tabs>
                <w:tab w:val="left" w:pos="877"/>
              </w:tabs>
              <w:jc w:val="both"/>
              <w:rPr>
                <w:rFonts w:ascii="Myriad Pro" w:hAnsi="Myriad Pro" w:cs="Times New Roman"/>
                <w:sz w:val="22"/>
              </w:rPr>
            </w:pPr>
            <w:r w:rsidRPr="003D03A9">
              <w:rPr>
                <w:rFonts w:ascii="Myriad Pro" w:hAnsi="Myriad Pro" w:cs="Times New Roman"/>
                <w:sz w:val="22"/>
                <w:lang w:val="el-GR"/>
              </w:rPr>
              <w:t>4</w:t>
            </w:r>
            <w:r w:rsidRPr="003D03A9">
              <w:rPr>
                <w:rFonts w:ascii="Myriad Pro" w:hAnsi="Myriad Pro" w:cs="Times New Roman"/>
                <w:sz w:val="22"/>
              </w:rPr>
              <w:t>41</w:t>
            </w:r>
          </w:p>
        </w:tc>
      </w:tr>
      <w:tr w:rsidR="00517B41" w:rsidRPr="003D03A9" w14:paraId="0D167092" w14:textId="77777777" w:rsidTr="0003242E">
        <w:trPr>
          <w:jc w:val="center"/>
        </w:trPr>
        <w:tc>
          <w:tcPr>
            <w:tcW w:w="2515" w:type="dxa"/>
          </w:tcPr>
          <w:p w14:paraId="3D69737F"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5285" w:type="dxa"/>
          </w:tcPr>
          <w:p w14:paraId="11809666"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lang w:val="el-GR"/>
              </w:rPr>
              <w:t>1</w:t>
            </w:r>
            <w:r w:rsidRPr="003D03A9">
              <w:rPr>
                <w:rFonts w:ascii="Myriad Pro" w:hAnsi="Myriad Pro" w:cs="Times New Roman"/>
                <w:sz w:val="22"/>
              </w:rPr>
              <w:t>7/05/1991 – 26/06</w:t>
            </w:r>
            <w:r w:rsidRPr="003D03A9">
              <w:rPr>
                <w:rFonts w:ascii="Myriad Pro" w:hAnsi="Myriad Pro" w:cs="Times New Roman"/>
                <w:sz w:val="22"/>
                <w:lang w:val="el-GR"/>
              </w:rPr>
              <w:t>/</w:t>
            </w:r>
            <w:r w:rsidRPr="003D03A9">
              <w:rPr>
                <w:rFonts w:ascii="Myriad Pro" w:hAnsi="Myriad Pro" w:cs="Times New Roman"/>
                <w:sz w:val="22"/>
              </w:rPr>
              <w:t>1991</w:t>
            </w:r>
          </w:p>
        </w:tc>
      </w:tr>
      <w:tr w:rsidR="00517B41" w:rsidRPr="003D03A9" w14:paraId="4ECA354A" w14:textId="77777777" w:rsidTr="0003242E">
        <w:trPr>
          <w:jc w:val="center"/>
        </w:trPr>
        <w:tc>
          <w:tcPr>
            <w:tcW w:w="2515" w:type="dxa"/>
          </w:tcPr>
          <w:p w14:paraId="30E93648"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Pr="003D03A9">
              <w:rPr>
                <w:rFonts w:ascii="Myriad Pro" w:hAnsi="Myriad Pro" w:cs="Times New Roman"/>
                <w:b/>
                <w:sz w:val="22"/>
                <w:vertAlign w:val="subscript"/>
              </w:rPr>
              <w:t>W</w:t>
            </w:r>
            <w:r w:rsidRPr="003D03A9">
              <w:rPr>
                <w:rFonts w:ascii="Myriad Pro" w:hAnsi="Myriad Pro" w:cs="Times New Roman"/>
                <w:b/>
                <w:sz w:val="22"/>
              </w:rPr>
              <w:t xml:space="preserve"> </w:t>
            </w:r>
          </w:p>
        </w:tc>
        <w:tc>
          <w:tcPr>
            <w:tcW w:w="5285" w:type="dxa"/>
          </w:tcPr>
          <w:p w14:paraId="7DD42632"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0.1 – 3.1 (0.1 precision)</w:t>
            </w:r>
          </w:p>
        </w:tc>
      </w:tr>
      <w:tr w:rsidR="00517B41" w:rsidRPr="003D03A9" w14:paraId="3BBA14E0" w14:textId="77777777" w:rsidTr="0003242E">
        <w:trPr>
          <w:jc w:val="center"/>
        </w:trPr>
        <w:tc>
          <w:tcPr>
            <w:tcW w:w="2515" w:type="dxa"/>
          </w:tcPr>
          <w:p w14:paraId="3E6B2BBA"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5285" w:type="dxa"/>
          </w:tcPr>
          <w:p w14:paraId="3079623A"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Stable for the whole period</w:t>
            </w:r>
          </w:p>
        </w:tc>
      </w:tr>
      <w:tr w:rsidR="00517B41" w:rsidRPr="003D03A9" w14:paraId="03E5F0D6" w14:textId="77777777" w:rsidTr="0003242E">
        <w:trPr>
          <w:jc w:val="center"/>
        </w:trPr>
        <w:tc>
          <w:tcPr>
            <w:tcW w:w="2515" w:type="dxa"/>
          </w:tcPr>
          <w:p w14:paraId="6CBFABFD"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5285" w:type="dxa"/>
          </w:tcPr>
          <w:p w14:paraId="10360837"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Injected gas volume, natural gas production, Gazli field area</w:t>
            </w:r>
          </w:p>
        </w:tc>
      </w:tr>
      <w:tr w:rsidR="00517B41" w:rsidRPr="003D03A9" w14:paraId="37FEA226" w14:textId="77777777" w:rsidTr="0003242E">
        <w:trPr>
          <w:jc w:val="center"/>
        </w:trPr>
        <w:tc>
          <w:tcPr>
            <w:tcW w:w="2515" w:type="dxa"/>
          </w:tcPr>
          <w:p w14:paraId="275506D4"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5285" w:type="dxa"/>
          </w:tcPr>
          <w:p w14:paraId="03F3B8A1"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Local catalog, 1L, 3L and 10L catalogs contain few data</w:t>
            </w:r>
          </w:p>
        </w:tc>
      </w:tr>
    </w:tbl>
    <w:p w14:paraId="03FFBD22" w14:textId="36634925" w:rsidR="00517B41" w:rsidRPr="003D03A9" w:rsidRDefault="00517B41" w:rsidP="00517B41">
      <w:pPr>
        <w:rPr>
          <w:rFonts w:ascii="Myriad Pro" w:hAnsi="Myriad Pro"/>
          <w:sz w:val="22"/>
          <w:szCs w:val="22"/>
        </w:rPr>
      </w:pPr>
    </w:p>
    <w:p w14:paraId="0C80DF04" w14:textId="2891FD4A" w:rsidR="00517B41" w:rsidRPr="003D03A9" w:rsidRDefault="00517B41" w:rsidP="003D03A9">
      <w:pPr>
        <w:pStyle w:val="SMHeading"/>
        <w:rPr>
          <w:rFonts w:ascii="Myriad Pro" w:hAnsi="Myriad Pro"/>
          <w:b w:val="0"/>
          <w:bCs w:val="0"/>
          <w:sz w:val="22"/>
          <w:szCs w:val="22"/>
        </w:rPr>
      </w:pPr>
      <w:bookmarkStart w:id="117" w:name="_Toc162436124"/>
      <w:r w:rsidRPr="003D03A9">
        <w:rPr>
          <w:rFonts w:ascii="Myriad Pro" w:hAnsi="Myriad Pro"/>
          <w:sz w:val="22"/>
          <w:szCs w:val="22"/>
        </w:rPr>
        <w:t>Table S1</w:t>
      </w:r>
      <w:bookmarkEnd w:id="117"/>
      <w:r w:rsidR="007F7A3C">
        <w:rPr>
          <w:rFonts w:ascii="Myriad Pro" w:hAnsi="Myriad Pro"/>
          <w:sz w:val="22"/>
          <w:szCs w:val="22"/>
        </w:rPr>
        <w:t>1</w:t>
      </w:r>
      <w:r w:rsidR="003D03A9" w:rsidRPr="003D03A9">
        <w:rPr>
          <w:rFonts w:ascii="Myriad Pro" w:hAnsi="Myriad Pro"/>
          <w:b w:val="0"/>
          <w:bCs w:val="0"/>
          <w:sz w:val="22"/>
          <w:szCs w:val="22"/>
        </w:rPr>
        <w:t xml:space="preserve"> </w:t>
      </w:r>
      <w:r w:rsidRPr="003D03A9">
        <w:rPr>
          <w:rFonts w:ascii="Myriad Pro" w:hAnsi="Myriad Pro"/>
          <w:b w:val="0"/>
          <w:bCs w:val="0"/>
          <w:sz w:val="22"/>
          <w:szCs w:val="22"/>
        </w:rPr>
        <w:t>Information available on the Starfish project episode.</w:t>
      </w:r>
    </w:p>
    <w:tbl>
      <w:tblPr>
        <w:tblStyle w:val="TableGrid"/>
        <w:tblW w:w="7259" w:type="dxa"/>
        <w:jc w:val="center"/>
        <w:tblLook w:val="04A0" w:firstRow="1" w:lastRow="0" w:firstColumn="1" w:lastColumn="0" w:noHBand="0" w:noVBand="1"/>
      </w:tblPr>
      <w:tblGrid>
        <w:gridCol w:w="2515"/>
        <w:gridCol w:w="4744"/>
      </w:tblGrid>
      <w:tr w:rsidR="00517B41" w:rsidRPr="003D03A9" w14:paraId="2A6004BE" w14:textId="77777777" w:rsidTr="0003242E">
        <w:trPr>
          <w:jc w:val="center"/>
        </w:trPr>
        <w:tc>
          <w:tcPr>
            <w:tcW w:w="2515" w:type="dxa"/>
          </w:tcPr>
          <w:p w14:paraId="46F84FEE"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4744" w:type="dxa"/>
          </w:tcPr>
          <w:p w14:paraId="3F1F2F22"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Underground gas storage</w:t>
            </w:r>
          </w:p>
        </w:tc>
      </w:tr>
      <w:tr w:rsidR="00517B41" w:rsidRPr="003D03A9" w14:paraId="2DB4BC58" w14:textId="77777777" w:rsidTr="0003242E">
        <w:trPr>
          <w:jc w:val="center"/>
        </w:trPr>
        <w:tc>
          <w:tcPr>
            <w:tcW w:w="2515" w:type="dxa"/>
          </w:tcPr>
          <w:p w14:paraId="40A2BB40"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4744" w:type="dxa"/>
          </w:tcPr>
          <w:p w14:paraId="3DF65201"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53083</w:t>
            </w:r>
          </w:p>
        </w:tc>
      </w:tr>
      <w:tr w:rsidR="00517B41" w:rsidRPr="003D03A9" w14:paraId="2F63D91B" w14:textId="77777777" w:rsidTr="0003242E">
        <w:trPr>
          <w:jc w:val="center"/>
        </w:trPr>
        <w:tc>
          <w:tcPr>
            <w:tcW w:w="2515" w:type="dxa"/>
          </w:tcPr>
          <w:p w14:paraId="09AA367E"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4744" w:type="dxa"/>
          </w:tcPr>
          <w:p w14:paraId="61F92DED"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09/04/2014 – 25/02/2015</w:t>
            </w:r>
          </w:p>
        </w:tc>
      </w:tr>
      <w:tr w:rsidR="00517B41" w:rsidRPr="003D03A9" w14:paraId="11CA2AC1" w14:textId="77777777" w:rsidTr="0003242E">
        <w:trPr>
          <w:jc w:val="center"/>
        </w:trPr>
        <w:tc>
          <w:tcPr>
            <w:tcW w:w="2515" w:type="dxa"/>
          </w:tcPr>
          <w:p w14:paraId="248CABE4"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Pr="003D03A9">
              <w:rPr>
                <w:rFonts w:ascii="Myriad Pro" w:hAnsi="Myriad Pro" w:cs="Times New Roman"/>
                <w:b/>
                <w:sz w:val="22"/>
                <w:vertAlign w:val="subscript"/>
              </w:rPr>
              <w:t>L</w:t>
            </w:r>
          </w:p>
        </w:tc>
        <w:tc>
          <w:tcPr>
            <w:tcW w:w="4744" w:type="dxa"/>
          </w:tcPr>
          <w:p w14:paraId="43AAFD74"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 xml:space="preserve">-6.0 – -3.0 (0.1 precision) </w:t>
            </w:r>
          </w:p>
        </w:tc>
      </w:tr>
      <w:tr w:rsidR="00517B41" w:rsidRPr="003D03A9" w14:paraId="58D92C1D" w14:textId="77777777" w:rsidTr="0003242E">
        <w:trPr>
          <w:jc w:val="center"/>
        </w:trPr>
        <w:tc>
          <w:tcPr>
            <w:tcW w:w="2515" w:type="dxa"/>
          </w:tcPr>
          <w:p w14:paraId="13D6D8E6"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4744" w:type="dxa"/>
          </w:tcPr>
          <w:p w14:paraId="344BBE88"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 xml:space="preserve">Stable </w:t>
            </w:r>
          </w:p>
        </w:tc>
      </w:tr>
      <w:tr w:rsidR="00517B41" w:rsidRPr="003D03A9" w14:paraId="664160A6" w14:textId="77777777" w:rsidTr="0003242E">
        <w:trPr>
          <w:jc w:val="center"/>
        </w:trPr>
        <w:tc>
          <w:tcPr>
            <w:tcW w:w="2515" w:type="dxa"/>
          </w:tcPr>
          <w:p w14:paraId="1E7E4408"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4744" w:type="dxa"/>
          </w:tcPr>
          <w:p w14:paraId="6D04A52B"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In situ temperatures, in situ temperature stations</w:t>
            </w:r>
          </w:p>
        </w:tc>
      </w:tr>
      <w:tr w:rsidR="00517B41" w:rsidRPr="003D03A9" w14:paraId="3F79BFC6" w14:textId="77777777" w:rsidTr="0003242E">
        <w:trPr>
          <w:jc w:val="center"/>
        </w:trPr>
        <w:tc>
          <w:tcPr>
            <w:tcW w:w="2515" w:type="dxa"/>
          </w:tcPr>
          <w:p w14:paraId="7525AE39"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4744" w:type="dxa"/>
          </w:tcPr>
          <w:p w14:paraId="4199AC74"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w:t>
            </w:r>
          </w:p>
        </w:tc>
      </w:tr>
    </w:tbl>
    <w:p w14:paraId="011A5495" w14:textId="6D4CE999" w:rsidR="00517B41" w:rsidRPr="003D03A9" w:rsidRDefault="00517B41" w:rsidP="00517B41">
      <w:pPr>
        <w:rPr>
          <w:rFonts w:ascii="Myriad Pro" w:hAnsi="Myriad Pro"/>
          <w:sz w:val="22"/>
          <w:szCs w:val="22"/>
        </w:rPr>
      </w:pPr>
    </w:p>
    <w:p w14:paraId="21F0FDFF" w14:textId="64623135" w:rsidR="00517B41" w:rsidRPr="003D03A9" w:rsidRDefault="00517B41" w:rsidP="003D03A9">
      <w:pPr>
        <w:pStyle w:val="SMHeading"/>
        <w:spacing w:before="0"/>
        <w:rPr>
          <w:rFonts w:ascii="Myriad Pro" w:hAnsi="Myriad Pro"/>
          <w:b w:val="0"/>
          <w:sz w:val="22"/>
          <w:szCs w:val="22"/>
        </w:rPr>
      </w:pPr>
      <w:bookmarkStart w:id="118" w:name="_Toc162436125"/>
      <w:r w:rsidRPr="003D03A9">
        <w:rPr>
          <w:rFonts w:ascii="Myriad Pro" w:hAnsi="Myriad Pro"/>
          <w:sz w:val="22"/>
          <w:szCs w:val="22"/>
        </w:rPr>
        <w:t>Table S1</w:t>
      </w:r>
      <w:bookmarkEnd w:id="118"/>
      <w:r w:rsidR="007F7A3C">
        <w:rPr>
          <w:rFonts w:ascii="Myriad Pro" w:hAnsi="Myriad Pro"/>
          <w:sz w:val="22"/>
          <w:szCs w:val="22"/>
        </w:rPr>
        <w:t>2</w:t>
      </w:r>
      <w:r w:rsidR="003D03A9" w:rsidRPr="003D03A9">
        <w:rPr>
          <w:rFonts w:ascii="Myriad Pro" w:hAnsi="Myriad Pro"/>
          <w:b w:val="0"/>
          <w:bCs w:val="0"/>
          <w:sz w:val="22"/>
          <w:szCs w:val="22"/>
        </w:rPr>
        <w:t xml:space="preserve"> </w:t>
      </w:r>
      <w:r w:rsidRPr="003D03A9">
        <w:rPr>
          <w:rFonts w:ascii="Myriad Pro" w:hAnsi="Myriad Pro"/>
          <w:b w:val="0"/>
          <w:bCs w:val="0"/>
          <w:sz w:val="22"/>
          <w:szCs w:val="22"/>
        </w:rPr>
        <w:t>Information available on the Pyhasalmi mine episode.</w:t>
      </w:r>
    </w:p>
    <w:tbl>
      <w:tblPr>
        <w:tblStyle w:val="TableGrid"/>
        <w:tblW w:w="8596" w:type="dxa"/>
        <w:jc w:val="center"/>
        <w:tblLook w:val="04A0" w:firstRow="1" w:lastRow="0" w:firstColumn="1" w:lastColumn="0" w:noHBand="0" w:noVBand="1"/>
      </w:tblPr>
      <w:tblGrid>
        <w:gridCol w:w="2515"/>
        <w:gridCol w:w="6081"/>
      </w:tblGrid>
      <w:tr w:rsidR="00517B41" w:rsidRPr="003D03A9" w14:paraId="35A64345" w14:textId="77777777" w:rsidTr="0003242E">
        <w:trPr>
          <w:jc w:val="center"/>
        </w:trPr>
        <w:tc>
          <w:tcPr>
            <w:tcW w:w="2515" w:type="dxa"/>
          </w:tcPr>
          <w:p w14:paraId="354CD61C"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6081" w:type="dxa"/>
          </w:tcPr>
          <w:p w14:paraId="5FBECC08"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Underground mining</w:t>
            </w:r>
          </w:p>
        </w:tc>
      </w:tr>
      <w:tr w:rsidR="00517B41" w:rsidRPr="003D03A9" w14:paraId="4B35271C" w14:textId="77777777" w:rsidTr="0003242E">
        <w:trPr>
          <w:jc w:val="center"/>
        </w:trPr>
        <w:tc>
          <w:tcPr>
            <w:tcW w:w="2515" w:type="dxa"/>
          </w:tcPr>
          <w:p w14:paraId="466F8B47"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6081" w:type="dxa"/>
          </w:tcPr>
          <w:p w14:paraId="403EFB22"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7059</w:t>
            </w:r>
          </w:p>
        </w:tc>
      </w:tr>
      <w:tr w:rsidR="00517B41" w:rsidRPr="003D03A9" w14:paraId="7C14E993" w14:textId="77777777" w:rsidTr="0003242E">
        <w:trPr>
          <w:jc w:val="center"/>
        </w:trPr>
        <w:tc>
          <w:tcPr>
            <w:tcW w:w="2515" w:type="dxa"/>
          </w:tcPr>
          <w:p w14:paraId="512A3C41"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6081" w:type="dxa"/>
          </w:tcPr>
          <w:p w14:paraId="5C5676B5" w14:textId="77777777" w:rsidR="00517B41" w:rsidRPr="003D03A9" w:rsidRDefault="00517B41" w:rsidP="0003242E">
            <w:pPr>
              <w:pStyle w:val="NormalWeb"/>
              <w:jc w:val="both"/>
              <w:rPr>
                <w:rFonts w:ascii="Myriad Pro" w:hAnsi="Myriad Pro"/>
                <w:sz w:val="22"/>
                <w:szCs w:val="22"/>
              </w:rPr>
            </w:pPr>
            <w:r w:rsidRPr="003D03A9">
              <w:rPr>
                <w:rFonts w:ascii="Myriad Pro" w:eastAsia="Calibri" w:hAnsi="Myriad Pro"/>
                <w:color w:val="000000" w:themeColor="text1"/>
                <w:kern w:val="24"/>
                <w:sz w:val="22"/>
                <w:szCs w:val="22"/>
              </w:rPr>
              <w:t>01/10/2010 – 31/03/2011</w:t>
            </w:r>
          </w:p>
        </w:tc>
      </w:tr>
      <w:tr w:rsidR="00517B41" w:rsidRPr="003D03A9" w14:paraId="74DD21F9" w14:textId="77777777" w:rsidTr="0003242E">
        <w:trPr>
          <w:jc w:val="center"/>
        </w:trPr>
        <w:tc>
          <w:tcPr>
            <w:tcW w:w="2515" w:type="dxa"/>
          </w:tcPr>
          <w:p w14:paraId="495194DA" w14:textId="6A47611C"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00EE3FC9" w:rsidRPr="00EE3FC9">
              <w:rPr>
                <w:rFonts w:ascii="Myriad Pro" w:hAnsi="Myriad Pro" w:cs="Times New Roman"/>
                <w:b/>
                <w:sz w:val="22"/>
                <w:vertAlign w:val="subscript"/>
              </w:rPr>
              <w:t>L</w:t>
            </w:r>
            <w:r w:rsidRPr="003D03A9">
              <w:rPr>
                <w:rFonts w:ascii="Myriad Pro" w:hAnsi="Myriad Pro" w:cs="Times New Roman"/>
                <w:b/>
                <w:sz w:val="22"/>
              </w:rPr>
              <w:t xml:space="preserve"> </w:t>
            </w:r>
          </w:p>
        </w:tc>
        <w:tc>
          <w:tcPr>
            <w:tcW w:w="6081" w:type="dxa"/>
          </w:tcPr>
          <w:p w14:paraId="59C85120" w14:textId="77777777" w:rsidR="00517B41" w:rsidRPr="003D03A9" w:rsidRDefault="00517B41" w:rsidP="0003242E">
            <w:pPr>
              <w:pStyle w:val="NormalWeb"/>
              <w:jc w:val="both"/>
              <w:rPr>
                <w:rFonts w:ascii="Myriad Pro" w:hAnsi="Myriad Pro"/>
                <w:sz w:val="22"/>
                <w:szCs w:val="22"/>
              </w:rPr>
            </w:pPr>
            <w:r w:rsidRPr="003D03A9">
              <w:rPr>
                <w:rFonts w:ascii="Myriad Pro" w:eastAsia="Calibri" w:hAnsi="Myriad Pro"/>
                <w:color w:val="000000" w:themeColor="text1"/>
                <w:kern w:val="24"/>
                <w:sz w:val="22"/>
                <w:szCs w:val="22"/>
              </w:rPr>
              <w:t xml:space="preserve">-2.4 – 2.2 (0.1 precision) </w:t>
            </w:r>
          </w:p>
        </w:tc>
      </w:tr>
      <w:tr w:rsidR="00517B41" w:rsidRPr="003D03A9" w14:paraId="4BB849C4" w14:textId="77777777" w:rsidTr="0003242E">
        <w:trPr>
          <w:jc w:val="center"/>
        </w:trPr>
        <w:tc>
          <w:tcPr>
            <w:tcW w:w="2515" w:type="dxa"/>
          </w:tcPr>
          <w:p w14:paraId="626D3621"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6081" w:type="dxa"/>
          </w:tcPr>
          <w:p w14:paraId="12C286C1"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Stable for the whole period</w:t>
            </w:r>
          </w:p>
        </w:tc>
      </w:tr>
      <w:tr w:rsidR="00517B41" w:rsidRPr="003D03A9" w14:paraId="2CA5BD5C" w14:textId="77777777" w:rsidTr="0003242E">
        <w:trPr>
          <w:jc w:val="center"/>
        </w:trPr>
        <w:tc>
          <w:tcPr>
            <w:tcW w:w="2515" w:type="dxa"/>
          </w:tcPr>
          <w:p w14:paraId="77F2D21F"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6081" w:type="dxa"/>
          </w:tcPr>
          <w:p w14:paraId="3973DB02"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Blasts information, ining polygon advance, mine area, well paths</w:t>
            </w:r>
          </w:p>
        </w:tc>
      </w:tr>
      <w:tr w:rsidR="00517B41" w:rsidRPr="003D03A9" w14:paraId="74C6A498" w14:textId="77777777" w:rsidTr="0003242E">
        <w:trPr>
          <w:jc w:val="center"/>
        </w:trPr>
        <w:tc>
          <w:tcPr>
            <w:tcW w:w="2515" w:type="dxa"/>
          </w:tcPr>
          <w:p w14:paraId="6D5E3FE5"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6081" w:type="dxa"/>
          </w:tcPr>
          <w:p w14:paraId="53C62D59"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Macroevents catalog exists but not used, contains very few data</w:t>
            </w:r>
          </w:p>
        </w:tc>
      </w:tr>
    </w:tbl>
    <w:p w14:paraId="2D0EE8D3" w14:textId="6839090A" w:rsidR="00517B41" w:rsidRPr="003D03A9" w:rsidRDefault="00517B41" w:rsidP="003D03A9">
      <w:pPr>
        <w:pStyle w:val="SMHeading"/>
        <w:rPr>
          <w:rFonts w:ascii="Myriad Pro" w:hAnsi="Myriad Pro"/>
          <w:b w:val="0"/>
          <w:bCs w:val="0"/>
          <w:sz w:val="22"/>
          <w:szCs w:val="22"/>
        </w:rPr>
      </w:pPr>
      <w:bookmarkStart w:id="119" w:name="_Toc162436126"/>
      <w:r w:rsidRPr="003D03A9">
        <w:rPr>
          <w:rFonts w:ascii="Myriad Pro" w:hAnsi="Myriad Pro"/>
          <w:sz w:val="22"/>
          <w:szCs w:val="22"/>
        </w:rPr>
        <w:lastRenderedPageBreak/>
        <w:t>Table S1</w:t>
      </w:r>
      <w:bookmarkEnd w:id="119"/>
      <w:r w:rsidR="007F7A3C">
        <w:rPr>
          <w:rFonts w:ascii="Myriad Pro" w:hAnsi="Myriad Pro"/>
          <w:sz w:val="22"/>
          <w:szCs w:val="22"/>
        </w:rPr>
        <w:t>3</w:t>
      </w:r>
      <w:r w:rsidR="003D03A9" w:rsidRPr="003D03A9">
        <w:rPr>
          <w:rFonts w:ascii="Myriad Pro" w:hAnsi="Myriad Pro"/>
          <w:b w:val="0"/>
          <w:bCs w:val="0"/>
          <w:sz w:val="22"/>
          <w:szCs w:val="22"/>
        </w:rPr>
        <w:t xml:space="preserve"> </w:t>
      </w:r>
      <w:r w:rsidRPr="003D03A9">
        <w:rPr>
          <w:rFonts w:ascii="Myriad Pro" w:hAnsi="Myriad Pro"/>
          <w:b w:val="0"/>
          <w:bCs w:val="0"/>
          <w:sz w:val="22"/>
          <w:szCs w:val="22"/>
        </w:rPr>
        <w:t>Information available on the Gisos - Cerville episode.</w:t>
      </w:r>
    </w:p>
    <w:tbl>
      <w:tblPr>
        <w:tblStyle w:val="TableGrid"/>
        <w:tblW w:w="8110" w:type="dxa"/>
        <w:jc w:val="center"/>
        <w:tblLook w:val="04A0" w:firstRow="1" w:lastRow="0" w:firstColumn="1" w:lastColumn="0" w:noHBand="0" w:noVBand="1"/>
      </w:tblPr>
      <w:tblGrid>
        <w:gridCol w:w="2515"/>
        <w:gridCol w:w="5595"/>
      </w:tblGrid>
      <w:tr w:rsidR="00517B41" w:rsidRPr="003D03A9" w14:paraId="2B8FDC47" w14:textId="77777777" w:rsidTr="0003242E">
        <w:trPr>
          <w:jc w:val="center"/>
        </w:trPr>
        <w:tc>
          <w:tcPr>
            <w:tcW w:w="2515" w:type="dxa"/>
          </w:tcPr>
          <w:p w14:paraId="3006AA3D"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5595" w:type="dxa"/>
          </w:tcPr>
          <w:p w14:paraId="0ABDB9DC"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Underground mining</w:t>
            </w:r>
          </w:p>
        </w:tc>
      </w:tr>
      <w:tr w:rsidR="00517B41" w:rsidRPr="003D03A9" w14:paraId="1DF91271" w14:textId="77777777" w:rsidTr="0003242E">
        <w:trPr>
          <w:jc w:val="center"/>
        </w:trPr>
        <w:tc>
          <w:tcPr>
            <w:tcW w:w="2515" w:type="dxa"/>
          </w:tcPr>
          <w:p w14:paraId="490261D7"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5595" w:type="dxa"/>
          </w:tcPr>
          <w:p w14:paraId="7B704AF8"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22455</w:t>
            </w:r>
          </w:p>
        </w:tc>
      </w:tr>
      <w:tr w:rsidR="00517B41" w:rsidRPr="003D03A9" w14:paraId="2D01F39A" w14:textId="77777777" w:rsidTr="0003242E">
        <w:trPr>
          <w:jc w:val="center"/>
        </w:trPr>
        <w:tc>
          <w:tcPr>
            <w:tcW w:w="2515" w:type="dxa"/>
          </w:tcPr>
          <w:p w14:paraId="774546C0"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5595" w:type="dxa"/>
          </w:tcPr>
          <w:p w14:paraId="37B81B74" w14:textId="77777777" w:rsidR="00517B41" w:rsidRPr="003D03A9" w:rsidRDefault="00517B41" w:rsidP="0003242E">
            <w:pPr>
              <w:pStyle w:val="NormalWeb"/>
              <w:spacing w:line="256" w:lineRule="auto"/>
              <w:jc w:val="both"/>
              <w:rPr>
                <w:rFonts w:ascii="Myriad Pro" w:hAnsi="Myriad Pro"/>
                <w:sz w:val="22"/>
                <w:szCs w:val="22"/>
              </w:rPr>
            </w:pPr>
            <w:r w:rsidRPr="003D03A9">
              <w:rPr>
                <w:rFonts w:ascii="Myriad Pro" w:eastAsia="Calibri" w:hAnsi="Myriad Pro"/>
                <w:color w:val="000000" w:themeColor="text1"/>
                <w:kern w:val="24"/>
                <w:sz w:val="22"/>
                <w:szCs w:val="22"/>
              </w:rPr>
              <w:t>06/03/2008 – 12/09/2009</w:t>
            </w:r>
          </w:p>
        </w:tc>
      </w:tr>
      <w:tr w:rsidR="00517B41" w:rsidRPr="003D03A9" w14:paraId="1BAACB3E" w14:textId="77777777" w:rsidTr="0003242E">
        <w:trPr>
          <w:jc w:val="center"/>
        </w:trPr>
        <w:tc>
          <w:tcPr>
            <w:tcW w:w="2515" w:type="dxa"/>
          </w:tcPr>
          <w:p w14:paraId="3EEB3935"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Pr="003D03A9">
              <w:rPr>
                <w:rFonts w:ascii="Myriad Pro" w:hAnsi="Myriad Pro" w:cs="Times New Roman"/>
                <w:b/>
                <w:sz w:val="22"/>
                <w:vertAlign w:val="subscript"/>
              </w:rPr>
              <w:t>W</w:t>
            </w:r>
            <w:r w:rsidRPr="003D03A9">
              <w:rPr>
                <w:rFonts w:ascii="Myriad Pro" w:hAnsi="Myriad Pro" w:cs="Times New Roman"/>
                <w:b/>
                <w:sz w:val="22"/>
              </w:rPr>
              <w:t xml:space="preserve"> </w:t>
            </w:r>
          </w:p>
        </w:tc>
        <w:tc>
          <w:tcPr>
            <w:tcW w:w="5595" w:type="dxa"/>
          </w:tcPr>
          <w:p w14:paraId="60FE6D0F" w14:textId="77777777" w:rsidR="00517B41" w:rsidRPr="003D03A9" w:rsidRDefault="00517B41" w:rsidP="0003242E">
            <w:pPr>
              <w:pStyle w:val="NormalWeb"/>
              <w:spacing w:line="256" w:lineRule="auto"/>
              <w:jc w:val="both"/>
              <w:rPr>
                <w:rFonts w:ascii="Myriad Pro" w:hAnsi="Myriad Pro"/>
                <w:sz w:val="22"/>
                <w:szCs w:val="22"/>
              </w:rPr>
            </w:pPr>
            <w:r w:rsidRPr="003D03A9">
              <w:rPr>
                <w:rFonts w:ascii="Myriad Pro" w:eastAsia="Calibri" w:hAnsi="Myriad Pro"/>
                <w:color w:val="000000" w:themeColor="text1"/>
                <w:kern w:val="24"/>
                <w:sz w:val="22"/>
                <w:szCs w:val="22"/>
              </w:rPr>
              <w:t xml:space="preserve">-2.9 – 1.4 (0.1 precision) </w:t>
            </w:r>
          </w:p>
        </w:tc>
      </w:tr>
      <w:tr w:rsidR="00517B41" w:rsidRPr="003D03A9" w14:paraId="710EDA91" w14:textId="77777777" w:rsidTr="0003242E">
        <w:trPr>
          <w:jc w:val="center"/>
        </w:trPr>
        <w:tc>
          <w:tcPr>
            <w:tcW w:w="2515" w:type="dxa"/>
          </w:tcPr>
          <w:p w14:paraId="0243C77E"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5595" w:type="dxa"/>
          </w:tcPr>
          <w:p w14:paraId="7D48E890"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Stable for the whole period</w:t>
            </w:r>
          </w:p>
        </w:tc>
      </w:tr>
      <w:tr w:rsidR="00517B41" w:rsidRPr="003D03A9" w14:paraId="013E6137" w14:textId="77777777" w:rsidTr="0003242E">
        <w:trPr>
          <w:jc w:val="center"/>
        </w:trPr>
        <w:tc>
          <w:tcPr>
            <w:tcW w:w="2515" w:type="dxa"/>
          </w:tcPr>
          <w:p w14:paraId="61E3DFFD"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5595" w:type="dxa"/>
          </w:tcPr>
          <w:p w14:paraId="7E14DBBA"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Ground Water Level, Well Positions, Cavity roof level</w:t>
            </w:r>
          </w:p>
        </w:tc>
      </w:tr>
      <w:tr w:rsidR="00517B41" w:rsidRPr="003D03A9" w14:paraId="3FBA4003" w14:textId="77777777" w:rsidTr="0003242E">
        <w:trPr>
          <w:jc w:val="center"/>
        </w:trPr>
        <w:tc>
          <w:tcPr>
            <w:tcW w:w="2515" w:type="dxa"/>
          </w:tcPr>
          <w:p w14:paraId="51242B29"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5595" w:type="dxa"/>
          </w:tcPr>
          <w:p w14:paraId="739895DD"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w:t>
            </w:r>
          </w:p>
        </w:tc>
      </w:tr>
    </w:tbl>
    <w:p w14:paraId="320BF2BD" w14:textId="3D565BD0" w:rsidR="00517B41" w:rsidRPr="003D03A9" w:rsidRDefault="00517B41" w:rsidP="003D03A9">
      <w:pPr>
        <w:pStyle w:val="SMHeading"/>
        <w:rPr>
          <w:rFonts w:ascii="Myriad Pro" w:hAnsi="Myriad Pro"/>
          <w:b w:val="0"/>
          <w:bCs w:val="0"/>
          <w:sz w:val="22"/>
          <w:szCs w:val="22"/>
        </w:rPr>
      </w:pPr>
      <w:bookmarkStart w:id="120" w:name="_Toc162436127"/>
      <w:r w:rsidRPr="003D03A9">
        <w:rPr>
          <w:rFonts w:ascii="Myriad Pro" w:hAnsi="Myriad Pro"/>
          <w:sz w:val="22"/>
          <w:szCs w:val="22"/>
        </w:rPr>
        <w:t>Table S1</w:t>
      </w:r>
      <w:bookmarkEnd w:id="120"/>
      <w:r w:rsidR="007F7A3C">
        <w:rPr>
          <w:rFonts w:ascii="Myriad Pro" w:hAnsi="Myriad Pro"/>
          <w:sz w:val="22"/>
          <w:szCs w:val="22"/>
        </w:rPr>
        <w:t>4</w:t>
      </w:r>
      <w:r w:rsidR="003D03A9">
        <w:rPr>
          <w:rFonts w:ascii="Myriad Pro" w:hAnsi="Myriad Pro"/>
          <w:sz w:val="22"/>
          <w:szCs w:val="22"/>
        </w:rPr>
        <w:t xml:space="preserve"> </w:t>
      </w:r>
      <w:r w:rsidRPr="003D03A9">
        <w:rPr>
          <w:rFonts w:ascii="Myriad Pro" w:hAnsi="Myriad Pro"/>
          <w:b w:val="0"/>
          <w:bCs w:val="0"/>
          <w:sz w:val="22"/>
          <w:szCs w:val="22"/>
        </w:rPr>
        <w:t>Information available on the LGCD episode.</w:t>
      </w:r>
    </w:p>
    <w:tbl>
      <w:tblPr>
        <w:tblStyle w:val="TableGrid"/>
        <w:tblW w:w="6580" w:type="dxa"/>
        <w:jc w:val="center"/>
        <w:tblLook w:val="04A0" w:firstRow="1" w:lastRow="0" w:firstColumn="1" w:lastColumn="0" w:noHBand="0" w:noVBand="1"/>
      </w:tblPr>
      <w:tblGrid>
        <w:gridCol w:w="2515"/>
        <w:gridCol w:w="4065"/>
      </w:tblGrid>
      <w:tr w:rsidR="00517B41" w:rsidRPr="003D03A9" w14:paraId="54E6306E" w14:textId="77777777" w:rsidTr="0003242E">
        <w:trPr>
          <w:jc w:val="center"/>
        </w:trPr>
        <w:tc>
          <w:tcPr>
            <w:tcW w:w="2515" w:type="dxa"/>
          </w:tcPr>
          <w:p w14:paraId="0F6C0AD0"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4065" w:type="dxa"/>
          </w:tcPr>
          <w:p w14:paraId="3EE79259"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Underground mining</w:t>
            </w:r>
          </w:p>
        </w:tc>
      </w:tr>
      <w:tr w:rsidR="00517B41" w:rsidRPr="003D03A9" w14:paraId="31A2041A" w14:textId="77777777" w:rsidTr="0003242E">
        <w:trPr>
          <w:jc w:val="center"/>
        </w:trPr>
        <w:tc>
          <w:tcPr>
            <w:tcW w:w="2515" w:type="dxa"/>
          </w:tcPr>
          <w:p w14:paraId="1DDCCC79"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4065" w:type="dxa"/>
          </w:tcPr>
          <w:p w14:paraId="3A9CEFA3"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6986</w:t>
            </w:r>
          </w:p>
        </w:tc>
      </w:tr>
      <w:tr w:rsidR="00517B41" w:rsidRPr="003D03A9" w14:paraId="4DE4E276" w14:textId="77777777" w:rsidTr="0003242E">
        <w:trPr>
          <w:jc w:val="center"/>
        </w:trPr>
        <w:tc>
          <w:tcPr>
            <w:tcW w:w="2515" w:type="dxa"/>
          </w:tcPr>
          <w:p w14:paraId="2F8422A7"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4065" w:type="dxa"/>
          </w:tcPr>
          <w:p w14:paraId="7B3225E6" w14:textId="77777777" w:rsidR="00517B41" w:rsidRPr="003D03A9" w:rsidRDefault="00517B41" w:rsidP="0003242E">
            <w:pPr>
              <w:pStyle w:val="NormalWeb"/>
              <w:jc w:val="both"/>
              <w:rPr>
                <w:rFonts w:ascii="Myriad Pro" w:hAnsi="Myriad Pro"/>
                <w:sz w:val="22"/>
                <w:szCs w:val="22"/>
              </w:rPr>
            </w:pPr>
            <w:r w:rsidRPr="003D03A9">
              <w:rPr>
                <w:rFonts w:ascii="Myriad Pro" w:eastAsia="Calibri" w:hAnsi="Myriad Pro"/>
                <w:color w:val="000000" w:themeColor="text1"/>
                <w:kern w:val="24"/>
                <w:sz w:val="22"/>
                <w:szCs w:val="22"/>
              </w:rPr>
              <w:t>10/12/2013 – 31/10/2021</w:t>
            </w:r>
          </w:p>
        </w:tc>
      </w:tr>
      <w:tr w:rsidR="00517B41" w:rsidRPr="003D03A9" w14:paraId="7A9F703F" w14:textId="77777777" w:rsidTr="0003242E">
        <w:trPr>
          <w:jc w:val="center"/>
        </w:trPr>
        <w:tc>
          <w:tcPr>
            <w:tcW w:w="2515" w:type="dxa"/>
          </w:tcPr>
          <w:p w14:paraId="60D0B716"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Pr="003D03A9">
              <w:rPr>
                <w:rFonts w:ascii="Myriad Pro" w:hAnsi="Myriad Pro" w:cs="Times New Roman"/>
                <w:b/>
                <w:sz w:val="22"/>
                <w:vertAlign w:val="subscript"/>
              </w:rPr>
              <w:t>W</w:t>
            </w:r>
            <w:r w:rsidRPr="003D03A9">
              <w:rPr>
                <w:rFonts w:ascii="Myriad Pro" w:hAnsi="Myriad Pro" w:cs="Times New Roman"/>
                <w:b/>
                <w:sz w:val="22"/>
              </w:rPr>
              <w:t xml:space="preserve"> </w:t>
            </w:r>
          </w:p>
        </w:tc>
        <w:tc>
          <w:tcPr>
            <w:tcW w:w="4065" w:type="dxa"/>
          </w:tcPr>
          <w:p w14:paraId="420CA840" w14:textId="77777777" w:rsidR="00517B41" w:rsidRPr="003D03A9" w:rsidRDefault="00517B41" w:rsidP="0003242E">
            <w:pPr>
              <w:pStyle w:val="NormalWeb"/>
              <w:jc w:val="both"/>
              <w:rPr>
                <w:rFonts w:ascii="Myriad Pro" w:hAnsi="Myriad Pro"/>
                <w:sz w:val="22"/>
                <w:szCs w:val="22"/>
              </w:rPr>
            </w:pPr>
            <w:r w:rsidRPr="003D03A9">
              <w:rPr>
                <w:rFonts w:ascii="Myriad Pro" w:eastAsia="Calibri" w:hAnsi="Myriad Pro"/>
                <w:color w:val="000000" w:themeColor="text1"/>
                <w:kern w:val="24"/>
                <w:sz w:val="22"/>
                <w:szCs w:val="22"/>
              </w:rPr>
              <w:t xml:space="preserve">0.9 – 4.0 (0.1 precision) </w:t>
            </w:r>
          </w:p>
        </w:tc>
      </w:tr>
      <w:tr w:rsidR="00517B41" w:rsidRPr="003D03A9" w14:paraId="2EAC9920" w14:textId="77777777" w:rsidTr="0003242E">
        <w:trPr>
          <w:jc w:val="center"/>
        </w:trPr>
        <w:tc>
          <w:tcPr>
            <w:tcW w:w="2515" w:type="dxa"/>
          </w:tcPr>
          <w:p w14:paraId="51A20849"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4065" w:type="dxa"/>
          </w:tcPr>
          <w:p w14:paraId="5024CBD5"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Stable after 10/02/2016</w:t>
            </w:r>
          </w:p>
        </w:tc>
      </w:tr>
      <w:tr w:rsidR="00517B41" w:rsidRPr="003D03A9" w14:paraId="392AF944" w14:textId="77777777" w:rsidTr="0003242E">
        <w:trPr>
          <w:jc w:val="center"/>
        </w:trPr>
        <w:tc>
          <w:tcPr>
            <w:tcW w:w="2515" w:type="dxa"/>
          </w:tcPr>
          <w:p w14:paraId="2E7B25EF"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4065" w:type="dxa"/>
          </w:tcPr>
          <w:p w14:paraId="456B1C56"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Mine area</w:t>
            </w:r>
          </w:p>
        </w:tc>
      </w:tr>
      <w:tr w:rsidR="00517B41" w:rsidRPr="003D03A9" w14:paraId="5ACEDCCE" w14:textId="77777777" w:rsidTr="0003242E">
        <w:trPr>
          <w:jc w:val="center"/>
        </w:trPr>
        <w:tc>
          <w:tcPr>
            <w:tcW w:w="2515" w:type="dxa"/>
          </w:tcPr>
          <w:p w14:paraId="40A9805E"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4065" w:type="dxa"/>
          </w:tcPr>
          <w:p w14:paraId="41AE67BF"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Used 5159 earthquakes after 10/02/2016</w:t>
            </w:r>
          </w:p>
        </w:tc>
      </w:tr>
    </w:tbl>
    <w:p w14:paraId="24CF9D3D" w14:textId="0F993AC9" w:rsidR="00517B41" w:rsidRPr="003D03A9" w:rsidRDefault="00517B41" w:rsidP="00517B41">
      <w:pPr>
        <w:rPr>
          <w:rFonts w:ascii="Myriad Pro" w:hAnsi="Myriad Pro"/>
          <w:sz w:val="22"/>
          <w:szCs w:val="22"/>
        </w:rPr>
      </w:pPr>
    </w:p>
    <w:p w14:paraId="051CAE86" w14:textId="4FC39CE3" w:rsidR="00517B41" w:rsidRPr="003D03A9" w:rsidRDefault="00517B41" w:rsidP="003D03A9">
      <w:pPr>
        <w:pStyle w:val="SMHeading"/>
        <w:rPr>
          <w:rFonts w:ascii="Myriad Pro" w:hAnsi="Myriad Pro"/>
          <w:sz w:val="22"/>
          <w:szCs w:val="22"/>
        </w:rPr>
      </w:pPr>
      <w:bookmarkStart w:id="121" w:name="_Toc162436128"/>
      <w:r w:rsidRPr="003D03A9">
        <w:rPr>
          <w:rFonts w:ascii="Myriad Pro" w:hAnsi="Myriad Pro"/>
          <w:sz w:val="22"/>
          <w:szCs w:val="22"/>
        </w:rPr>
        <w:t>Table S1</w:t>
      </w:r>
      <w:bookmarkEnd w:id="121"/>
      <w:r w:rsidR="007F7A3C">
        <w:rPr>
          <w:rFonts w:ascii="Myriad Pro" w:hAnsi="Myriad Pro"/>
          <w:sz w:val="22"/>
          <w:szCs w:val="22"/>
        </w:rPr>
        <w:t>5</w:t>
      </w:r>
      <w:r w:rsidR="003D03A9">
        <w:rPr>
          <w:rFonts w:ascii="Myriad Pro" w:hAnsi="Myriad Pro"/>
          <w:sz w:val="22"/>
          <w:szCs w:val="22"/>
        </w:rPr>
        <w:t xml:space="preserve"> </w:t>
      </w:r>
      <w:r w:rsidRPr="003D03A9">
        <w:rPr>
          <w:rFonts w:ascii="Myriad Pro" w:hAnsi="Myriad Pro"/>
          <w:b w:val="0"/>
          <w:bCs w:val="0"/>
          <w:sz w:val="22"/>
          <w:szCs w:val="22"/>
        </w:rPr>
        <w:t>Available Information on the Vouglans episode.</w:t>
      </w:r>
    </w:p>
    <w:tbl>
      <w:tblPr>
        <w:tblStyle w:val="TableGrid"/>
        <w:tblW w:w="7375" w:type="dxa"/>
        <w:jc w:val="center"/>
        <w:tblLook w:val="04A0" w:firstRow="1" w:lastRow="0" w:firstColumn="1" w:lastColumn="0" w:noHBand="0" w:noVBand="1"/>
      </w:tblPr>
      <w:tblGrid>
        <w:gridCol w:w="1950"/>
        <w:gridCol w:w="5425"/>
      </w:tblGrid>
      <w:tr w:rsidR="00517B41" w:rsidRPr="003D03A9" w14:paraId="0546ECC8" w14:textId="77777777" w:rsidTr="0003242E">
        <w:trPr>
          <w:jc w:val="center"/>
        </w:trPr>
        <w:tc>
          <w:tcPr>
            <w:tcW w:w="1950" w:type="dxa"/>
          </w:tcPr>
          <w:p w14:paraId="385FF6F7" w14:textId="77777777" w:rsidR="00517B41" w:rsidRPr="003D03A9" w:rsidRDefault="00517B41" w:rsidP="0003242E">
            <w:pPr>
              <w:jc w:val="both"/>
              <w:rPr>
                <w:rFonts w:ascii="Myriad Pro" w:hAnsi="Myriad Pro" w:cs="Times New Roman"/>
                <w:b/>
                <w:sz w:val="22"/>
                <w:lang w:val="el-GR"/>
              </w:rPr>
            </w:pPr>
            <w:r w:rsidRPr="003D03A9">
              <w:rPr>
                <w:rFonts w:ascii="Myriad Pro" w:hAnsi="Myriad Pro" w:cs="Times New Roman"/>
                <w:b/>
                <w:sz w:val="22"/>
              </w:rPr>
              <w:t>Type of episode</w:t>
            </w:r>
          </w:p>
        </w:tc>
        <w:tc>
          <w:tcPr>
            <w:tcW w:w="5425" w:type="dxa"/>
          </w:tcPr>
          <w:p w14:paraId="5492229E"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 xml:space="preserve">Reservoir Impoundment </w:t>
            </w:r>
          </w:p>
        </w:tc>
      </w:tr>
      <w:tr w:rsidR="00517B41" w:rsidRPr="003D03A9" w14:paraId="4DB68904" w14:textId="77777777" w:rsidTr="0003242E">
        <w:trPr>
          <w:jc w:val="center"/>
        </w:trPr>
        <w:tc>
          <w:tcPr>
            <w:tcW w:w="1950" w:type="dxa"/>
          </w:tcPr>
          <w:p w14:paraId="0CF65EEB"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5425" w:type="dxa"/>
          </w:tcPr>
          <w:p w14:paraId="62A421EE"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167</w:t>
            </w:r>
          </w:p>
        </w:tc>
      </w:tr>
      <w:tr w:rsidR="00517B41" w:rsidRPr="003D03A9" w14:paraId="71ED2EFC" w14:textId="77777777" w:rsidTr="0003242E">
        <w:trPr>
          <w:jc w:val="center"/>
        </w:trPr>
        <w:tc>
          <w:tcPr>
            <w:tcW w:w="1950" w:type="dxa"/>
          </w:tcPr>
          <w:p w14:paraId="6EB34B52"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5425" w:type="dxa"/>
          </w:tcPr>
          <w:p w14:paraId="6F5D8611" w14:textId="77777777" w:rsidR="00517B41" w:rsidRPr="003D03A9" w:rsidRDefault="00517B41" w:rsidP="0003242E">
            <w:pPr>
              <w:pStyle w:val="NormalWeb"/>
              <w:spacing w:line="256" w:lineRule="auto"/>
              <w:jc w:val="both"/>
              <w:rPr>
                <w:rFonts w:ascii="Myriad Pro" w:hAnsi="Myriad Pro"/>
                <w:sz w:val="22"/>
                <w:szCs w:val="22"/>
              </w:rPr>
            </w:pPr>
            <w:r w:rsidRPr="003D03A9">
              <w:rPr>
                <w:rFonts w:ascii="Myriad Pro" w:eastAsia="Calibri" w:hAnsi="Myriad Pro"/>
                <w:color w:val="000000" w:themeColor="text1"/>
                <w:kern w:val="24"/>
                <w:sz w:val="22"/>
                <w:szCs w:val="22"/>
              </w:rPr>
              <w:t>20/06/1965 – 26/07/2009</w:t>
            </w:r>
          </w:p>
        </w:tc>
      </w:tr>
      <w:tr w:rsidR="00517B41" w:rsidRPr="003D03A9" w14:paraId="0857D270" w14:textId="77777777" w:rsidTr="0003242E">
        <w:trPr>
          <w:jc w:val="center"/>
        </w:trPr>
        <w:tc>
          <w:tcPr>
            <w:tcW w:w="1950" w:type="dxa"/>
          </w:tcPr>
          <w:p w14:paraId="333080A5"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Pr="003D03A9">
              <w:rPr>
                <w:rFonts w:ascii="Myriad Pro" w:hAnsi="Myriad Pro" w:cs="Times New Roman"/>
                <w:b/>
                <w:sz w:val="22"/>
                <w:vertAlign w:val="subscript"/>
              </w:rPr>
              <w:t>W</w:t>
            </w:r>
            <w:r w:rsidRPr="003D03A9">
              <w:rPr>
                <w:rFonts w:ascii="Myriad Pro" w:hAnsi="Myriad Pro" w:cs="Times New Roman"/>
                <w:b/>
                <w:sz w:val="22"/>
              </w:rPr>
              <w:t xml:space="preserve"> </w:t>
            </w:r>
          </w:p>
        </w:tc>
        <w:tc>
          <w:tcPr>
            <w:tcW w:w="5425" w:type="dxa"/>
          </w:tcPr>
          <w:p w14:paraId="66C40099" w14:textId="77777777" w:rsidR="00517B41" w:rsidRPr="003D03A9" w:rsidRDefault="00517B41" w:rsidP="0003242E">
            <w:pPr>
              <w:pStyle w:val="NormalWeb"/>
              <w:spacing w:line="256" w:lineRule="auto"/>
              <w:jc w:val="both"/>
              <w:rPr>
                <w:rFonts w:ascii="Myriad Pro" w:hAnsi="Myriad Pro"/>
                <w:sz w:val="22"/>
                <w:szCs w:val="22"/>
              </w:rPr>
            </w:pPr>
            <w:r w:rsidRPr="003D03A9">
              <w:rPr>
                <w:rFonts w:ascii="Myriad Pro" w:eastAsia="Calibri" w:hAnsi="Myriad Pro"/>
                <w:color w:val="000000" w:themeColor="text1"/>
                <w:kern w:val="24"/>
                <w:sz w:val="22"/>
                <w:szCs w:val="22"/>
              </w:rPr>
              <w:t xml:space="preserve">1.5 – 4.6 (0.1 precision) </w:t>
            </w:r>
          </w:p>
        </w:tc>
      </w:tr>
      <w:tr w:rsidR="00517B41" w:rsidRPr="003D03A9" w14:paraId="66868E84" w14:textId="77777777" w:rsidTr="0003242E">
        <w:trPr>
          <w:jc w:val="center"/>
        </w:trPr>
        <w:tc>
          <w:tcPr>
            <w:tcW w:w="1950" w:type="dxa"/>
          </w:tcPr>
          <w:p w14:paraId="2C30D8E6"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5425" w:type="dxa"/>
          </w:tcPr>
          <w:p w14:paraId="68FDAA99"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No information</w:t>
            </w:r>
          </w:p>
        </w:tc>
      </w:tr>
      <w:tr w:rsidR="00517B41" w:rsidRPr="003D03A9" w14:paraId="26739880" w14:textId="77777777" w:rsidTr="0003242E">
        <w:trPr>
          <w:jc w:val="center"/>
        </w:trPr>
        <w:tc>
          <w:tcPr>
            <w:tcW w:w="1950" w:type="dxa"/>
          </w:tcPr>
          <w:p w14:paraId="53163D1C"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5425" w:type="dxa"/>
          </w:tcPr>
          <w:p w14:paraId="17334F3D"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Reservoir shoreline; Water Height</w:t>
            </w:r>
          </w:p>
        </w:tc>
      </w:tr>
      <w:tr w:rsidR="00517B41" w:rsidRPr="003D03A9" w14:paraId="253D3E4C" w14:textId="77777777" w:rsidTr="0003242E">
        <w:trPr>
          <w:jc w:val="center"/>
        </w:trPr>
        <w:tc>
          <w:tcPr>
            <w:tcW w:w="1950" w:type="dxa"/>
          </w:tcPr>
          <w:p w14:paraId="3BAE28F6"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5425" w:type="dxa"/>
          </w:tcPr>
          <w:p w14:paraId="236643A1"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Catalog refers to earthquakes within a ~50 km radius from reservoir center</w:t>
            </w:r>
          </w:p>
        </w:tc>
      </w:tr>
    </w:tbl>
    <w:p w14:paraId="3FD35B99" w14:textId="0470F92E" w:rsidR="00517B41" w:rsidRPr="003D03A9" w:rsidRDefault="00517B41" w:rsidP="00517B41">
      <w:pPr>
        <w:rPr>
          <w:rFonts w:ascii="Myriad Pro" w:hAnsi="Myriad Pro"/>
          <w:sz w:val="22"/>
          <w:szCs w:val="22"/>
        </w:rPr>
      </w:pPr>
    </w:p>
    <w:p w14:paraId="5406D08D" w14:textId="5D6A744D" w:rsidR="00517B41" w:rsidRPr="003D03A9" w:rsidRDefault="00517B41" w:rsidP="003D03A9">
      <w:pPr>
        <w:pStyle w:val="SMHeading"/>
        <w:rPr>
          <w:rFonts w:ascii="Myriad Pro" w:hAnsi="Myriad Pro"/>
          <w:sz w:val="22"/>
          <w:szCs w:val="22"/>
        </w:rPr>
      </w:pPr>
      <w:bookmarkStart w:id="122" w:name="_Toc162436129"/>
      <w:r w:rsidRPr="003D03A9">
        <w:rPr>
          <w:rFonts w:ascii="Myriad Pro" w:hAnsi="Myriad Pro"/>
          <w:sz w:val="22"/>
          <w:szCs w:val="22"/>
        </w:rPr>
        <w:t>Table S1</w:t>
      </w:r>
      <w:bookmarkEnd w:id="122"/>
      <w:r w:rsidR="007F7A3C">
        <w:rPr>
          <w:rFonts w:ascii="Myriad Pro" w:hAnsi="Myriad Pro"/>
          <w:sz w:val="22"/>
          <w:szCs w:val="22"/>
        </w:rPr>
        <w:t>6</w:t>
      </w:r>
      <w:r w:rsidR="003D03A9">
        <w:rPr>
          <w:rFonts w:ascii="Myriad Pro" w:hAnsi="Myriad Pro"/>
          <w:sz w:val="22"/>
          <w:szCs w:val="22"/>
        </w:rPr>
        <w:t xml:space="preserve"> </w:t>
      </w:r>
      <w:r w:rsidRPr="003D03A9">
        <w:rPr>
          <w:rFonts w:ascii="Myriad Pro" w:hAnsi="Myriad Pro"/>
          <w:b w:val="0"/>
          <w:bCs w:val="0"/>
          <w:sz w:val="22"/>
          <w:szCs w:val="22"/>
        </w:rPr>
        <w:t>Information available on the Val. D’Agri episode.</w:t>
      </w:r>
    </w:p>
    <w:tbl>
      <w:tblPr>
        <w:tblStyle w:val="TableGrid"/>
        <w:tblW w:w="6472" w:type="dxa"/>
        <w:jc w:val="center"/>
        <w:tblLook w:val="04A0" w:firstRow="1" w:lastRow="0" w:firstColumn="1" w:lastColumn="0" w:noHBand="0" w:noVBand="1"/>
      </w:tblPr>
      <w:tblGrid>
        <w:gridCol w:w="1950"/>
        <w:gridCol w:w="4522"/>
      </w:tblGrid>
      <w:tr w:rsidR="00517B41" w:rsidRPr="003D03A9" w14:paraId="788332D3" w14:textId="77777777" w:rsidTr="0003242E">
        <w:trPr>
          <w:jc w:val="center"/>
        </w:trPr>
        <w:tc>
          <w:tcPr>
            <w:tcW w:w="1950" w:type="dxa"/>
          </w:tcPr>
          <w:p w14:paraId="247B8D89"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Type of episode</w:t>
            </w:r>
          </w:p>
        </w:tc>
        <w:tc>
          <w:tcPr>
            <w:tcW w:w="4522" w:type="dxa"/>
          </w:tcPr>
          <w:p w14:paraId="32F19238"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Reservoir Impoundment</w:t>
            </w:r>
          </w:p>
        </w:tc>
      </w:tr>
      <w:tr w:rsidR="00517B41" w:rsidRPr="003D03A9" w14:paraId="47ECF29A" w14:textId="77777777" w:rsidTr="0003242E">
        <w:trPr>
          <w:jc w:val="center"/>
        </w:trPr>
        <w:tc>
          <w:tcPr>
            <w:tcW w:w="1950" w:type="dxa"/>
          </w:tcPr>
          <w:p w14:paraId="5C41C99A"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Num. of events</w:t>
            </w:r>
          </w:p>
        </w:tc>
        <w:tc>
          <w:tcPr>
            <w:tcW w:w="4522" w:type="dxa"/>
          </w:tcPr>
          <w:p w14:paraId="62E00A03"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1620</w:t>
            </w:r>
          </w:p>
        </w:tc>
      </w:tr>
      <w:tr w:rsidR="00517B41" w:rsidRPr="003D03A9" w14:paraId="103D3030" w14:textId="77777777" w:rsidTr="0003242E">
        <w:trPr>
          <w:jc w:val="center"/>
        </w:trPr>
        <w:tc>
          <w:tcPr>
            <w:tcW w:w="1950" w:type="dxa"/>
          </w:tcPr>
          <w:p w14:paraId="6823CBCB"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Time range</w:t>
            </w:r>
          </w:p>
        </w:tc>
        <w:tc>
          <w:tcPr>
            <w:tcW w:w="4522" w:type="dxa"/>
          </w:tcPr>
          <w:p w14:paraId="404E2062"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11/05/2005 – 12/06/2005</w:t>
            </w:r>
          </w:p>
        </w:tc>
      </w:tr>
      <w:tr w:rsidR="00517B41" w:rsidRPr="003D03A9" w14:paraId="0CB6850F" w14:textId="77777777" w:rsidTr="0003242E">
        <w:trPr>
          <w:jc w:val="center"/>
        </w:trPr>
        <w:tc>
          <w:tcPr>
            <w:tcW w:w="1950" w:type="dxa"/>
          </w:tcPr>
          <w:p w14:paraId="166E5A16"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M</w:t>
            </w:r>
            <w:r w:rsidRPr="003D03A9">
              <w:rPr>
                <w:rFonts w:ascii="Myriad Pro" w:hAnsi="Myriad Pro" w:cs="Times New Roman"/>
                <w:b/>
                <w:sz w:val="22"/>
                <w:vertAlign w:val="subscript"/>
              </w:rPr>
              <w:t>L</w:t>
            </w:r>
          </w:p>
        </w:tc>
        <w:tc>
          <w:tcPr>
            <w:tcW w:w="4522" w:type="dxa"/>
          </w:tcPr>
          <w:p w14:paraId="2282BDC2"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-0.3 – 2.7 (0.1 precision)</w:t>
            </w:r>
          </w:p>
        </w:tc>
      </w:tr>
      <w:tr w:rsidR="00517B41" w:rsidRPr="003D03A9" w14:paraId="4C78722E" w14:textId="77777777" w:rsidTr="0003242E">
        <w:trPr>
          <w:jc w:val="center"/>
        </w:trPr>
        <w:tc>
          <w:tcPr>
            <w:tcW w:w="1950" w:type="dxa"/>
          </w:tcPr>
          <w:p w14:paraId="511B5229"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Seism. Network</w:t>
            </w:r>
          </w:p>
        </w:tc>
        <w:tc>
          <w:tcPr>
            <w:tcW w:w="4522" w:type="dxa"/>
          </w:tcPr>
          <w:p w14:paraId="202BD433"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Stable for the whole period</w:t>
            </w:r>
          </w:p>
        </w:tc>
      </w:tr>
      <w:tr w:rsidR="00517B41" w:rsidRPr="003D03A9" w14:paraId="0D778BA4" w14:textId="77777777" w:rsidTr="0003242E">
        <w:trPr>
          <w:jc w:val="center"/>
        </w:trPr>
        <w:tc>
          <w:tcPr>
            <w:tcW w:w="1950" w:type="dxa"/>
          </w:tcPr>
          <w:p w14:paraId="43C13DC1"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Add. Data</w:t>
            </w:r>
          </w:p>
        </w:tc>
        <w:tc>
          <w:tcPr>
            <w:tcW w:w="4522" w:type="dxa"/>
          </w:tcPr>
          <w:p w14:paraId="676AF64B"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Water Level</w:t>
            </w:r>
          </w:p>
        </w:tc>
      </w:tr>
      <w:tr w:rsidR="00517B41" w:rsidRPr="003D03A9" w14:paraId="56D80210" w14:textId="77777777" w:rsidTr="0003242E">
        <w:trPr>
          <w:jc w:val="center"/>
        </w:trPr>
        <w:tc>
          <w:tcPr>
            <w:tcW w:w="1950" w:type="dxa"/>
          </w:tcPr>
          <w:p w14:paraId="3E34D7BD" w14:textId="77777777" w:rsidR="00517B41" w:rsidRPr="003D03A9" w:rsidRDefault="00517B41" w:rsidP="0003242E">
            <w:pPr>
              <w:jc w:val="both"/>
              <w:rPr>
                <w:rFonts w:ascii="Myriad Pro" w:hAnsi="Myriad Pro" w:cs="Times New Roman"/>
                <w:b/>
                <w:sz w:val="22"/>
              </w:rPr>
            </w:pPr>
            <w:r w:rsidRPr="003D03A9">
              <w:rPr>
                <w:rFonts w:ascii="Myriad Pro" w:hAnsi="Myriad Pro" w:cs="Times New Roman"/>
                <w:b/>
                <w:sz w:val="22"/>
              </w:rPr>
              <w:t>Notes</w:t>
            </w:r>
          </w:p>
        </w:tc>
        <w:tc>
          <w:tcPr>
            <w:tcW w:w="4522" w:type="dxa"/>
          </w:tcPr>
          <w:p w14:paraId="0C453A3E" w14:textId="77777777" w:rsidR="00517B41" w:rsidRPr="003D03A9" w:rsidRDefault="00517B41" w:rsidP="0003242E">
            <w:pPr>
              <w:jc w:val="both"/>
              <w:rPr>
                <w:rFonts w:ascii="Myriad Pro" w:hAnsi="Myriad Pro" w:cs="Times New Roman"/>
                <w:sz w:val="22"/>
              </w:rPr>
            </w:pPr>
            <w:r w:rsidRPr="003D03A9">
              <w:rPr>
                <w:rFonts w:ascii="Myriad Pro" w:hAnsi="Myriad Pro" w:cs="Times New Roman"/>
                <w:sz w:val="22"/>
              </w:rPr>
              <w:t>Used 1082 earthquakes SW of the reservoir</w:t>
            </w:r>
          </w:p>
        </w:tc>
      </w:tr>
    </w:tbl>
    <w:p w14:paraId="5A202D36" w14:textId="7D140A1C" w:rsidR="00517B41" w:rsidRPr="003D03A9" w:rsidRDefault="00517B41" w:rsidP="00517B41">
      <w:pPr>
        <w:rPr>
          <w:rFonts w:ascii="Myriad Pro" w:hAnsi="Myriad Pro"/>
          <w:sz w:val="22"/>
          <w:szCs w:val="22"/>
        </w:rPr>
      </w:pPr>
    </w:p>
    <w:p w14:paraId="244CE411" w14:textId="10F56594" w:rsidR="00517B41" w:rsidRPr="003D03A9" w:rsidRDefault="00517B41" w:rsidP="003D03A9">
      <w:pPr>
        <w:pStyle w:val="SMHeading"/>
        <w:rPr>
          <w:rFonts w:ascii="Myriad Pro" w:eastAsia="Calibri" w:hAnsi="Myriad Pro"/>
          <w:sz w:val="22"/>
          <w:szCs w:val="22"/>
        </w:rPr>
      </w:pPr>
      <w:bookmarkStart w:id="123" w:name="_Toc162436130"/>
      <w:r w:rsidRPr="003D03A9">
        <w:rPr>
          <w:rFonts w:ascii="Myriad Pro" w:eastAsia="Calibri" w:hAnsi="Myriad Pro"/>
          <w:sz w:val="22"/>
          <w:szCs w:val="22"/>
        </w:rPr>
        <w:lastRenderedPageBreak/>
        <w:t>Table S</w:t>
      </w:r>
      <w:bookmarkEnd w:id="123"/>
      <w:r w:rsidR="00AA19DA" w:rsidRPr="00AA19DA">
        <w:rPr>
          <w:rFonts w:ascii="Myriad Pro" w:eastAsia="Calibri" w:hAnsi="Myriad Pro"/>
          <w:sz w:val="22"/>
          <w:szCs w:val="22"/>
        </w:rPr>
        <w:t>1</w:t>
      </w:r>
      <w:r w:rsidR="007F7A3C">
        <w:rPr>
          <w:rFonts w:ascii="Myriad Pro" w:eastAsia="Calibri" w:hAnsi="Myriad Pro"/>
          <w:sz w:val="22"/>
          <w:szCs w:val="22"/>
        </w:rPr>
        <w:t>7</w:t>
      </w:r>
      <w:r w:rsidR="003D03A9">
        <w:rPr>
          <w:rFonts w:ascii="Myriad Pro" w:eastAsia="Calibri" w:hAnsi="Myriad Pro"/>
          <w:sz w:val="22"/>
          <w:szCs w:val="22"/>
        </w:rPr>
        <w:t xml:space="preserve"> </w:t>
      </w:r>
      <w:r w:rsidRPr="003D03A9">
        <w:rPr>
          <w:rFonts w:ascii="Myriad Pro" w:eastAsia="Calibri" w:hAnsi="Myriad Pro"/>
          <w:b w:val="0"/>
          <w:bCs w:val="0"/>
          <w:sz w:val="22"/>
          <w:szCs w:val="22"/>
        </w:rPr>
        <w:t>Information available on the Song Tranh Episode.</w:t>
      </w:r>
    </w:p>
    <w:tbl>
      <w:tblPr>
        <w:tblStyle w:val="TableGrid"/>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50"/>
        <w:gridCol w:w="4641"/>
      </w:tblGrid>
      <w:tr w:rsidR="00517B41" w:rsidRPr="003D03A9" w14:paraId="1D35D9B6" w14:textId="77777777" w:rsidTr="0003242E">
        <w:trPr>
          <w:trHeight w:val="300"/>
          <w:jc w:val="center"/>
        </w:trPr>
        <w:tc>
          <w:tcPr>
            <w:tcW w:w="1950" w:type="dxa"/>
            <w:tcMar>
              <w:left w:w="105" w:type="dxa"/>
              <w:right w:w="105" w:type="dxa"/>
            </w:tcMar>
          </w:tcPr>
          <w:p w14:paraId="34D62868" w14:textId="77777777" w:rsidR="00517B41" w:rsidRPr="003D03A9" w:rsidRDefault="00517B41" w:rsidP="0003242E">
            <w:pPr>
              <w:jc w:val="both"/>
              <w:rPr>
                <w:rFonts w:ascii="Myriad Pro" w:eastAsia="Calibri" w:hAnsi="Myriad Pro" w:cs="Times New Roman"/>
                <w:color w:val="000000" w:themeColor="text1"/>
                <w:sz w:val="22"/>
              </w:rPr>
            </w:pPr>
            <w:r w:rsidRPr="003D03A9">
              <w:rPr>
                <w:rFonts w:ascii="Myriad Pro" w:eastAsia="Calibri" w:hAnsi="Myriad Pro" w:cs="Times New Roman"/>
                <w:b/>
                <w:bCs/>
                <w:color w:val="000000" w:themeColor="text1"/>
                <w:sz w:val="22"/>
              </w:rPr>
              <w:t>Type of episode</w:t>
            </w:r>
          </w:p>
        </w:tc>
        <w:tc>
          <w:tcPr>
            <w:tcW w:w="4641" w:type="dxa"/>
            <w:tcMar>
              <w:left w:w="105" w:type="dxa"/>
              <w:right w:w="105" w:type="dxa"/>
            </w:tcMar>
          </w:tcPr>
          <w:p w14:paraId="16D8FB85" w14:textId="77777777" w:rsidR="00517B41" w:rsidRPr="003D03A9" w:rsidRDefault="00517B41" w:rsidP="0003242E">
            <w:pPr>
              <w:jc w:val="both"/>
              <w:rPr>
                <w:rFonts w:ascii="Myriad Pro" w:eastAsia="Calibri" w:hAnsi="Myriad Pro" w:cs="Times New Roman"/>
                <w:color w:val="000000" w:themeColor="text1"/>
                <w:sz w:val="22"/>
              </w:rPr>
            </w:pPr>
            <w:r w:rsidRPr="003D03A9">
              <w:rPr>
                <w:rFonts w:ascii="Myriad Pro" w:eastAsia="Calibri" w:hAnsi="Myriad Pro" w:cs="Times New Roman"/>
                <w:color w:val="000000" w:themeColor="text1"/>
                <w:sz w:val="22"/>
              </w:rPr>
              <w:t>Reservoir Impoundment</w:t>
            </w:r>
          </w:p>
        </w:tc>
      </w:tr>
      <w:tr w:rsidR="00517B41" w:rsidRPr="003D03A9" w14:paraId="17232FB2" w14:textId="77777777" w:rsidTr="0003242E">
        <w:trPr>
          <w:trHeight w:val="300"/>
          <w:jc w:val="center"/>
        </w:trPr>
        <w:tc>
          <w:tcPr>
            <w:tcW w:w="1950" w:type="dxa"/>
            <w:tcMar>
              <w:left w:w="105" w:type="dxa"/>
              <w:right w:w="105" w:type="dxa"/>
            </w:tcMar>
          </w:tcPr>
          <w:p w14:paraId="35EDDE07" w14:textId="77777777" w:rsidR="00517B41" w:rsidRPr="003D03A9" w:rsidRDefault="00517B41" w:rsidP="0003242E">
            <w:pPr>
              <w:jc w:val="both"/>
              <w:rPr>
                <w:rFonts w:ascii="Myriad Pro" w:eastAsia="Calibri" w:hAnsi="Myriad Pro" w:cs="Times New Roman"/>
                <w:color w:val="000000" w:themeColor="text1"/>
                <w:sz w:val="22"/>
              </w:rPr>
            </w:pPr>
            <w:r w:rsidRPr="003D03A9">
              <w:rPr>
                <w:rFonts w:ascii="Myriad Pro" w:eastAsia="Calibri" w:hAnsi="Myriad Pro" w:cs="Times New Roman"/>
                <w:b/>
                <w:bCs/>
                <w:color w:val="000000" w:themeColor="text1"/>
                <w:sz w:val="22"/>
              </w:rPr>
              <w:t>Num. of events</w:t>
            </w:r>
          </w:p>
        </w:tc>
        <w:tc>
          <w:tcPr>
            <w:tcW w:w="4641" w:type="dxa"/>
            <w:tcMar>
              <w:left w:w="105" w:type="dxa"/>
              <w:right w:w="105" w:type="dxa"/>
            </w:tcMar>
          </w:tcPr>
          <w:p w14:paraId="016B9441" w14:textId="77777777" w:rsidR="00517B41" w:rsidRPr="003D03A9" w:rsidRDefault="00517B41" w:rsidP="0003242E">
            <w:pPr>
              <w:jc w:val="both"/>
              <w:rPr>
                <w:rFonts w:ascii="Myriad Pro" w:eastAsia="Calibri" w:hAnsi="Myriad Pro" w:cs="Times New Roman"/>
                <w:color w:val="000000" w:themeColor="text1"/>
                <w:sz w:val="22"/>
              </w:rPr>
            </w:pPr>
            <w:r w:rsidRPr="003D03A9">
              <w:rPr>
                <w:rFonts w:ascii="Myriad Pro" w:eastAsia="Calibri" w:hAnsi="Myriad Pro" w:cs="Times New Roman"/>
                <w:color w:val="000000" w:themeColor="text1"/>
                <w:sz w:val="22"/>
              </w:rPr>
              <w:t>7165</w:t>
            </w:r>
          </w:p>
        </w:tc>
      </w:tr>
      <w:tr w:rsidR="00517B41" w:rsidRPr="003D03A9" w14:paraId="358EEAA3" w14:textId="77777777" w:rsidTr="0003242E">
        <w:trPr>
          <w:trHeight w:val="300"/>
          <w:jc w:val="center"/>
        </w:trPr>
        <w:tc>
          <w:tcPr>
            <w:tcW w:w="1950" w:type="dxa"/>
            <w:tcMar>
              <w:left w:w="105" w:type="dxa"/>
              <w:right w:w="105" w:type="dxa"/>
            </w:tcMar>
          </w:tcPr>
          <w:p w14:paraId="3BE98E57" w14:textId="77777777" w:rsidR="00517B41" w:rsidRPr="003D03A9" w:rsidRDefault="00517B41" w:rsidP="0003242E">
            <w:pPr>
              <w:jc w:val="both"/>
              <w:rPr>
                <w:rFonts w:ascii="Myriad Pro" w:eastAsia="Calibri" w:hAnsi="Myriad Pro" w:cs="Times New Roman"/>
                <w:color w:val="000000" w:themeColor="text1"/>
                <w:sz w:val="22"/>
              </w:rPr>
            </w:pPr>
            <w:r w:rsidRPr="003D03A9">
              <w:rPr>
                <w:rFonts w:ascii="Myriad Pro" w:eastAsia="Calibri" w:hAnsi="Myriad Pro" w:cs="Times New Roman"/>
                <w:b/>
                <w:bCs/>
                <w:color w:val="000000" w:themeColor="text1"/>
                <w:sz w:val="22"/>
              </w:rPr>
              <w:t>Time range</w:t>
            </w:r>
          </w:p>
        </w:tc>
        <w:tc>
          <w:tcPr>
            <w:tcW w:w="4641" w:type="dxa"/>
            <w:tcMar>
              <w:left w:w="105" w:type="dxa"/>
              <w:right w:w="105" w:type="dxa"/>
            </w:tcMar>
          </w:tcPr>
          <w:p w14:paraId="0A067A4F" w14:textId="77777777" w:rsidR="00517B41" w:rsidRPr="003D03A9" w:rsidRDefault="00517B41" w:rsidP="0003242E">
            <w:pPr>
              <w:jc w:val="both"/>
              <w:rPr>
                <w:rFonts w:ascii="Myriad Pro" w:eastAsia="Calibri" w:hAnsi="Myriad Pro" w:cs="Times New Roman"/>
                <w:color w:val="000000" w:themeColor="text1"/>
                <w:sz w:val="22"/>
              </w:rPr>
            </w:pPr>
            <w:r w:rsidRPr="003D03A9">
              <w:rPr>
                <w:rFonts w:ascii="Myriad Pro" w:eastAsia="Calibri" w:hAnsi="Myriad Pro" w:cs="Times New Roman"/>
                <w:color w:val="000000" w:themeColor="text1"/>
                <w:sz w:val="22"/>
              </w:rPr>
              <w:t>24/08/2013 – 02/06/2017</w:t>
            </w:r>
          </w:p>
        </w:tc>
      </w:tr>
      <w:tr w:rsidR="00517B41" w:rsidRPr="003D03A9" w14:paraId="0F9A279E" w14:textId="77777777" w:rsidTr="0003242E">
        <w:trPr>
          <w:trHeight w:val="300"/>
          <w:jc w:val="center"/>
        </w:trPr>
        <w:tc>
          <w:tcPr>
            <w:tcW w:w="1950" w:type="dxa"/>
            <w:tcMar>
              <w:left w:w="105" w:type="dxa"/>
              <w:right w:w="105" w:type="dxa"/>
            </w:tcMar>
          </w:tcPr>
          <w:p w14:paraId="46CC430F" w14:textId="77777777" w:rsidR="00517B41" w:rsidRPr="003D03A9" w:rsidRDefault="00517B41" w:rsidP="0003242E">
            <w:pPr>
              <w:jc w:val="both"/>
              <w:rPr>
                <w:rFonts w:ascii="Myriad Pro" w:eastAsia="Calibri" w:hAnsi="Myriad Pro" w:cs="Times New Roman"/>
                <w:color w:val="000000" w:themeColor="text1"/>
                <w:sz w:val="22"/>
              </w:rPr>
            </w:pPr>
            <w:r w:rsidRPr="003D03A9">
              <w:rPr>
                <w:rFonts w:ascii="Myriad Pro" w:eastAsia="Calibri" w:hAnsi="Myriad Pro" w:cs="Times New Roman"/>
                <w:b/>
                <w:bCs/>
                <w:color w:val="000000" w:themeColor="text1"/>
                <w:sz w:val="22"/>
              </w:rPr>
              <w:t>M</w:t>
            </w:r>
            <w:r w:rsidRPr="003D03A9">
              <w:rPr>
                <w:rFonts w:ascii="Myriad Pro" w:eastAsia="Calibri" w:hAnsi="Myriad Pro" w:cs="Times New Roman"/>
                <w:b/>
                <w:bCs/>
                <w:color w:val="000000" w:themeColor="text1"/>
                <w:sz w:val="22"/>
                <w:vertAlign w:val="subscript"/>
              </w:rPr>
              <w:t>L</w:t>
            </w:r>
          </w:p>
        </w:tc>
        <w:tc>
          <w:tcPr>
            <w:tcW w:w="4641" w:type="dxa"/>
            <w:tcMar>
              <w:left w:w="105" w:type="dxa"/>
              <w:right w:w="105" w:type="dxa"/>
            </w:tcMar>
          </w:tcPr>
          <w:p w14:paraId="25357A1B" w14:textId="77777777" w:rsidR="00517B41" w:rsidRPr="003D03A9" w:rsidRDefault="00517B41" w:rsidP="0003242E">
            <w:pPr>
              <w:jc w:val="both"/>
              <w:rPr>
                <w:rFonts w:ascii="Myriad Pro" w:eastAsia="Calibri" w:hAnsi="Myriad Pro" w:cs="Times New Roman"/>
                <w:color w:val="000000" w:themeColor="text1"/>
                <w:sz w:val="22"/>
              </w:rPr>
            </w:pPr>
            <w:r w:rsidRPr="003D03A9">
              <w:rPr>
                <w:rFonts w:ascii="Myriad Pro" w:eastAsia="Calibri" w:hAnsi="Myriad Pro" w:cs="Times New Roman"/>
                <w:color w:val="000000" w:themeColor="text1"/>
                <w:sz w:val="22"/>
              </w:rPr>
              <w:t>-0.6</w:t>
            </w:r>
            <w:r w:rsidRPr="003D03A9">
              <w:rPr>
                <w:rFonts w:ascii="Myriad Pro" w:eastAsia="Calibri" w:hAnsi="Myriad Pro" w:cs="Times New Roman"/>
                <w:color w:val="000000" w:themeColor="text1"/>
                <w:sz w:val="22"/>
                <w:lang w:val="el-GR"/>
              </w:rPr>
              <w:t xml:space="preserve"> – 3.6</w:t>
            </w:r>
            <w:r w:rsidRPr="003D03A9">
              <w:rPr>
                <w:rFonts w:ascii="Myriad Pro" w:eastAsia="Calibri" w:hAnsi="Myriad Pro" w:cs="Times New Roman"/>
                <w:color w:val="000000" w:themeColor="text1"/>
                <w:sz w:val="22"/>
              </w:rPr>
              <w:t xml:space="preserve"> (0.1 precision)</w:t>
            </w:r>
          </w:p>
        </w:tc>
      </w:tr>
      <w:tr w:rsidR="00517B41" w:rsidRPr="003D03A9" w14:paraId="03B0F674" w14:textId="77777777" w:rsidTr="0003242E">
        <w:trPr>
          <w:trHeight w:val="300"/>
          <w:jc w:val="center"/>
        </w:trPr>
        <w:tc>
          <w:tcPr>
            <w:tcW w:w="1950" w:type="dxa"/>
            <w:tcMar>
              <w:left w:w="105" w:type="dxa"/>
              <w:right w:w="105" w:type="dxa"/>
            </w:tcMar>
          </w:tcPr>
          <w:p w14:paraId="27EE88A7" w14:textId="77777777" w:rsidR="00517B41" w:rsidRPr="003D03A9" w:rsidRDefault="00517B41" w:rsidP="0003242E">
            <w:pPr>
              <w:jc w:val="both"/>
              <w:rPr>
                <w:rFonts w:ascii="Myriad Pro" w:eastAsia="Calibri" w:hAnsi="Myriad Pro" w:cs="Times New Roman"/>
                <w:color w:val="000000" w:themeColor="text1"/>
                <w:sz w:val="22"/>
              </w:rPr>
            </w:pPr>
            <w:r w:rsidRPr="003D03A9">
              <w:rPr>
                <w:rFonts w:ascii="Myriad Pro" w:eastAsia="Calibri" w:hAnsi="Myriad Pro" w:cs="Times New Roman"/>
                <w:b/>
                <w:bCs/>
                <w:color w:val="000000" w:themeColor="text1"/>
                <w:sz w:val="22"/>
              </w:rPr>
              <w:t>Seism. Network</w:t>
            </w:r>
          </w:p>
        </w:tc>
        <w:tc>
          <w:tcPr>
            <w:tcW w:w="4641" w:type="dxa"/>
            <w:tcMar>
              <w:left w:w="105" w:type="dxa"/>
              <w:right w:w="105" w:type="dxa"/>
            </w:tcMar>
          </w:tcPr>
          <w:p w14:paraId="04FD479D" w14:textId="77777777" w:rsidR="00517B41" w:rsidRPr="003D03A9" w:rsidRDefault="00517B41" w:rsidP="0003242E">
            <w:pPr>
              <w:jc w:val="both"/>
              <w:rPr>
                <w:rFonts w:ascii="Myriad Pro" w:eastAsia="Calibri" w:hAnsi="Myriad Pro" w:cs="Times New Roman"/>
                <w:color w:val="000000" w:themeColor="text1"/>
                <w:sz w:val="22"/>
              </w:rPr>
            </w:pPr>
            <w:r w:rsidRPr="003D03A9">
              <w:rPr>
                <w:rFonts w:ascii="Myriad Pro" w:eastAsia="Calibri" w:hAnsi="Myriad Pro" w:cs="Times New Roman"/>
                <w:color w:val="000000" w:themeColor="text1"/>
                <w:sz w:val="22"/>
              </w:rPr>
              <w:t>One station change during the study period</w:t>
            </w:r>
          </w:p>
        </w:tc>
      </w:tr>
      <w:tr w:rsidR="00517B41" w:rsidRPr="003D03A9" w14:paraId="4CFEB667" w14:textId="77777777" w:rsidTr="0003242E">
        <w:trPr>
          <w:trHeight w:val="300"/>
          <w:jc w:val="center"/>
        </w:trPr>
        <w:tc>
          <w:tcPr>
            <w:tcW w:w="1950" w:type="dxa"/>
            <w:tcMar>
              <w:left w:w="105" w:type="dxa"/>
              <w:right w:w="105" w:type="dxa"/>
            </w:tcMar>
          </w:tcPr>
          <w:p w14:paraId="36EB7E42" w14:textId="77777777" w:rsidR="00517B41" w:rsidRPr="003D03A9" w:rsidRDefault="00517B41" w:rsidP="0003242E">
            <w:pPr>
              <w:jc w:val="both"/>
              <w:rPr>
                <w:rFonts w:ascii="Myriad Pro" w:eastAsia="Calibri" w:hAnsi="Myriad Pro" w:cs="Times New Roman"/>
                <w:color w:val="000000" w:themeColor="text1"/>
                <w:sz w:val="22"/>
              </w:rPr>
            </w:pPr>
            <w:r w:rsidRPr="003D03A9">
              <w:rPr>
                <w:rFonts w:ascii="Myriad Pro" w:eastAsia="Calibri" w:hAnsi="Myriad Pro" w:cs="Times New Roman"/>
                <w:b/>
                <w:bCs/>
                <w:color w:val="000000" w:themeColor="text1"/>
                <w:sz w:val="22"/>
              </w:rPr>
              <w:t>Add. Data</w:t>
            </w:r>
          </w:p>
        </w:tc>
        <w:tc>
          <w:tcPr>
            <w:tcW w:w="4641" w:type="dxa"/>
            <w:tcMar>
              <w:left w:w="105" w:type="dxa"/>
              <w:right w:w="105" w:type="dxa"/>
            </w:tcMar>
          </w:tcPr>
          <w:p w14:paraId="035773B6" w14:textId="77777777" w:rsidR="00517B41" w:rsidRPr="003D03A9" w:rsidRDefault="00517B41" w:rsidP="0003242E">
            <w:pPr>
              <w:jc w:val="both"/>
              <w:rPr>
                <w:rFonts w:ascii="Myriad Pro" w:eastAsia="Calibri" w:hAnsi="Myriad Pro" w:cs="Times New Roman"/>
                <w:sz w:val="22"/>
              </w:rPr>
            </w:pPr>
            <w:r w:rsidRPr="003D03A9">
              <w:rPr>
                <w:rFonts w:ascii="Myriad Pro" w:eastAsia="Calibri" w:hAnsi="Myriad Pro" w:cs="Times New Roman"/>
                <w:color w:val="000000" w:themeColor="text1"/>
                <w:sz w:val="22"/>
              </w:rPr>
              <w:t>Water Level, Shoreline</w:t>
            </w:r>
          </w:p>
        </w:tc>
      </w:tr>
      <w:tr w:rsidR="00517B41" w:rsidRPr="003D03A9" w14:paraId="7A5B22FD" w14:textId="77777777" w:rsidTr="0003242E">
        <w:trPr>
          <w:trHeight w:val="300"/>
          <w:jc w:val="center"/>
        </w:trPr>
        <w:tc>
          <w:tcPr>
            <w:tcW w:w="1950" w:type="dxa"/>
            <w:tcMar>
              <w:left w:w="105" w:type="dxa"/>
              <w:right w:w="105" w:type="dxa"/>
            </w:tcMar>
          </w:tcPr>
          <w:p w14:paraId="62A86A7A" w14:textId="77777777" w:rsidR="00517B41" w:rsidRPr="003D03A9" w:rsidRDefault="00517B41" w:rsidP="0003242E">
            <w:pPr>
              <w:jc w:val="both"/>
              <w:rPr>
                <w:rFonts w:ascii="Myriad Pro" w:eastAsia="Calibri" w:hAnsi="Myriad Pro" w:cs="Times New Roman"/>
                <w:color w:val="000000" w:themeColor="text1"/>
                <w:sz w:val="22"/>
              </w:rPr>
            </w:pPr>
            <w:r w:rsidRPr="003D03A9">
              <w:rPr>
                <w:rFonts w:ascii="Myriad Pro" w:eastAsia="Calibri" w:hAnsi="Myriad Pro" w:cs="Times New Roman"/>
                <w:b/>
                <w:bCs/>
                <w:color w:val="000000" w:themeColor="text1"/>
                <w:sz w:val="22"/>
              </w:rPr>
              <w:t>Notes</w:t>
            </w:r>
          </w:p>
        </w:tc>
        <w:tc>
          <w:tcPr>
            <w:tcW w:w="4641" w:type="dxa"/>
            <w:tcMar>
              <w:left w:w="105" w:type="dxa"/>
              <w:right w:w="105" w:type="dxa"/>
            </w:tcMar>
          </w:tcPr>
          <w:p w14:paraId="7209BB16" w14:textId="77777777" w:rsidR="00517B41" w:rsidRPr="003D03A9" w:rsidRDefault="00517B41" w:rsidP="0003242E">
            <w:pPr>
              <w:jc w:val="both"/>
              <w:rPr>
                <w:rFonts w:ascii="Myriad Pro" w:eastAsia="Calibri" w:hAnsi="Myriad Pro" w:cs="Times New Roman"/>
                <w:color w:val="000000" w:themeColor="text1"/>
                <w:sz w:val="22"/>
              </w:rPr>
            </w:pPr>
            <w:r w:rsidRPr="003D03A9">
              <w:rPr>
                <w:rFonts w:ascii="Myriad Pro" w:eastAsia="Calibri" w:hAnsi="Myriad Pro" w:cs="Times New Roman"/>
                <w:color w:val="000000" w:themeColor="text1"/>
                <w:sz w:val="22"/>
              </w:rPr>
              <w:t>-</w:t>
            </w:r>
          </w:p>
        </w:tc>
      </w:tr>
    </w:tbl>
    <w:p w14:paraId="3A0DB8FD" w14:textId="77777777" w:rsidR="00D6438B" w:rsidRPr="003D03A9" w:rsidRDefault="00D6438B" w:rsidP="00517B41">
      <w:pPr>
        <w:rPr>
          <w:rFonts w:ascii="Myriad Pro" w:hAnsi="Myriad Pro"/>
          <w:sz w:val="22"/>
          <w:szCs w:val="22"/>
        </w:rPr>
      </w:pPr>
    </w:p>
    <w:p w14:paraId="7A376E38" w14:textId="050F33C1" w:rsidR="00517B41" w:rsidRPr="003D03A9" w:rsidRDefault="00517B41" w:rsidP="003D03A9">
      <w:pPr>
        <w:pStyle w:val="SMHeading"/>
        <w:rPr>
          <w:rFonts w:ascii="Myriad Pro" w:hAnsi="Myriad Pro"/>
          <w:sz w:val="22"/>
          <w:szCs w:val="22"/>
        </w:rPr>
      </w:pPr>
      <w:bookmarkStart w:id="124" w:name="_Toc162436131"/>
      <w:r w:rsidRPr="003D03A9">
        <w:rPr>
          <w:rFonts w:ascii="Myriad Pro" w:hAnsi="Myriad Pro"/>
          <w:sz w:val="22"/>
          <w:szCs w:val="22"/>
        </w:rPr>
        <w:t>Table S</w:t>
      </w:r>
      <w:bookmarkEnd w:id="124"/>
      <w:r w:rsidR="007F7A3C">
        <w:rPr>
          <w:rFonts w:ascii="Myriad Pro" w:hAnsi="Myriad Pro"/>
          <w:sz w:val="22"/>
          <w:szCs w:val="22"/>
        </w:rPr>
        <w:t>1</w:t>
      </w:r>
      <w:r w:rsidR="00354123">
        <w:rPr>
          <w:rFonts w:ascii="Myriad Pro" w:hAnsi="Myriad Pro"/>
          <w:sz w:val="22"/>
          <w:szCs w:val="22"/>
        </w:rPr>
        <w:t>8</w:t>
      </w:r>
      <w:r w:rsidR="003D03A9">
        <w:rPr>
          <w:rFonts w:ascii="Myriad Pro" w:hAnsi="Myriad Pro"/>
          <w:sz w:val="22"/>
          <w:szCs w:val="22"/>
        </w:rPr>
        <w:t xml:space="preserve"> </w:t>
      </w:r>
      <w:r w:rsidRPr="003D03A9">
        <w:rPr>
          <w:rFonts w:ascii="Myriad Pro" w:hAnsi="Myriad Pro"/>
          <w:sz w:val="22"/>
          <w:szCs w:val="22"/>
        </w:rPr>
        <w:t>Average b–values for the synthetic and real data models presented in 4.2.</w:t>
      </w:r>
    </w:p>
    <w:tbl>
      <w:tblPr>
        <w:tblStyle w:val="TableGrid"/>
        <w:tblW w:w="0" w:type="auto"/>
        <w:jc w:val="center"/>
        <w:tblLook w:val="04A0" w:firstRow="1" w:lastRow="0" w:firstColumn="1" w:lastColumn="0" w:noHBand="0" w:noVBand="1"/>
      </w:tblPr>
      <w:tblGrid>
        <w:gridCol w:w="1165"/>
        <w:gridCol w:w="1097"/>
      </w:tblGrid>
      <w:tr w:rsidR="00517B41" w:rsidRPr="003D03A9" w14:paraId="2798D504" w14:textId="77777777" w:rsidTr="0003242E">
        <w:trPr>
          <w:jc w:val="center"/>
        </w:trPr>
        <w:tc>
          <w:tcPr>
            <w:tcW w:w="1165" w:type="dxa"/>
          </w:tcPr>
          <w:p w14:paraId="3B8C5FCB" w14:textId="77777777" w:rsidR="00517B41" w:rsidRPr="003D03A9" w:rsidRDefault="00517B41" w:rsidP="0003242E">
            <w:pPr>
              <w:jc w:val="center"/>
              <w:rPr>
                <w:rFonts w:ascii="Myriad Pro" w:hAnsi="Myriad Pro" w:cs="Times New Roman"/>
                <w:b/>
                <w:bCs/>
                <w:sz w:val="22"/>
              </w:rPr>
            </w:pPr>
            <w:r w:rsidRPr="003D03A9">
              <w:rPr>
                <w:rFonts w:ascii="Myriad Pro" w:hAnsi="Myriad Pro" w:cs="Times New Roman"/>
                <w:b/>
                <w:bCs/>
                <w:sz w:val="22"/>
              </w:rPr>
              <w:t>Data Set</w:t>
            </w:r>
          </w:p>
        </w:tc>
        <w:tc>
          <w:tcPr>
            <w:tcW w:w="1097" w:type="dxa"/>
          </w:tcPr>
          <w:p w14:paraId="1343B58E" w14:textId="77777777" w:rsidR="00517B41" w:rsidRPr="003D03A9" w:rsidRDefault="00517B41" w:rsidP="0003242E">
            <w:pPr>
              <w:jc w:val="center"/>
              <w:rPr>
                <w:rFonts w:ascii="Myriad Pro" w:hAnsi="Myriad Pro" w:cs="Times New Roman"/>
                <w:b/>
                <w:bCs/>
                <w:sz w:val="22"/>
              </w:rPr>
            </w:pPr>
            <w:r w:rsidRPr="003D03A9">
              <w:rPr>
                <w:rFonts w:ascii="Myriad Pro" w:hAnsi="Myriad Pro" w:cs="Times New Roman"/>
                <w:b/>
                <w:bCs/>
                <w:sz w:val="22"/>
              </w:rPr>
              <w:t>b-value</w:t>
            </w:r>
          </w:p>
        </w:tc>
      </w:tr>
      <w:tr w:rsidR="00517B41" w:rsidRPr="003D03A9" w14:paraId="7A89BB6E" w14:textId="77777777" w:rsidTr="0003242E">
        <w:trPr>
          <w:jc w:val="center"/>
        </w:trPr>
        <w:tc>
          <w:tcPr>
            <w:tcW w:w="1165" w:type="dxa"/>
          </w:tcPr>
          <w:p w14:paraId="2D30B86C" w14:textId="77777777" w:rsidR="00517B41" w:rsidRPr="003D03A9" w:rsidRDefault="00517B41" w:rsidP="0003242E">
            <w:pPr>
              <w:jc w:val="center"/>
              <w:rPr>
                <w:rFonts w:ascii="Myriad Pro" w:hAnsi="Myriad Pro" w:cs="Times New Roman"/>
                <w:sz w:val="22"/>
              </w:rPr>
            </w:pPr>
            <w:r w:rsidRPr="003D03A9">
              <w:rPr>
                <w:rFonts w:ascii="Myriad Pro" w:hAnsi="Myriad Pro" w:cs="Times New Roman"/>
                <w:sz w:val="22"/>
              </w:rPr>
              <w:t>Model 1</w:t>
            </w:r>
          </w:p>
        </w:tc>
        <w:tc>
          <w:tcPr>
            <w:tcW w:w="1097" w:type="dxa"/>
          </w:tcPr>
          <w:p w14:paraId="411FC307" w14:textId="77777777" w:rsidR="00517B41" w:rsidRPr="003D03A9" w:rsidRDefault="00517B41" w:rsidP="0003242E">
            <w:pPr>
              <w:jc w:val="center"/>
              <w:rPr>
                <w:rFonts w:ascii="Myriad Pro" w:hAnsi="Myriad Pro" w:cs="Times New Roman"/>
                <w:sz w:val="22"/>
              </w:rPr>
            </w:pPr>
            <w:r w:rsidRPr="003D03A9">
              <w:rPr>
                <w:rFonts w:ascii="Myriad Pro" w:hAnsi="Myriad Pro" w:cs="Times New Roman"/>
                <w:sz w:val="22"/>
              </w:rPr>
              <w:t>0.86</w:t>
            </w:r>
          </w:p>
        </w:tc>
      </w:tr>
      <w:tr w:rsidR="00517B41" w:rsidRPr="003D03A9" w14:paraId="30D8593E" w14:textId="77777777" w:rsidTr="0003242E">
        <w:trPr>
          <w:jc w:val="center"/>
        </w:trPr>
        <w:tc>
          <w:tcPr>
            <w:tcW w:w="1165" w:type="dxa"/>
          </w:tcPr>
          <w:p w14:paraId="10E86DA4" w14:textId="77777777" w:rsidR="00517B41" w:rsidRPr="003D03A9" w:rsidRDefault="00517B41" w:rsidP="0003242E">
            <w:pPr>
              <w:jc w:val="center"/>
              <w:rPr>
                <w:rFonts w:ascii="Myriad Pro" w:hAnsi="Myriad Pro" w:cs="Times New Roman"/>
                <w:sz w:val="22"/>
              </w:rPr>
            </w:pPr>
            <w:r w:rsidRPr="003D03A9">
              <w:rPr>
                <w:rFonts w:ascii="Myriad Pro" w:hAnsi="Myriad Pro" w:cs="Times New Roman"/>
                <w:sz w:val="22"/>
              </w:rPr>
              <w:t>Model 2</w:t>
            </w:r>
          </w:p>
        </w:tc>
        <w:tc>
          <w:tcPr>
            <w:tcW w:w="1097" w:type="dxa"/>
          </w:tcPr>
          <w:p w14:paraId="3FC2D7AA" w14:textId="77777777" w:rsidR="00517B41" w:rsidRPr="003D03A9" w:rsidRDefault="00517B41" w:rsidP="0003242E">
            <w:pPr>
              <w:jc w:val="center"/>
              <w:rPr>
                <w:rFonts w:ascii="Myriad Pro" w:hAnsi="Myriad Pro" w:cs="Times New Roman"/>
                <w:sz w:val="22"/>
              </w:rPr>
            </w:pPr>
            <w:r w:rsidRPr="003D03A9">
              <w:rPr>
                <w:rFonts w:ascii="Myriad Pro" w:hAnsi="Myriad Pro" w:cs="Times New Roman"/>
                <w:sz w:val="22"/>
              </w:rPr>
              <w:t>0.62</w:t>
            </w:r>
          </w:p>
        </w:tc>
      </w:tr>
      <w:tr w:rsidR="00517B41" w:rsidRPr="003D03A9" w14:paraId="08F4A2CE" w14:textId="77777777" w:rsidTr="0003242E">
        <w:trPr>
          <w:jc w:val="center"/>
        </w:trPr>
        <w:tc>
          <w:tcPr>
            <w:tcW w:w="1165" w:type="dxa"/>
          </w:tcPr>
          <w:p w14:paraId="76E47A1C" w14:textId="77777777" w:rsidR="00517B41" w:rsidRPr="003D03A9" w:rsidRDefault="00517B41" w:rsidP="0003242E">
            <w:pPr>
              <w:jc w:val="center"/>
              <w:rPr>
                <w:rFonts w:ascii="Myriad Pro" w:hAnsi="Myriad Pro" w:cs="Times New Roman"/>
                <w:sz w:val="22"/>
              </w:rPr>
            </w:pPr>
            <w:r w:rsidRPr="003D03A9">
              <w:rPr>
                <w:rFonts w:ascii="Myriad Pro" w:hAnsi="Myriad Pro" w:cs="Times New Roman"/>
                <w:sz w:val="22"/>
              </w:rPr>
              <w:t>SSF04</w:t>
            </w:r>
          </w:p>
        </w:tc>
        <w:tc>
          <w:tcPr>
            <w:tcW w:w="1097" w:type="dxa"/>
          </w:tcPr>
          <w:p w14:paraId="362D752A" w14:textId="77777777" w:rsidR="00517B41" w:rsidRPr="003D03A9" w:rsidRDefault="00517B41" w:rsidP="0003242E">
            <w:pPr>
              <w:jc w:val="center"/>
              <w:rPr>
                <w:rFonts w:ascii="Myriad Pro" w:hAnsi="Myriad Pro" w:cs="Times New Roman"/>
                <w:sz w:val="22"/>
              </w:rPr>
            </w:pPr>
            <w:r w:rsidRPr="003D03A9">
              <w:rPr>
                <w:rFonts w:ascii="Myriad Pro" w:hAnsi="Myriad Pro" w:cs="Times New Roman"/>
                <w:sz w:val="22"/>
              </w:rPr>
              <w:t>0.55</w:t>
            </w:r>
          </w:p>
        </w:tc>
      </w:tr>
    </w:tbl>
    <w:p w14:paraId="2C166472" w14:textId="77777777" w:rsidR="00517B41" w:rsidRDefault="00517B41" w:rsidP="00517B41">
      <w:pPr>
        <w:pStyle w:val="SMcaption"/>
        <w:jc w:val="center"/>
      </w:pPr>
    </w:p>
    <w:p w14:paraId="7F792F84" w14:textId="3D71DC56" w:rsidR="005D0778" w:rsidRDefault="005D0778">
      <w:pPr>
        <w:rPr>
          <w:rFonts w:ascii="Myriad Pro" w:hAnsi="Myriad Pro"/>
          <w:b/>
          <w:i/>
          <w:sz w:val="22"/>
          <w:szCs w:val="22"/>
        </w:rPr>
      </w:pPr>
      <w:r>
        <w:rPr>
          <w:rFonts w:ascii="Myriad Pro" w:hAnsi="Myriad Pro"/>
          <w:b/>
          <w:i/>
          <w:sz w:val="22"/>
          <w:szCs w:val="22"/>
        </w:rPr>
        <w:br w:type="page"/>
      </w:r>
    </w:p>
    <w:p w14:paraId="47482980" w14:textId="259F840D" w:rsidR="00872DC9" w:rsidRDefault="00872DC9" w:rsidP="00872DC9">
      <w:pPr>
        <w:pStyle w:val="SMHeading"/>
      </w:pPr>
      <w:r>
        <w:lastRenderedPageBreak/>
        <w:t>References</w:t>
      </w:r>
    </w:p>
    <w:p w14:paraId="115CA785" w14:textId="77777777" w:rsidR="00BC0133" w:rsidRDefault="00BC0133" w:rsidP="00BC0133"/>
    <w:p w14:paraId="4B179092" w14:textId="24AA626F" w:rsidR="004E5284" w:rsidRPr="00344786" w:rsidRDefault="004E5284"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Anderson, T. W., and D. A. Darling (1954). A Test of Goodness of Fit, </w:t>
      </w:r>
      <w:r w:rsidRPr="00344786">
        <w:rPr>
          <w:rFonts w:asciiTheme="minorHAnsi" w:hAnsiTheme="minorHAnsi" w:cstheme="majorHAnsi"/>
          <w:i/>
          <w:iCs/>
          <w:szCs w:val="24"/>
        </w:rPr>
        <w:t>J Am Stat Assoc</w:t>
      </w:r>
      <w:r w:rsidRPr="00344786">
        <w:rPr>
          <w:rFonts w:asciiTheme="minorHAnsi" w:hAnsiTheme="minorHAnsi" w:cstheme="majorHAnsi"/>
          <w:szCs w:val="24"/>
        </w:rPr>
        <w:t xml:space="preserve"> </w:t>
      </w:r>
      <w:r w:rsidRPr="00344786">
        <w:rPr>
          <w:rFonts w:asciiTheme="minorHAnsi" w:hAnsiTheme="minorHAnsi" w:cstheme="majorHAnsi"/>
          <w:b/>
          <w:bCs/>
          <w:szCs w:val="24"/>
        </w:rPr>
        <w:t>49</w:t>
      </w:r>
      <w:r w:rsidRPr="00344786">
        <w:rPr>
          <w:rFonts w:asciiTheme="minorHAnsi" w:hAnsiTheme="minorHAnsi" w:cstheme="majorHAnsi"/>
          <w:szCs w:val="24"/>
        </w:rPr>
        <w:t>, no. 268, 765, doi: 10.2307/2281537.</w:t>
      </w:r>
    </w:p>
    <w:p w14:paraId="53C432DC" w14:textId="4AC6E3A2" w:rsidR="004A286F" w:rsidRPr="00344786" w:rsidRDefault="009A5CC0"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Baisch, S., R. Voros, R. Weidler, and D. Wyborn (2009). Investigation of Fault Mechanisms during Geothermal Reservoir Stimulation Experiments in the Cooper Basin, Australia, </w:t>
      </w:r>
      <w:r w:rsidRPr="00344786">
        <w:rPr>
          <w:rFonts w:asciiTheme="minorHAnsi" w:hAnsiTheme="minorHAnsi" w:cstheme="majorHAnsi"/>
          <w:i/>
          <w:iCs/>
          <w:szCs w:val="24"/>
        </w:rPr>
        <w:t>Bulletin of the Seismological Society of America</w:t>
      </w:r>
      <w:r w:rsidRPr="00344786">
        <w:rPr>
          <w:rFonts w:asciiTheme="minorHAnsi" w:hAnsiTheme="minorHAnsi" w:cstheme="majorHAnsi"/>
          <w:szCs w:val="24"/>
        </w:rPr>
        <w:t xml:space="preserve"> </w:t>
      </w:r>
      <w:r w:rsidRPr="00344786">
        <w:rPr>
          <w:rFonts w:asciiTheme="minorHAnsi" w:hAnsiTheme="minorHAnsi" w:cstheme="majorHAnsi"/>
          <w:b/>
          <w:bCs/>
          <w:szCs w:val="24"/>
        </w:rPr>
        <w:t>99</w:t>
      </w:r>
      <w:r w:rsidRPr="00344786">
        <w:rPr>
          <w:rFonts w:asciiTheme="minorHAnsi" w:hAnsiTheme="minorHAnsi" w:cstheme="majorHAnsi"/>
          <w:szCs w:val="24"/>
        </w:rPr>
        <w:t>, no. 1, 148–158, doi: 10.1785/0120080055.</w:t>
      </w:r>
    </w:p>
    <w:p w14:paraId="7CB61243" w14:textId="32C3E127" w:rsidR="009C077C" w:rsidRPr="00344786" w:rsidRDefault="009C077C"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Bender, B. (1983). Maximum likelihood estimation of </w:t>
      </w:r>
      <w:r w:rsidRPr="00344786">
        <w:rPr>
          <w:rFonts w:asciiTheme="minorHAnsi" w:hAnsiTheme="minorHAnsi" w:cstheme="majorHAnsi"/>
          <w:i/>
          <w:iCs/>
          <w:szCs w:val="24"/>
        </w:rPr>
        <w:t>b</w:t>
      </w:r>
      <w:r w:rsidRPr="00344786">
        <w:rPr>
          <w:rFonts w:asciiTheme="minorHAnsi" w:hAnsiTheme="minorHAnsi" w:cstheme="majorHAnsi"/>
          <w:szCs w:val="24"/>
        </w:rPr>
        <w:t xml:space="preserve"> values for magnitude grouped data, </w:t>
      </w:r>
      <w:r w:rsidRPr="00344786">
        <w:rPr>
          <w:rFonts w:asciiTheme="minorHAnsi" w:hAnsiTheme="minorHAnsi" w:cstheme="majorHAnsi"/>
          <w:i/>
          <w:iCs/>
          <w:szCs w:val="24"/>
        </w:rPr>
        <w:t>Bulletin of the Seismological Society of America</w:t>
      </w:r>
      <w:r w:rsidRPr="00344786">
        <w:rPr>
          <w:rFonts w:asciiTheme="minorHAnsi" w:hAnsiTheme="minorHAnsi" w:cstheme="majorHAnsi"/>
          <w:szCs w:val="24"/>
        </w:rPr>
        <w:t xml:space="preserve"> </w:t>
      </w:r>
      <w:r w:rsidRPr="00344786">
        <w:rPr>
          <w:rFonts w:asciiTheme="minorHAnsi" w:hAnsiTheme="minorHAnsi" w:cstheme="majorHAnsi"/>
          <w:b/>
          <w:bCs/>
          <w:szCs w:val="24"/>
        </w:rPr>
        <w:t>73</w:t>
      </w:r>
      <w:r w:rsidRPr="00344786">
        <w:rPr>
          <w:rFonts w:asciiTheme="minorHAnsi" w:hAnsiTheme="minorHAnsi" w:cstheme="majorHAnsi"/>
          <w:szCs w:val="24"/>
        </w:rPr>
        <w:t>, no. 3, 831–851, doi: 10.1785/BSSA0730030831.</w:t>
      </w:r>
    </w:p>
    <w:p w14:paraId="3EDC6797" w14:textId="7859CCFD" w:rsidR="00EF4E9A" w:rsidRPr="00344786" w:rsidRDefault="00EF4E9A"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Bossu, R., J. R. Grasso, L. M. Plotnikova, B. Nurtaev, J. Fréchet, and M. Moisy (1996). Complexity of intracontinental seismic faultings: The Gazli, Uzbekistan, sequence, </w:t>
      </w:r>
      <w:r w:rsidRPr="00344786">
        <w:rPr>
          <w:rFonts w:asciiTheme="minorHAnsi" w:hAnsiTheme="minorHAnsi" w:cstheme="majorHAnsi"/>
          <w:i/>
          <w:iCs/>
          <w:szCs w:val="24"/>
        </w:rPr>
        <w:t>Bulletin of the Seismological Society of America</w:t>
      </w:r>
      <w:r w:rsidRPr="00344786">
        <w:rPr>
          <w:rFonts w:asciiTheme="minorHAnsi" w:hAnsiTheme="minorHAnsi" w:cstheme="majorHAnsi"/>
          <w:szCs w:val="24"/>
        </w:rPr>
        <w:t xml:space="preserve"> </w:t>
      </w:r>
      <w:r w:rsidRPr="00344786">
        <w:rPr>
          <w:rFonts w:asciiTheme="minorHAnsi" w:hAnsiTheme="minorHAnsi" w:cstheme="majorHAnsi"/>
          <w:b/>
          <w:bCs/>
          <w:szCs w:val="24"/>
        </w:rPr>
        <w:t>86</w:t>
      </w:r>
      <w:r w:rsidRPr="00344786">
        <w:rPr>
          <w:rFonts w:asciiTheme="minorHAnsi" w:hAnsiTheme="minorHAnsi" w:cstheme="majorHAnsi"/>
          <w:szCs w:val="24"/>
        </w:rPr>
        <w:t>, no. 4, 959–971, doi: 10.1785/BSSA0860040959.</w:t>
      </w:r>
    </w:p>
    <w:p w14:paraId="273129A5" w14:textId="6FE400E3" w:rsidR="009E3132" w:rsidRPr="00344786" w:rsidRDefault="009E3132"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Bourne, S. J., S. J. Oates, J. J. Bommer, B. Dost, J. van Elk, and D. Doornhof (2015). A Monte Carlo Method for Probabilistic Hazard Assessment of Induced Seismicity due to Conventional Natural Gas Production, </w:t>
      </w:r>
      <w:r w:rsidRPr="00344786">
        <w:rPr>
          <w:rFonts w:asciiTheme="minorHAnsi" w:hAnsiTheme="minorHAnsi" w:cstheme="majorHAnsi"/>
          <w:i/>
          <w:iCs/>
          <w:szCs w:val="24"/>
        </w:rPr>
        <w:t>Bulletin of the Seismological Society of America</w:t>
      </w:r>
      <w:r w:rsidRPr="00344786">
        <w:rPr>
          <w:rFonts w:asciiTheme="minorHAnsi" w:hAnsiTheme="minorHAnsi" w:cstheme="majorHAnsi"/>
          <w:szCs w:val="24"/>
        </w:rPr>
        <w:t xml:space="preserve"> </w:t>
      </w:r>
      <w:r w:rsidRPr="00344786">
        <w:rPr>
          <w:rFonts w:asciiTheme="minorHAnsi" w:hAnsiTheme="minorHAnsi" w:cstheme="majorHAnsi"/>
          <w:b/>
          <w:bCs/>
          <w:szCs w:val="24"/>
        </w:rPr>
        <w:t>105</w:t>
      </w:r>
      <w:r w:rsidRPr="00344786">
        <w:rPr>
          <w:rFonts w:asciiTheme="minorHAnsi" w:hAnsiTheme="minorHAnsi" w:cstheme="majorHAnsi"/>
          <w:szCs w:val="24"/>
        </w:rPr>
        <w:t>, no. 3, 1721–1738, doi: 10.1785/0120140302.</w:t>
      </w:r>
    </w:p>
    <w:p w14:paraId="3833FF9C" w14:textId="16DFEA6E" w:rsidR="007059A7" w:rsidRPr="00344786" w:rsidRDefault="007059A7"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Cornet, F. H., J. Helm, H. Poitrenaud, and A. Etchecopar (1997). Seismic and Aseismic Slips Induced by Large-scale Fluid Injections, </w:t>
      </w:r>
      <w:r w:rsidRPr="00344786">
        <w:rPr>
          <w:rFonts w:asciiTheme="minorHAnsi" w:hAnsiTheme="minorHAnsi" w:cstheme="majorHAnsi"/>
          <w:i/>
          <w:iCs/>
          <w:szCs w:val="24"/>
        </w:rPr>
        <w:t>Pure Appl Geophys</w:t>
      </w:r>
      <w:r w:rsidRPr="00344786">
        <w:rPr>
          <w:rFonts w:asciiTheme="minorHAnsi" w:hAnsiTheme="minorHAnsi" w:cstheme="majorHAnsi"/>
          <w:szCs w:val="24"/>
        </w:rPr>
        <w:t xml:space="preserve"> </w:t>
      </w:r>
      <w:r w:rsidRPr="00344786">
        <w:rPr>
          <w:rFonts w:asciiTheme="minorHAnsi" w:hAnsiTheme="minorHAnsi" w:cstheme="majorHAnsi"/>
          <w:b/>
          <w:bCs/>
          <w:szCs w:val="24"/>
        </w:rPr>
        <w:t>150</w:t>
      </w:r>
      <w:r w:rsidRPr="00344786">
        <w:rPr>
          <w:rFonts w:asciiTheme="minorHAnsi" w:hAnsiTheme="minorHAnsi" w:cstheme="majorHAnsi"/>
          <w:szCs w:val="24"/>
        </w:rPr>
        <w:t>, no. 3–4, 563–583, doi: 10.1007/s000240050093.</w:t>
      </w:r>
    </w:p>
    <w:p w14:paraId="405F6DB5" w14:textId="68927A77" w:rsidR="004F3216" w:rsidRPr="00344786" w:rsidRDefault="004F3216"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Diehl, T., T. Kraft, E. Kissling, and S. Wiemer (2017). The induced earthquake sequence related to the St. Gallen deep geothermal project (Switzerland): Fault reactivation and fluid interactions imaged by microseismicity, </w:t>
      </w:r>
      <w:r w:rsidRPr="00344786">
        <w:rPr>
          <w:rFonts w:asciiTheme="minorHAnsi" w:hAnsiTheme="minorHAnsi" w:cstheme="majorHAnsi"/>
          <w:i/>
          <w:iCs/>
          <w:szCs w:val="24"/>
        </w:rPr>
        <w:t>J Geophys Res Solid Earth</w:t>
      </w:r>
      <w:r w:rsidRPr="00344786">
        <w:rPr>
          <w:rFonts w:asciiTheme="minorHAnsi" w:hAnsiTheme="minorHAnsi" w:cstheme="majorHAnsi"/>
          <w:szCs w:val="24"/>
        </w:rPr>
        <w:t xml:space="preserve"> </w:t>
      </w:r>
      <w:r w:rsidRPr="00344786">
        <w:rPr>
          <w:rFonts w:asciiTheme="minorHAnsi" w:hAnsiTheme="minorHAnsi" w:cstheme="majorHAnsi"/>
          <w:b/>
          <w:bCs/>
          <w:szCs w:val="24"/>
        </w:rPr>
        <w:t>122</w:t>
      </w:r>
      <w:r w:rsidRPr="00344786">
        <w:rPr>
          <w:rFonts w:asciiTheme="minorHAnsi" w:hAnsiTheme="minorHAnsi" w:cstheme="majorHAnsi"/>
          <w:szCs w:val="24"/>
        </w:rPr>
        <w:t>, no. 9, 7272–7290, doi: 10.1002/2017JB014473.</w:t>
      </w:r>
    </w:p>
    <w:p w14:paraId="37783E20" w14:textId="77777777" w:rsidR="003F6431" w:rsidRPr="00344786" w:rsidRDefault="003F6431"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Dorbath, L., N. Cuenot, A. Genter, and M. Frogneux (2009). Seismic response of the fractured and faulted granite of Soultz-sous-Forêts (France) to 5 km deep massive water injections, </w:t>
      </w:r>
      <w:r w:rsidRPr="00344786">
        <w:rPr>
          <w:rFonts w:asciiTheme="minorHAnsi" w:hAnsiTheme="minorHAnsi" w:cstheme="majorHAnsi"/>
          <w:i/>
          <w:iCs/>
          <w:szCs w:val="24"/>
        </w:rPr>
        <w:t>Geophys J Int</w:t>
      </w:r>
      <w:r w:rsidRPr="00344786">
        <w:rPr>
          <w:rFonts w:asciiTheme="minorHAnsi" w:hAnsiTheme="minorHAnsi" w:cstheme="majorHAnsi"/>
          <w:szCs w:val="24"/>
        </w:rPr>
        <w:t xml:space="preserve"> </w:t>
      </w:r>
      <w:r w:rsidRPr="00344786">
        <w:rPr>
          <w:rFonts w:asciiTheme="minorHAnsi" w:hAnsiTheme="minorHAnsi" w:cstheme="majorHAnsi"/>
          <w:b/>
          <w:bCs/>
          <w:szCs w:val="24"/>
        </w:rPr>
        <w:t>177</w:t>
      </w:r>
      <w:r w:rsidRPr="00344786">
        <w:rPr>
          <w:rFonts w:asciiTheme="minorHAnsi" w:hAnsiTheme="minorHAnsi" w:cstheme="majorHAnsi"/>
          <w:szCs w:val="24"/>
        </w:rPr>
        <w:t>, no. 2, 653–675, doi: 10.1111/j.1365-246X.2009.04030.x.</w:t>
      </w:r>
    </w:p>
    <w:p w14:paraId="6223F662" w14:textId="3D49E303" w:rsidR="00254169" w:rsidRPr="00344786" w:rsidRDefault="00254169"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lastRenderedPageBreak/>
        <w:t xml:space="preserve">Dost, B., E. Ruigrok, and J. Spetzler (2017). Development of seismicity and probabilistic hazard assessment for the Groningen gas field, </w:t>
      </w:r>
      <w:r w:rsidRPr="00344786">
        <w:rPr>
          <w:rFonts w:asciiTheme="minorHAnsi" w:hAnsiTheme="minorHAnsi" w:cstheme="majorHAnsi"/>
          <w:i/>
          <w:iCs/>
          <w:szCs w:val="24"/>
        </w:rPr>
        <w:t>Netherlands Journal of Geosciences</w:t>
      </w:r>
      <w:r w:rsidRPr="00344786">
        <w:rPr>
          <w:rFonts w:asciiTheme="minorHAnsi" w:hAnsiTheme="minorHAnsi" w:cstheme="majorHAnsi"/>
          <w:szCs w:val="24"/>
        </w:rPr>
        <w:t xml:space="preserve"> </w:t>
      </w:r>
      <w:r w:rsidRPr="00344786">
        <w:rPr>
          <w:rFonts w:asciiTheme="minorHAnsi" w:hAnsiTheme="minorHAnsi" w:cstheme="majorHAnsi"/>
          <w:b/>
          <w:bCs/>
          <w:szCs w:val="24"/>
        </w:rPr>
        <w:t>96</w:t>
      </w:r>
      <w:r w:rsidRPr="00344786">
        <w:rPr>
          <w:rFonts w:asciiTheme="minorHAnsi" w:hAnsiTheme="minorHAnsi" w:cstheme="majorHAnsi"/>
          <w:szCs w:val="24"/>
        </w:rPr>
        <w:t>, no. 5, s235–s245, doi: 10.1017/njg.2017.20.</w:t>
      </w:r>
    </w:p>
    <w:p w14:paraId="7237C546" w14:textId="23BBB997" w:rsidR="00E41C67" w:rsidRPr="00344786" w:rsidRDefault="001821A6"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Eaton, D. W., J. Davidsen, P. K. Pedersen, and N. Boroumand (2014). Breakdown of the Gutenberg-Richter relation for microearthquakes induced by hydraulic fracturing: Influence of stratabound fractures, </w:t>
      </w:r>
      <w:r w:rsidRPr="00344786">
        <w:rPr>
          <w:rFonts w:asciiTheme="minorHAnsi" w:hAnsiTheme="minorHAnsi" w:cstheme="majorHAnsi"/>
          <w:i/>
          <w:iCs/>
          <w:szCs w:val="24"/>
        </w:rPr>
        <w:t>Geophys Prospect</w:t>
      </w:r>
      <w:r w:rsidRPr="00344786">
        <w:rPr>
          <w:rFonts w:asciiTheme="minorHAnsi" w:hAnsiTheme="minorHAnsi" w:cstheme="majorHAnsi"/>
          <w:szCs w:val="24"/>
        </w:rPr>
        <w:t xml:space="preserve"> </w:t>
      </w:r>
      <w:r w:rsidRPr="00344786">
        <w:rPr>
          <w:rFonts w:asciiTheme="minorHAnsi" w:hAnsiTheme="minorHAnsi" w:cstheme="majorHAnsi"/>
          <w:b/>
          <w:bCs/>
          <w:szCs w:val="24"/>
        </w:rPr>
        <w:t>62</w:t>
      </w:r>
      <w:r w:rsidRPr="00344786">
        <w:rPr>
          <w:rFonts w:asciiTheme="minorHAnsi" w:hAnsiTheme="minorHAnsi" w:cstheme="majorHAnsi"/>
          <w:szCs w:val="24"/>
        </w:rPr>
        <w:t>, no. 4, 806–818, doi: 10.1111/1365-2478.12128.</w:t>
      </w:r>
    </w:p>
    <w:p w14:paraId="690648A6" w14:textId="4330C5A5" w:rsidR="00EB6C7A" w:rsidRPr="00344786" w:rsidRDefault="00EB6C7A"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Efron, B., &amp; Tibshirani, R. J., An Introduction to the Bootstrap. New York: Chapman and Hall (1998).</w:t>
      </w:r>
    </w:p>
    <w:p w14:paraId="5B9C49A6" w14:textId="5D005E8A" w:rsidR="00E41C67" w:rsidRPr="00E41C67" w:rsidRDefault="00E41C67" w:rsidP="00344786">
      <w:pPr>
        <w:autoSpaceDE w:val="0"/>
        <w:autoSpaceDN w:val="0"/>
        <w:spacing w:line="360" w:lineRule="auto"/>
        <w:ind w:left="450" w:hanging="450"/>
        <w:jc w:val="both"/>
        <w:rPr>
          <w:rFonts w:asciiTheme="minorHAnsi" w:hAnsiTheme="minorHAnsi" w:cstheme="majorHAnsi"/>
          <w:szCs w:val="24"/>
        </w:rPr>
      </w:pPr>
      <w:r w:rsidRPr="00E41C67">
        <w:rPr>
          <w:rFonts w:asciiTheme="minorHAnsi" w:hAnsiTheme="minorHAnsi" w:cstheme="majorHAnsi"/>
          <w:szCs w:val="24"/>
        </w:rPr>
        <w:t xml:space="preserve">Engmann, S. &amp; Cousineau, D. Comparing distributions: the two-sample Anderson-Darling test as an alternative to the Kolmogorov-Smirnov test. </w:t>
      </w:r>
      <w:r w:rsidRPr="00E41C67">
        <w:rPr>
          <w:rFonts w:asciiTheme="minorHAnsi" w:hAnsiTheme="minorHAnsi" w:cstheme="majorHAnsi"/>
          <w:i/>
          <w:iCs/>
          <w:szCs w:val="24"/>
        </w:rPr>
        <w:t>Journal of Applied Quantitative Methods</w:t>
      </w:r>
      <w:r w:rsidRPr="00E41C67">
        <w:rPr>
          <w:rFonts w:asciiTheme="minorHAnsi" w:hAnsiTheme="minorHAnsi" w:cstheme="majorHAnsi"/>
          <w:szCs w:val="24"/>
        </w:rPr>
        <w:t xml:space="preserve"> </w:t>
      </w:r>
      <w:r w:rsidRPr="00E41C67">
        <w:rPr>
          <w:rFonts w:asciiTheme="minorHAnsi" w:hAnsiTheme="minorHAnsi" w:cstheme="majorHAnsi"/>
          <w:b/>
          <w:bCs/>
          <w:szCs w:val="24"/>
        </w:rPr>
        <w:t>6</w:t>
      </w:r>
      <w:r w:rsidRPr="00E41C67">
        <w:rPr>
          <w:rFonts w:asciiTheme="minorHAnsi" w:hAnsiTheme="minorHAnsi" w:cstheme="majorHAnsi"/>
          <w:szCs w:val="24"/>
        </w:rPr>
        <w:t>, 1–17 (2011).</w:t>
      </w:r>
    </w:p>
    <w:p w14:paraId="1B33AD33" w14:textId="3CEF0D1B" w:rsidR="00CA28E1" w:rsidRPr="00DB093E" w:rsidRDefault="00CA28E1"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EOST &amp; GEIE EMC. (2018a). Episode: 2004 stimulation Soultz-sous-Forêts [Collection]. </w:t>
      </w:r>
      <w:r w:rsidRPr="00DB093E">
        <w:rPr>
          <w:rFonts w:asciiTheme="minorHAnsi" w:hAnsiTheme="minorHAnsi" w:cstheme="majorHAnsi"/>
          <w:szCs w:val="24"/>
        </w:rPr>
        <w:t>EOST - CDGP.</w:t>
      </w:r>
      <w:r w:rsidR="00083BBB">
        <w:t xml:space="preserve"> </w:t>
      </w:r>
      <w:hyperlink r:id="rId104" w:history="1">
        <w:r w:rsidR="00083BBB" w:rsidRPr="00DA242A">
          <w:rPr>
            <w:rStyle w:val="Hyperlink"/>
          </w:rPr>
          <w:t>https://doi.org/10.25577/SSFS2004</w:t>
        </w:r>
      </w:hyperlink>
      <w:r w:rsidR="00083BBB">
        <w:t xml:space="preserve"> </w:t>
      </w:r>
    </w:p>
    <w:p w14:paraId="0F16FF25" w14:textId="7F492AB9" w:rsidR="00CA28E1" w:rsidRPr="00344786" w:rsidRDefault="00CA28E1" w:rsidP="00344786">
      <w:pPr>
        <w:autoSpaceDE w:val="0"/>
        <w:autoSpaceDN w:val="0"/>
        <w:spacing w:line="360" w:lineRule="auto"/>
        <w:ind w:left="450" w:hanging="450"/>
        <w:jc w:val="both"/>
        <w:rPr>
          <w:rFonts w:asciiTheme="minorHAnsi" w:hAnsiTheme="minorHAnsi" w:cstheme="majorHAnsi"/>
          <w:iCs/>
          <w:szCs w:val="24"/>
        </w:rPr>
      </w:pPr>
      <w:r w:rsidRPr="00DB093E">
        <w:rPr>
          <w:rFonts w:asciiTheme="minorHAnsi" w:hAnsiTheme="minorHAnsi" w:cstheme="majorHAnsi"/>
          <w:iCs/>
          <w:szCs w:val="24"/>
        </w:rPr>
        <w:t xml:space="preserve">EOST &amp; GEIE EMC. (2018c). </w:t>
      </w:r>
      <w:r w:rsidRPr="00344786">
        <w:rPr>
          <w:rFonts w:asciiTheme="minorHAnsi" w:hAnsiTheme="minorHAnsi" w:cstheme="majorHAnsi"/>
          <w:iCs/>
          <w:szCs w:val="24"/>
        </w:rPr>
        <w:t xml:space="preserve">Episode: 2005 stimulation Soultz-sous-Forêts [Collection]. EOST - CDGP. </w:t>
      </w:r>
      <w:hyperlink r:id="rId105" w:history="1">
        <w:r w:rsidR="008B3BCF" w:rsidRPr="00344786">
          <w:rPr>
            <w:rStyle w:val="Hyperlink"/>
            <w:rFonts w:asciiTheme="minorHAnsi" w:hAnsiTheme="minorHAnsi" w:cstheme="majorHAnsi"/>
            <w:iCs/>
            <w:szCs w:val="24"/>
          </w:rPr>
          <w:t>https://doi.org/10.25577/SSFS2005</w:t>
        </w:r>
      </w:hyperlink>
    </w:p>
    <w:p w14:paraId="3EB884F4" w14:textId="34F6BBD6" w:rsidR="00F070B4" w:rsidRPr="00344786" w:rsidRDefault="00F070B4"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Gahalaut, K., T. A. Tuan, and N. Purnachandra Rao (2016). Rapid and Delayed Earthquake Triggering by the Song Tranh 2 Reservoir, Vietnam, </w:t>
      </w:r>
      <w:r w:rsidRPr="00344786">
        <w:rPr>
          <w:rFonts w:asciiTheme="minorHAnsi" w:hAnsiTheme="minorHAnsi" w:cstheme="majorHAnsi"/>
          <w:i/>
          <w:iCs/>
          <w:szCs w:val="24"/>
        </w:rPr>
        <w:t>Bulletin of the Seismological Society of America</w:t>
      </w:r>
      <w:r w:rsidRPr="00344786">
        <w:rPr>
          <w:rFonts w:asciiTheme="minorHAnsi" w:hAnsiTheme="minorHAnsi" w:cstheme="majorHAnsi"/>
          <w:szCs w:val="24"/>
        </w:rPr>
        <w:t xml:space="preserve"> </w:t>
      </w:r>
      <w:r w:rsidRPr="00344786">
        <w:rPr>
          <w:rFonts w:asciiTheme="minorHAnsi" w:hAnsiTheme="minorHAnsi" w:cstheme="majorHAnsi"/>
          <w:b/>
          <w:bCs/>
          <w:szCs w:val="24"/>
        </w:rPr>
        <w:t>106</w:t>
      </w:r>
      <w:r w:rsidRPr="00344786">
        <w:rPr>
          <w:rFonts w:asciiTheme="minorHAnsi" w:hAnsiTheme="minorHAnsi" w:cstheme="majorHAnsi"/>
          <w:szCs w:val="24"/>
        </w:rPr>
        <w:t>, no. 5, 2389–2394, doi: 10.1785/0120160106.</w:t>
      </w:r>
    </w:p>
    <w:p w14:paraId="31153F99" w14:textId="7E136FDA" w:rsidR="008B3BCF" w:rsidRPr="00344786" w:rsidRDefault="008B3BCF"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Gunnarsson, G., A. Arnaldsson, and A. L. Oddsdóttir (2011). Model Simulations of the Hengill Area, Southwestern Iceland, </w:t>
      </w:r>
      <w:r w:rsidRPr="00344786">
        <w:rPr>
          <w:rFonts w:asciiTheme="minorHAnsi" w:hAnsiTheme="minorHAnsi" w:cstheme="majorHAnsi"/>
          <w:i/>
          <w:iCs/>
          <w:szCs w:val="24"/>
        </w:rPr>
        <w:t>Transp Porous Media</w:t>
      </w:r>
      <w:r w:rsidRPr="00344786">
        <w:rPr>
          <w:rFonts w:asciiTheme="minorHAnsi" w:hAnsiTheme="minorHAnsi" w:cstheme="majorHAnsi"/>
          <w:szCs w:val="24"/>
        </w:rPr>
        <w:t xml:space="preserve"> </w:t>
      </w:r>
      <w:r w:rsidRPr="00344786">
        <w:rPr>
          <w:rFonts w:asciiTheme="minorHAnsi" w:hAnsiTheme="minorHAnsi" w:cstheme="majorHAnsi"/>
          <w:b/>
          <w:bCs/>
          <w:szCs w:val="24"/>
        </w:rPr>
        <w:t>90</w:t>
      </w:r>
      <w:r w:rsidRPr="00344786">
        <w:rPr>
          <w:rFonts w:asciiTheme="minorHAnsi" w:hAnsiTheme="minorHAnsi" w:cstheme="majorHAnsi"/>
          <w:szCs w:val="24"/>
        </w:rPr>
        <w:t>, no. 1, 3–22, doi: 10.1007/s11242-010-9629-1.</w:t>
      </w:r>
    </w:p>
    <w:p w14:paraId="040A27E1" w14:textId="29955CB8" w:rsidR="00A4242C" w:rsidRPr="00344786" w:rsidRDefault="00A4242C"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Grasso, J. ‐R., A. Karimov, D. Amorese, C. Sue, and C. Voisin (2018). Patterns of Reservoir‐Triggered Seismicity in a Low‐Seismicity Region of France, </w:t>
      </w:r>
      <w:r w:rsidRPr="00344786">
        <w:rPr>
          <w:rFonts w:asciiTheme="minorHAnsi" w:hAnsiTheme="minorHAnsi" w:cstheme="majorHAnsi"/>
          <w:i/>
          <w:iCs/>
          <w:szCs w:val="24"/>
        </w:rPr>
        <w:t>Bulletin of the Seismological Society of America</w:t>
      </w:r>
      <w:r w:rsidRPr="00344786">
        <w:rPr>
          <w:rFonts w:asciiTheme="minorHAnsi" w:hAnsiTheme="minorHAnsi" w:cstheme="majorHAnsi"/>
          <w:szCs w:val="24"/>
        </w:rPr>
        <w:t xml:space="preserve"> </w:t>
      </w:r>
      <w:r w:rsidRPr="00344786">
        <w:rPr>
          <w:rFonts w:asciiTheme="minorHAnsi" w:hAnsiTheme="minorHAnsi" w:cstheme="majorHAnsi"/>
          <w:b/>
          <w:bCs/>
          <w:szCs w:val="24"/>
        </w:rPr>
        <w:t>108</w:t>
      </w:r>
      <w:r w:rsidRPr="00344786">
        <w:rPr>
          <w:rFonts w:asciiTheme="minorHAnsi" w:hAnsiTheme="minorHAnsi" w:cstheme="majorHAnsi"/>
          <w:szCs w:val="24"/>
        </w:rPr>
        <w:t>, no. 5B, 2967–2982, doi: 10.1785/0120180172.</w:t>
      </w:r>
    </w:p>
    <w:p w14:paraId="2E228F4B" w14:textId="77777777" w:rsidR="00EF1CBE" w:rsidRPr="00344786" w:rsidRDefault="00EF1CBE"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Herrmann, M., and W. Marzocchi (2021). Inconsistencies and Lurking Pitfalls in the Magnitude–Frequency Distribution of High-Resolution Earthquake Catalogs, </w:t>
      </w:r>
      <w:r w:rsidRPr="00344786">
        <w:rPr>
          <w:rFonts w:asciiTheme="minorHAnsi" w:hAnsiTheme="minorHAnsi" w:cstheme="majorHAnsi"/>
          <w:i/>
          <w:iCs/>
          <w:szCs w:val="24"/>
        </w:rPr>
        <w:t>Seismological Research Letters</w:t>
      </w:r>
      <w:r w:rsidRPr="00344786">
        <w:rPr>
          <w:rFonts w:asciiTheme="minorHAnsi" w:hAnsiTheme="minorHAnsi" w:cstheme="majorHAnsi"/>
          <w:szCs w:val="24"/>
        </w:rPr>
        <w:t xml:space="preserve"> </w:t>
      </w:r>
      <w:r w:rsidRPr="00344786">
        <w:rPr>
          <w:rFonts w:asciiTheme="minorHAnsi" w:hAnsiTheme="minorHAnsi" w:cstheme="majorHAnsi"/>
          <w:b/>
          <w:bCs/>
          <w:szCs w:val="24"/>
        </w:rPr>
        <w:t>92</w:t>
      </w:r>
      <w:r w:rsidRPr="00344786">
        <w:rPr>
          <w:rFonts w:asciiTheme="minorHAnsi" w:hAnsiTheme="minorHAnsi" w:cstheme="majorHAnsi"/>
          <w:szCs w:val="24"/>
        </w:rPr>
        <w:t>, no. 2A, 909–922, doi: 10.1785/0220200337.</w:t>
      </w:r>
    </w:p>
    <w:p w14:paraId="69E916F4" w14:textId="31B8220F" w:rsidR="00EF1CBE" w:rsidRPr="00344786" w:rsidRDefault="00EF1CBE"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lastRenderedPageBreak/>
        <w:t xml:space="preserve">Herrmann, M., E. Piegari, and W. Marzocchi (2022). Revealing the spatiotemporal complexity of the magnitude distribution and b-value during an earthquake sequence, </w:t>
      </w:r>
      <w:r w:rsidRPr="00344786">
        <w:rPr>
          <w:rFonts w:asciiTheme="minorHAnsi" w:hAnsiTheme="minorHAnsi" w:cstheme="majorHAnsi"/>
          <w:i/>
          <w:iCs/>
          <w:szCs w:val="24"/>
        </w:rPr>
        <w:t>Nat Commun</w:t>
      </w:r>
      <w:r w:rsidRPr="00344786">
        <w:rPr>
          <w:rFonts w:asciiTheme="minorHAnsi" w:hAnsiTheme="minorHAnsi" w:cstheme="majorHAnsi"/>
          <w:szCs w:val="24"/>
        </w:rPr>
        <w:t xml:space="preserve"> </w:t>
      </w:r>
      <w:r w:rsidRPr="00344786">
        <w:rPr>
          <w:rFonts w:asciiTheme="minorHAnsi" w:hAnsiTheme="minorHAnsi" w:cstheme="majorHAnsi"/>
          <w:b/>
          <w:bCs/>
          <w:szCs w:val="24"/>
        </w:rPr>
        <w:t>13</w:t>
      </w:r>
      <w:r w:rsidRPr="00344786">
        <w:rPr>
          <w:rFonts w:asciiTheme="minorHAnsi" w:hAnsiTheme="minorHAnsi" w:cstheme="majorHAnsi"/>
          <w:szCs w:val="24"/>
        </w:rPr>
        <w:t>, no. 1, 1–10, doi: 10.1038/s41467-022-32755-6.</w:t>
      </w:r>
    </w:p>
    <w:p w14:paraId="3EA9F913" w14:textId="77777777" w:rsidR="002262E5" w:rsidRPr="00344786" w:rsidRDefault="002262E5" w:rsidP="00344786">
      <w:pPr>
        <w:autoSpaceDE w:val="0"/>
        <w:autoSpaceDN w:val="0"/>
        <w:spacing w:line="360" w:lineRule="auto"/>
        <w:ind w:left="450" w:hanging="450"/>
        <w:jc w:val="both"/>
        <w:rPr>
          <w:rFonts w:asciiTheme="minorHAnsi" w:hAnsiTheme="minorHAnsi" w:cstheme="majorHAnsi"/>
          <w:iCs/>
          <w:szCs w:val="24"/>
        </w:rPr>
      </w:pPr>
      <w:r w:rsidRPr="00344786">
        <w:rPr>
          <w:rFonts w:asciiTheme="minorHAnsi" w:hAnsiTheme="minorHAnsi" w:cstheme="majorHAnsi"/>
          <w:iCs/>
          <w:szCs w:val="24"/>
        </w:rPr>
        <w:t xml:space="preserve">IS EPOS (2017a), Episode: THE GEYSERS Prati 9 and Prati 29 cluster, https://episodesplatform.eu/#episode:THE_GEYSERS_Prati_9_and_Prati_29_cluster, </w:t>
      </w:r>
      <w:hyperlink r:id="rId106" w:history="1">
        <w:r w:rsidRPr="00344786">
          <w:rPr>
            <w:rStyle w:val="Hyperlink"/>
            <w:rFonts w:asciiTheme="minorHAnsi" w:hAnsiTheme="minorHAnsi" w:cstheme="majorHAnsi"/>
            <w:iCs/>
            <w:szCs w:val="24"/>
          </w:rPr>
          <w:t>https://doi.org/10.25171/InstGeoph_PAS_ISEPOS-2017-011</w:t>
        </w:r>
      </w:hyperlink>
    </w:p>
    <w:p w14:paraId="19C523C6" w14:textId="77777777" w:rsidR="002262E5" w:rsidRPr="00344786" w:rsidRDefault="002262E5" w:rsidP="00344786">
      <w:pPr>
        <w:autoSpaceDE w:val="0"/>
        <w:autoSpaceDN w:val="0"/>
        <w:spacing w:line="360" w:lineRule="auto"/>
        <w:ind w:left="450" w:hanging="450"/>
        <w:jc w:val="both"/>
        <w:rPr>
          <w:rFonts w:asciiTheme="minorHAnsi" w:hAnsiTheme="minorHAnsi" w:cstheme="majorHAnsi"/>
          <w:iCs/>
          <w:szCs w:val="24"/>
        </w:rPr>
      </w:pPr>
      <w:r w:rsidRPr="00344786">
        <w:rPr>
          <w:rFonts w:asciiTheme="minorHAnsi" w:hAnsiTheme="minorHAnsi" w:cstheme="majorHAnsi"/>
          <w:iCs/>
          <w:szCs w:val="24"/>
        </w:rPr>
        <w:t xml:space="preserve">IS EPOS (2017b), Episode: GRONINGEN FIELD, https://episodesplatform.eu/#episode:GRONINGEN_FIELD, </w:t>
      </w:r>
      <w:hyperlink r:id="rId107" w:history="1">
        <w:r w:rsidRPr="00344786">
          <w:rPr>
            <w:rStyle w:val="Hyperlink"/>
            <w:rFonts w:asciiTheme="minorHAnsi" w:hAnsiTheme="minorHAnsi" w:cstheme="majorHAnsi"/>
            <w:iCs/>
            <w:szCs w:val="24"/>
          </w:rPr>
          <w:t>https://doi.org/10.25171/InstGeoph_PAS_ISEPOS-2017-008</w:t>
        </w:r>
      </w:hyperlink>
    </w:p>
    <w:p w14:paraId="3AFA1C8D" w14:textId="77777777" w:rsidR="002262E5" w:rsidRPr="00344786" w:rsidRDefault="002262E5" w:rsidP="00344786">
      <w:pPr>
        <w:autoSpaceDE w:val="0"/>
        <w:autoSpaceDN w:val="0"/>
        <w:spacing w:line="360" w:lineRule="auto"/>
        <w:ind w:left="450" w:hanging="450"/>
        <w:jc w:val="both"/>
        <w:rPr>
          <w:rFonts w:asciiTheme="minorHAnsi" w:hAnsiTheme="minorHAnsi" w:cstheme="majorHAnsi"/>
          <w:iCs/>
          <w:szCs w:val="24"/>
        </w:rPr>
      </w:pPr>
      <w:r w:rsidRPr="00344786">
        <w:rPr>
          <w:rFonts w:asciiTheme="minorHAnsi" w:hAnsiTheme="minorHAnsi" w:cstheme="majorHAnsi"/>
          <w:iCs/>
          <w:szCs w:val="24"/>
        </w:rPr>
        <w:t xml:space="preserve">IS EPOS (2017c), Episode: STARFISH, https://episodesplatform.eu/#episode:STARFISH, </w:t>
      </w:r>
      <w:hyperlink r:id="rId108" w:history="1">
        <w:r w:rsidRPr="00344786">
          <w:rPr>
            <w:rStyle w:val="Hyperlink"/>
            <w:rFonts w:asciiTheme="minorHAnsi" w:hAnsiTheme="minorHAnsi" w:cstheme="majorHAnsi"/>
            <w:iCs/>
            <w:szCs w:val="24"/>
          </w:rPr>
          <w:t>https://doi.org/10.25171/InstGeoph_PAS_ISEPOS-2017-014</w:t>
        </w:r>
      </w:hyperlink>
    </w:p>
    <w:p w14:paraId="28261ADA" w14:textId="77777777" w:rsidR="002262E5" w:rsidRPr="00344786" w:rsidRDefault="002262E5" w:rsidP="00344786">
      <w:pPr>
        <w:autoSpaceDE w:val="0"/>
        <w:autoSpaceDN w:val="0"/>
        <w:spacing w:line="360" w:lineRule="auto"/>
        <w:ind w:left="450" w:hanging="450"/>
        <w:jc w:val="both"/>
        <w:rPr>
          <w:rFonts w:asciiTheme="minorHAnsi" w:hAnsiTheme="minorHAnsi" w:cstheme="majorHAnsi"/>
          <w:iCs/>
          <w:szCs w:val="24"/>
        </w:rPr>
      </w:pPr>
      <w:r w:rsidRPr="00344786">
        <w:rPr>
          <w:rFonts w:asciiTheme="minorHAnsi" w:hAnsiTheme="minorHAnsi" w:cstheme="majorHAnsi"/>
          <w:iCs/>
          <w:szCs w:val="24"/>
        </w:rPr>
        <w:t xml:space="preserve">IS EPOS (2017d), Episode: PYHASALMI MINE, https://episodesplatform.eu/#episode:PYHASALMI_MINE, </w:t>
      </w:r>
      <w:hyperlink r:id="rId109" w:history="1">
        <w:r w:rsidRPr="00344786">
          <w:rPr>
            <w:rStyle w:val="Hyperlink"/>
            <w:rFonts w:asciiTheme="minorHAnsi" w:hAnsiTheme="minorHAnsi" w:cstheme="majorHAnsi"/>
            <w:iCs/>
            <w:szCs w:val="24"/>
          </w:rPr>
          <w:t>https://doi.org/10.25171/InstGeoph_PAS_ISEPOS-2017-015</w:t>
        </w:r>
      </w:hyperlink>
    </w:p>
    <w:p w14:paraId="58E0D790" w14:textId="77777777" w:rsidR="002262E5" w:rsidRPr="00344786" w:rsidRDefault="002262E5" w:rsidP="00344786">
      <w:pPr>
        <w:autoSpaceDE w:val="0"/>
        <w:autoSpaceDN w:val="0"/>
        <w:spacing w:line="360" w:lineRule="auto"/>
        <w:ind w:left="450" w:hanging="450"/>
        <w:jc w:val="both"/>
        <w:rPr>
          <w:rFonts w:asciiTheme="minorHAnsi" w:hAnsiTheme="minorHAnsi" w:cstheme="majorHAnsi"/>
          <w:iCs/>
          <w:szCs w:val="24"/>
        </w:rPr>
      </w:pPr>
      <w:r w:rsidRPr="00344786">
        <w:rPr>
          <w:rFonts w:asciiTheme="minorHAnsi" w:hAnsiTheme="minorHAnsi" w:cstheme="majorHAnsi"/>
          <w:iCs/>
          <w:szCs w:val="24"/>
        </w:rPr>
        <w:t xml:space="preserve">IS EPOS (2017e), Episode: GISOS-CERVILLE, https://episodesplatform.eu/#episode:GISOS-CERVILLE, </w:t>
      </w:r>
      <w:hyperlink r:id="rId110" w:history="1">
        <w:r w:rsidRPr="00344786">
          <w:rPr>
            <w:rStyle w:val="Hyperlink"/>
            <w:rFonts w:asciiTheme="minorHAnsi" w:hAnsiTheme="minorHAnsi" w:cstheme="majorHAnsi"/>
            <w:iCs/>
            <w:szCs w:val="24"/>
          </w:rPr>
          <w:t>https://doi.org/10.25171/InstGeoph_PAS_ISEPOS-2017-013</w:t>
        </w:r>
      </w:hyperlink>
      <w:r w:rsidRPr="00344786">
        <w:rPr>
          <w:rFonts w:asciiTheme="minorHAnsi" w:hAnsiTheme="minorHAnsi" w:cstheme="majorHAnsi"/>
          <w:iCs/>
          <w:szCs w:val="24"/>
        </w:rPr>
        <w:t xml:space="preserve"> </w:t>
      </w:r>
    </w:p>
    <w:p w14:paraId="44BA9C42" w14:textId="77777777" w:rsidR="002262E5" w:rsidRPr="00344786" w:rsidRDefault="002262E5" w:rsidP="00344786">
      <w:pPr>
        <w:autoSpaceDE w:val="0"/>
        <w:autoSpaceDN w:val="0"/>
        <w:spacing w:line="360" w:lineRule="auto"/>
        <w:ind w:left="450" w:hanging="450"/>
        <w:jc w:val="both"/>
        <w:rPr>
          <w:rFonts w:asciiTheme="minorHAnsi" w:hAnsiTheme="minorHAnsi" w:cstheme="majorHAnsi"/>
          <w:iCs/>
          <w:szCs w:val="24"/>
        </w:rPr>
      </w:pPr>
      <w:r w:rsidRPr="00344786">
        <w:rPr>
          <w:rFonts w:asciiTheme="minorHAnsi" w:hAnsiTheme="minorHAnsi" w:cstheme="majorHAnsi"/>
          <w:szCs w:val="24"/>
        </w:rPr>
        <w:t xml:space="preserve">IS EPOS (2017f), Episode: LGCD, https://episodesplatform.eu/#episode:LGCD, </w:t>
      </w:r>
      <w:hyperlink r:id="rId111" w:history="1">
        <w:r w:rsidRPr="00344786">
          <w:rPr>
            <w:rStyle w:val="Hyperlink"/>
            <w:rFonts w:asciiTheme="minorHAnsi" w:hAnsiTheme="minorHAnsi" w:cstheme="majorHAnsi"/>
            <w:szCs w:val="24"/>
          </w:rPr>
          <w:t>https://doi.org/10.25171/InstGeoph_PAS_ISEPOS-2017-006</w:t>
        </w:r>
      </w:hyperlink>
    </w:p>
    <w:p w14:paraId="46096DDD" w14:textId="77777777" w:rsidR="002262E5" w:rsidRPr="00344786" w:rsidRDefault="002262E5" w:rsidP="00344786">
      <w:pPr>
        <w:autoSpaceDE w:val="0"/>
        <w:autoSpaceDN w:val="0"/>
        <w:spacing w:line="360" w:lineRule="auto"/>
        <w:ind w:left="450" w:hanging="450"/>
        <w:jc w:val="both"/>
        <w:rPr>
          <w:rFonts w:asciiTheme="minorHAnsi" w:hAnsiTheme="minorHAnsi" w:cstheme="majorHAnsi"/>
          <w:iCs/>
          <w:szCs w:val="24"/>
        </w:rPr>
      </w:pPr>
      <w:r w:rsidRPr="00344786">
        <w:rPr>
          <w:rFonts w:asciiTheme="minorHAnsi" w:hAnsiTheme="minorHAnsi" w:cstheme="majorHAnsi"/>
          <w:iCs/>
          <w:szCs w:val="24"/>
        </w:rPr>
        <w:t xml:space="preserve">IS EPOS (2017g), Episode: VAL D'AGRI, https://episodesplatform.eu/#episode:VD, </w:t>
      </w:r>
      <w:hyperlink r:id="rId112" w:history="1">
        <w:r w:rsidRPr="00344786">
          <w:rPr>
            <w:rStyle w:val="Hyperlink"/>
            <w:rFonts w:asciiTheme="minorHAnsi" w:hAnsiTheme="minorHAnsi" w:cstheme="majorHAnsi"/>
            <w:iCs/>
            <w:szCs w:val="24"/>
          </w:rPr>
          <w:t>https://doi.org/10.25171/InstGeoph_PAS_ISEPOS-2017-016</w:t>
        </w:r>
      </w:hyperlink>
      <w:r w:rsidRPr="00344786">
        <w:rPr>
          <w:rFonts w:asciiTheme="minorHAnsi" w:hAnsiTheme="minorHAnsi" w:cstheme="majorHAnsi"/>
          <w:iCs/>
          <w:szCs w:val="24"/>
        </w:rPr>
        <w:t xml:space="preserve"> </w:t>
      </w:r>
    </w:p>
    <w:p w14:paraId="72C8819C" w14:textId="77777777" w:rsidR="002262E5" w:rsidRPr="00344786" w:rsidRDefault="002262E5" w:rsidP="00344786">
      <w:pPr>
        <w:autoSpaceDE w:val="0"/>
        <w:autoSpaceDN w:val="0"/>
        <w:spacing w:line="360" w:lineRule="auto"/>
        <w:ind w:left="450" w:hanging="450"/>
        <w:jc w:val="both"/>
        <w:rPr>
          <w:rFonts w:asciiTheme="minorHAnsi" w:hAnsiTheme="minorHAnsi" w:cstheme="majorHAnsi"/>
          <w:iCs/>
          <w:szCs w:val="24"/>
        </w:rPr>
      </w:pPr>
      <w:r w:rsidRPr="00344786">
        <w:rPr>
          <w:rFonts w:asciiTheme="minorHAnsi" w:hAnsiTheme="minorHAnsi" w:cstheme="majorHAnsi"/>
          <w:iCs/>
          <w:szCs w:val="24"/>
        </w:rPr>
        <w:t xml:space="preserve">IS EPOS (2017h), Episode: SONG TRANH, https://episodesplatform.eu/#episode:SONG_TRANH, </w:t>
      </w:r>
      <w:hyperlink r:id="rId113" w:history="1">
        <w:r w:rsidRPr="00344786">
          <w:rPr>
            <w:rStyle w:val="Hyperlink"/>
            <w:rFonts w:asciiTheme="minorHAnsi" w:hAnsiTheme="minorHAnsi" w:cstheme="majorHAnsi"/>
            <w:iCs/>
            <w:szCs w:val="24"/>
          </w:rPr>
          <w:t>https://doi.org/10.25171/InstGeoph_PAS_ISEPOS-2017-002</w:t>
        </w:r>
      </w:hyperlink>
      <w:r w:rsidRPr="00344786">
        <w:rPr>
          <w:rFonts w:asciiTheme="minorHAnsi" w:hAnsiTheme="minorHAnsi" w:cstheme="majorHAnsi"/>
          <w:iCs/>
          <w:szCs w:val="24"/>
        </w:rPr>
        <w:t xml:space="preserve"> </w:t>
      </w:r>
    </w:p>
    <w:p w14:paraId="44637FB5" w14:textId="77777777" w:rsidR="002262E5" w:rsidRPr="00344786" w:rsidRDefault="002262E5"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iCs/>
          <w:szCs w:val="24"/>
        </w:rPr>
        <w:t xml:space="preserve">IS EPOS (2018a), Episode: ST. GALLEN, https://episodesplatform.eu/#episode:SG, </w:t>
      </w:r>
      <w:hyperlink r:id="rId114" w:history="1">
        <w:r w:rsidRPr="00344786">
          <w:rPr>
            <w:rStyle w:val="Hyperlink"/>
            <w:rFonts w:asciiTheme="minorHAnsi" w:hAnsiTheme="minorHAnsi" w:cstheme="majorHAnsi"/>
            <w:iCs/>
            <w:szCs w:val="24"/>
          </w:rPr>
          <w:t>https://doi.org/10.25171/InstGeoph_PAS_ISEPOS-2018-007</w:t>
        </w:r>
      </w:hyperlink>
    </w:p>
    <w:p w14:paraId="38271720" w14:textId="77777777" w:rsidR="002262E5" w:rsidRPr="00344786" w:rsidRDefault="002262E5"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iCs/>
          <w:szCs w:val="24"/>
        </w:rPr>
        <w:t xml:space="preserve">IS EPOS (2018b), Episode: CARBFIX, https://episodesplatform.eu/#episode:CARBFIX, </w:t>
      </w:r>
      <w:hyperlink r:id="rId115" w:history="1">
        <w:r w:rsidRPr="00344786">
          <w:rPr>
            <w:rStyle w:val="Hyperlink"/>
            <w:rFonts w:asciiTheme="minorHAnsi" w:hAnsiTheme="minorHAnsi" w:cstheme="majorHAnsi"/>
            <w:iCs/>
            <w:szCs w:val="24"/>
          </w:rPr>
          <w:t>https://doi.org/10.25171/InstGeoph_PAS_ISEPOS-2018-006</w:t>
        </w:r>
      </w:hyperlink>
    </w:p>
    <w:p w14:paraId="4EAEEE55" w14:textId="77777777" w:rsidR="002262E5" w:rsidRPr="00344786" w:rsidRDefault="002262E5"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iCs/>
          <w:szCs w:val="24"/>
        </w:rPr>
        <w:t xml:space="preserve">IS EPOS (2018c), Episode: LACQ GAS FIELD, https://episodesplatform.eu/#episode:LGF, </w:t>
      </w:r>
      <w:hyperlink r:id="rId116" w:history="1">
        <w:r w:rsidRPr="00344786">
          <w:rPr>
            <w:rStyle w:val="Hyperlink"/>
            <w:rFonts w:asciiTheme="minorHAnsi" w:hAnsiTheme="minorHAnsi" w:cstheme="majorHAnsi"/>
            <w:iCs/>
            <w:szCs w:val="24"/>
          </w:rPr>
          <w:t>https://doi.org/10.25171/InstGeoph_PAS_ISEPOS-2018-005</w:t>
        </w:r>
      </w:hyperlink>
    </w:p>
    <w:p w14:paraId="27FA0633" w14:textId="77777777" w:rsidR="002262E5" w:rsidRPr="00344786" w:rsidRDefault="002262E5"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iCs/>
          <w:szCs w:val="24"/>
        </w:rPr>
        <w:lastRenderedPageBreak/>
        <w:t xml:space="preserve">IS EPOS (2018d), Episode: VOUGLANS, https://episodesplatform.eu/#episode:VOUGLANS, </w:t>
      </w:r>
      <w:hyperlink r:id="rId117" w:history="1">
        <w:r w:rsidRPr="00344786">
          <w:rPr>
            <w:rStyle w:val="Hyperlink"/>
            <w:rFonts w:asciiTheme="minorHAnsi" w:hAnsiTheme="minorHAnsi" w:cstheme="majorHAnsi"/>
            <w:iCs/>
            <w:szCs w:val="24"/>
          </w:rPr>
          <w:t>https://doi.org/10.25171/InstGeoph_PAS_ISEPOS-2018-004</w:t>
        </w:r>
      </w:hyperlink>
      <w:r w:rsidRPr="00344786">
        <w:rPr>
          <w:rFonts w:asciiTheme="minorHAnsi" w:hAnsiTheme="minorHAnsi" w:cstheme="majorHAnsi"/>
          <w:iCs/>
          <w:szCs w:val="24"/>
        </w:rPr>
        <w:t xml:space="preserve"> </w:t>
      </w:r>
    </w:p>
    <w:p w14:paraId="6FE664DA" w14:textId="77777777" w:rsidR="002262E5" w:rsidRPr="00344786" w:rsidRDefault="002262E5"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IS EPOS (2019), Episode: COTTON VALLEY, https://episodesplatform.eu/#episode:COTTON_VALLEY, </w:t>
      </w:r>
      <w:hyperlink r:id="rId118" w:history="1">
        <w:r w:rsidRPr="00344786">
          <w:rPr>
            <w:rStyle w:val="Hyperlink"/>
            <w:rFonts w:asciiTheme="minorHAnsi" w:hAnsiTheme="minorHAnsi" w:cstheme="majorHAnsi"/>
            <w:szCs w:val="24"/>
          </w:rPr>
          <w:t>https://doi.org/10.25171/InstGeoph_PAS_ISEPOS-2019-003</w:t>
        </w:r>
      </w:hyperlink>
    </w:p>
    <w:p w14:paraId="74B7F98D" w14:textId="77777777" w:rsidR="002262E5" w:rsidRPr="00344786" w:rsidRDefault="002262E5"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iCs/>
          <w:szCs w:val="24"/>
        </w:rPr>
        <w:t>IS-EPOS (2019b), Episode: GAZLI, https://episodesplatform.eu/#episode:GAZLI, https://doi.org/10.25171/InstGeoph_PAS_ISEPOS-2019-002</w:t>
      </w:r>
    </w:p>
    <w:p w14:paraId="50ED87E3" w14:textId="77777777" w:rsidR="002262E5" w:rsidRPr="00344786" w:rsidRDefault="002262E5" w:rsidP="00344786">
      <w:pPr>
        <w:autoSpaceDE w:val="0"/>
        <w:autoSpaceDN w:val="0"/>
        <w:spacing w:line="360" w:lineRule="auto"/>
        <w:ind w:left="450" w:hanging="450"/>
        <w:jc w:val="both"/>
        <w:rPr>
          <w:rFonts w:asciiTheme="minorHAnsi" w:eastAsiaTheme="minorHAnsi" w:hAnsiTheme="minorHAnsi" w:cstheme="majorHAnsi"/>
          <w:szCs w:val="24"/>
        </w:rPr>
      </w:pPr>
      <w:r w:rsidRPr="00344786">
        <w:rPr>
          <w:rFonts w:asciiTheme="minorHAnsi" w:hAnsiTheme="minorHAnsi" w:cstheme="majorHAnsi"/>
          <w:szCs w:val="24"/>
        </w:rPr>
        <w:t>IS EPOS (2020), Episode: COOPER BASIN, https://episodesplatform.eu/#episode:COOPER_BASIN, doi:10.25171/InstGeoph_PAS_ISEPOS-2020-001</w:t>
      </w:r>
    </w:p>
    <w:p w14:paraId="6946AA8A" w14:textId="1FEB9D8F" w:rsidR="00C1450F" w:rsidRPr="00344786" w:rsidRDefault="00C1450F"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Jones R.H., Beauce A., Jupe A., Fabriol H. and Dyer B.C. (1995) Imaging induced microseismicity during the 1993 injection tests at Soultz-sous-Forêts, Proceedings, World Geothermal Congress 1995, Florence, Italy, 2265-2269 </w:t>
      </w:r>
    </w:p>
    <w:p w14:paraId="579D428F" w14:textId="77777777" w:rsidR="00D11262" w:rsidRPr="00344786" w:rsidRDefault="00D11262"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Kwiatek, G., P. Martínez‐Garzón, G. Dresen, M. Bohnhoff, H. Sone, and C. Hartline (2015). Effects of long‐term fluid injection on induced seismicity parameters and maximum magnitude in northwestern part of The Geysers geothermal field, </w:t>
      </w:r>
      <w:r w:rsidRPr="00344786">
        <w:rPr>
          <w:rFonts w:asciiTheme="minorHAnsi" w:hAnsiTheme="minorHAnsi" w:cstheme="majorHAnsi"/>
          <w:i/>
          <w:iCs/>
          <w:szCs w:val="24"/>
        </w:rPr>
        <w:t>J Geophys Res Solid Earth</w:t>
      </w:r>
      <w:r w:rsidRPr="00344786">
        <w:rPr>
          <w:rFonts w:asciiTheme="minorHAnsi" w:hAnsiTheme="minorHAnsi" w:cstheme="majorHAnsi"/>
          <w:szCs w:val="24"/>
        </w:rPr>
        <w:t xml:space="preserve"> </w:t>
      </w:r>
      <w:r w:rsidRPr="00344786">
        <w:rPr>
          <w:rFonts w:asciiTheme="minorHAnsi" w:hAnsiTheme="minorHAnsi" w:cstheme="majorHAnsi"/>
          <w:b/>
          <w:bCs/>
          <w:szCs w:val="24"/>
        </w:rPr>
        <w:t>120</w:t>
      </w:r>
      <w:r w:rsidRPr="00344786">
        <w:rPr>
          <w:rFonts w:asciiTheme="minorHAnsi" w:hAnsiTheme="minorHAnsi" w:cstheme="majorHAnsi"/>
          <w:szCs w:val="24"/>
        </w:rPr>
        <w:t>, no. 10, 7085–7101, doi: 10.1002/2015JB012362.</w:t>
      </w:r>
    </w:p>
    <w:p w14:paraId="231DFA14" w14:textId="77777777" w:rsidR="00CC5762" w:rsidRPr="00344786" w:rsidRDefault="00CC5762"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Kühn, D., and V. Vavryčuk (2013). Determination of full moment tensors of microseismic events in a very heterogeneous mining environment, </w:t>
      </w:r>
      <w:r w:rsidRPr="00344786">
        <w:rPr>
          <w:rFonts w:asciiTheme="minorHAnsi" w:hAnsiTheme="minorHAnsi" w:cstheme="majorHAnsi"/>
          <w:i/>
          <w:iCs/>
          <w:szCs w:val="24"/>
        </w:rPr>
        <w:t>Tectonophysics</w:t>
      </w:r>
      <w:r w:rsidRPr="00344786">
        <w:rPr>
          <w:rFonts w:asciiTheme="minorHAnsi" w:hAnsiTheme="minorHAnsi" w:cstheme="majorHAnsi"/>
          <w:szCs w:val="24"/>
        </w:rPr>
        <w:t xml:space="preserve"> </w:t>
      </w:r>
      <w:r w:rsidRPr="00344786">
        <w:rPr>
          <w:rFonts w:asciiTheme="minorHAnsi" w:hAnsiTheme="minorHAnsi" w:cstheme="majorHAnsi"/>
          <w:b/>
          <w:bCs/>
          <w:szCs w:val="24"/>
        </w:rPr>
        <w:t>589</w:t>
      </w:r>
      <w:r w:rsidRPr="00344786">
        <w:rPr>
          <w:rFonts w:asciiTheme="minorHAnsi" w:hAnsiTheme="minorHAnsi" w:cstheme="majorHAnsi"/>
          <w:szCs w:val="24"/>
        </w:rPr>
        <w:t>, 33–43, doi: 10.1016/j.tecto.2012.12.035.</w:t>
      </w:r>
    </w:p>
    <w:p w14:paraId="58646AA9" w14:textId="77777777" w:rsidR="001E3F49" w:rsidRPr="00344786" w:rsidRDefault="001E3F49"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Lasocki, S., Quantitative evidences of complexity of magnitude distribution in mining-induced seismicity: Implications for hazard evaluation, In Rockbursts and Seismicity in Mines: Dynamic rock mass response to mining (vanAswegen,G.,Durrheim, R.J.,Ortlepp, W.D. eds.) (SAIMM S27, Johannesburg, 2001), pp. 543-550.</w:t>
      </w:r>
    </w:p>
    <w:p w14:paraId="7EA110B3" w14:textId="3FABF579" w:rsidR="00C11765" w:rsidRPr="00344786" w:rsidRDefault="00C11765"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Lasocki, S., and E. E. Papadimitriou (2006). Magnitude distribution complexity revealed in seismicity from Greece, </w:t>
      </w:r>
      <w:r w:rsidRPr="00344786">
        <w:rPr>
          <w:rFonts w:asciiTheme="minorHAnsi" w:hAnsiTheme="minorHAnsi" w:cstheme="majorHAnsi"/>
          <w:i/>
          <w:iCs/>
          <w:szCs w:val="24"/>
        </w:rPr>
        <w:t>J Geophys Res Solid Earth</w:t>
      </w:r>
      <w:r w:rsidRPr="00344786">
        <w:rPr>
          <w:rFonts w:asciiTheme="minorHAnsi" w:hAnsiTheme="minorHAnsi" w:cstheme="majorHAnsi"/>
          <w:szCs w:val="24"/>
        </w:rPr>
        <w:t xml:space="preserve"> </w:t>
      </w:r>
      <w:r w:rsidRPr="00344786">
        <w:rPr>
          <w:rFonts w:asciiTheme="minorHAnsi" w:hAnsiTheme="minorHAnsi" w:cstheme="majorHAnsi"/>
          <w:b/>
          <w:bCs/>
          <w:szCs w:val="24"/>
        </w:rPr>
        <w:t>111</w:t>
      </w:r>
      <w:r w:rsidRPr="00344786">
        <w:rPr>
          <w:rFonts w:asciiTheme="minorHAnsi" w:hAnsiTheme="minorHAnsi" w:cstheme="majorHAnsi"/>
          <w:szCs w:val="24"/>
        </w:rPr>
        <w:t>, no. 11, 1–18, doi: 10.1029/2005JB003794.</w:t>
      </w:r>
    </w:p>
    <w:p w14:paraId="27F5FDFF" w14:textId="14AEA2E2" w:rsidR="00CC5762" w:rsidRPr="00344786" w:rsidRDefault="001E3F49"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lastRenderedPageBreak/>
        <w:t xml:space="preserve">Lasocki, S., and B. Orlecka-Sikora (2008). Seismic hazard assessment under complex source size distribution of mining-induced seismicity, </w:t>
      </w:r>
      <w:r w:rsidRPr="00344786">
        <w:rPr>
          <w:rFonts w:asciiTheme="minorHAnsi" w:hAnsiTheme="minorHAnsi" w:cstheme="majorHAnsi"/>
          <w:i/>
          <w:iCs/>
          <w:szCs w:val="24"/>
        </w:rPr>
        <w:t>Tectonophysics</w:t>
      </w:r>
      <w:r w:rsidRPr="00344786">
        <w:rPr>
          <w:rFonts w:asciiTheme="minorHAnsi" w:hAnsiTheme="minorHAnsi" w:cstheme="majorHAnsi"/>
          <w:szCs w:val="24"/>
        </w:rPr>
        <w:t xml:space="preserve"> </w:t>
      </w:r>
      <w:r w:rsidRPr="00344786">
        <w:rPr>
          <w:rFonts w:asciiTheme="minorHAnsi" w:hAnsiTheme="minorHAnsi" w:cstheme="majorHAnsi"/>
          <w:b/>
          <w:bCs/>
          <w:szCs w:val="24"/>
        </w:rPr>
        <w:t>456</w:t>
      </w:r>
      <w:r w:rsidRPr="00344786">
        <w:rPr>
          <w:rFonts w:asciiTheme="minorHAnsi" w:hAnsiTheme="minorHAnsi" w:cstheme="majorHAnsi"/>
          <w:szCs w:val="24"/>
        </w:rPr>
        <w:t>, no. 1–2, 28–37, doi: 10.1016/j.tecto.2006.08.013.</w:t>
      </w:r>
    </w:p>
    <w:p w14:paraId="7F0D481C" w14:textId="560C05D0" w:rsidR="00AC1BD3" w:rsidRPr="00344786" w:rsidRDefault="00AC1BD3"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Leptokaropoulos, K. (2020). Magnitude distribution complexity and variation at the Geysers geothermal field, </w:t>
      </w:r>
      <w:r w:rsidRPr="00344786">
        <w:rPr>
          <w:rFonts w:asciiTheme="minorHAnsi" w:hAnsiTheme="minorHAnsi" w:cstheme="majorHAnsi"/>
          <w:i/>
          <w:iCs/>
          <w:szCs w:val="24"/>
        </w:rPr>
        <w:t>Geophys J Int</w:t>
      </w:r>
      <w:r w:rsidRPr="00344786">
        <w:rPr>
          <w:rFonts w:asciiTheme="minorHAnsi" w:hAnsiTheme="minorHAnsi" w:cstheme="majorHAnsi"/>
          <w:szCs w:val="24"/>
        </w:rPr>
        <w:t xml:space="preserve"> </w:t>
      </w:r>
      <w:r w:rsidRPr="00344786">
        <w:rPr>
          <w:rFonts w:asciiTheme="minorHAnsi" w:hAnsiTheme="minorHAnsi" w:cstheme="majorHAnsi"/>
          <w:b/>
          <w:bCs/>
          <w:szCs w:val="24"/>
        </w:rPr>
        <w:t>222</w:t>
      </w:r>
      <w:r w:rsidRPr="00344786">
        <w:rPr>
          <w:rFonts w:asciiTheme="minorHAnsi" w:hAnsiTheme="minorHAnsi" w:cstheme="majorHAnsi"/>
          <w:szCs w:val="24"/>
        </w:rPr>
        <w:t>, no. 2, 893–906, doi: 10.1093/gji/ggaa208.</w:t>
      </w:r>
    </w:p>
    <w:p w14:paraId="2B3C7AA6" w14:textId="09E086B4" w:rsidR="00D0760F" w:rsidRPr="00344786" w:rsidRDefault="00D0760F"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Lilliefors, H. W. (1967). On the Kolmogorov-Smirnov Test for Normality with Mean and Variance Unknown, </w:t>
      </w:r>
      <w:r w:rsidRPr="00344786">
        <w:rPr>
          <w:rFonts w:asciiTheme="minorHAnsi" w:hAnsiTheme="minorHAnsi" w:cstheme="majorHAnsi"/>
          <w:i/>
          <w:iCs/>
          <w:szCs w:val="24"/>
        </w:rPr>
        <w:t>J Am Stat Assoc</w:t>
      </w:r>
      <w:r w:rsidRPr="00344786">
        <w:rPr>
          <w:rFonts w:asciiTheme="minorHAnsi" w:hAnsiTheme="minorHAnsi" w:cstheme="majorHAnsi"/>
          <w:szCs w:val="24"/>
        </w:rPr>
        <w:t xml:space="preserve"> </w:t>
      </w:r>
      <w:r w:rsidRPr="00344786">
        <w:rPr>
          <w:rFonts w:asciiTheme="minorHAnsi" w:hAnsiTheme="minorHAnsi" w:cstheme="majorHAnsi"/>
          <w:b/>
          <w:bCs/>
          <w:szCs w:val="24"/>
        </w:rPr>
        <w:t>62</w:t>
      </w:r>
      <w:r w:rsidRPr="00344786">
        <w:rPr>
          <w:rFonts w:asciiTheme="minorHAnsi" w:hAnsiTheme="minorHAnsi" w:cstheme="majorHAnsi"/>
          <w:szCs w:val="24"/>
        </w:rPr>
        <w:t>, no. 318, 399, doi: 10.2307/2283970.</w:t>
      </w:r>
    </w:p>
    <w:p w14:paraId="6AD0ECEB" w14:textId="5B14AE70" w:rsidR="00F12132" w:rsidRPr="00344786" w:rsidRDefault="00F12132"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Lizurek, G., J. Wiszniowski, N. Van Giang, B. Plesiewicz, and D. Q. Van (2017). Clustering and Stress Inversion in the Song Tranh 2 Reservoir, Vietnam, </w:t>
      </w:r>
      <w:r w:rsidRPr="00344786">
        <w:rPr>
          <w:rFonts w:asciiTheme="minorHAnsi" w:hAnsiTheme="minorHAnsi" w:cstheme="majorHAnsi"/>
          <w:i/>
          <w:iCs/>
          <w:szCs w:val="24"/>
        </w:rPr>
        <w:t>Bulletin of the Seismological Society of America</w:t>
      </w:r>
      <w:r w:rsidRPr="00344786">
        <w:rPr>
          <w:rFonts w:asciiTheme="minorHAnsi" w:hAnsiTheme="minorHAnsi" w:cstheme="majorHAnsi"/>
          <w:szCs w:val="24"/>
        </w:rPr>
        <w:t xml:space="preserve"> </w:t>
      </w:r>
      <w:r w:rsidRPr="00344786">
        <w:rPr>
          <w:rFonts w:asciiTheme="minorHAnsi" w:hAnsiTheme="minorHAnsi" w:cstheme="majorHAnsi"/>
          <w:b/>
          <w:bCs/>
          <w:szCs w:val="24"/>
        </w:rPr>
        <w:t>107</w:t>
      </w:r>
      <w:r w:rsidRPr="00344786">
        <w:rPr>
          <w:rFonts w:asciiTheme="minorHAnsi" w:hAnsiTheme="minorHAnsi" w:cstheme="majorHAnsi"/>
          <w:szCs w:val="24"/>
        </w:rPr>
        <w:t>, no. 6, 2636–2648, doi: 10.1785/0120170042.</w:t>
      </w:r>
    </w:p>
    <w:p w14:paraId="1AC8609E" w14:textId="0F37AC25" w:rsidR="000E0D7E" w:rsidRPr="00344786" w:rsidRDefault="000E0D7E"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Massey, F. J. (1951). The Kolmogorov-Smirnov Test for Goodness of Fit, </w:t>
      </w:r>
      <w:r w:rsidRPr="00344786">
        <w:rPr>
          <w:rFonts w:asciiTheme="minorHAnsi" w:hAnsiTheme="minorHAnsi" w:cstheme="majorHAnsi"/>
          <w:i/>
          <w:iCs/>
          <w:szCs w:val="24"/>
        </w:rPr>
        <w:t>J Am Stat Assoc</w:t>
      </w:r>
      <w:r w:rsidRPr="00344786">
        <w:rPr>
          <w:rFonts w:asciiTheme="minorHAnsi" w:hAnsiTheme="minorHAnsi" w:cstheme="majorHAnsi"/>
          <w:szCs w:val="24"/>
        </w:rPr>
        <w:t xml:space="preserve"> </w:t>
      </w:r>
      <w:r w:rsidRPr="00344786">
        <w:rPr>
          <w:rFonts w:asciiTheme="minorHAnsi" w:hAnsiTheme="minorHAnsi" w:cstheme="majorHAnsi"/>
          <w:b/>
          <w:bCs/>
          <w:szCs w:val="24"/>
        </w:rPr>
        <w:t>46</w:t>
      </w:r>
      <w:r w:rsidRPr="00344786">
        <w:rPr>
          <w:rFonts w:asciiTheme="minorHAnsi" w:hAnsiTheme="minorHAnsi" w:cstheme="majorHAnsi"/>
          <w:szCs w:val="24"/>
        </w:rPr>
        <w:t>, no. 253, 68–78, doi: 10.1080/01621459.1951.10500769.</w:t>
      </w:r>
    </w:p>
    <w:p w14:paraId="101C76B2" w14:textId="4A8D8819" w:rsidR="006923C6" w:rsidRPr="00344786" w:rsidRDefault="006923C6"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Marsaglia, G., and J. C. W. Marsaglia (2004). Evaluating the Anderson-Darling distribution, </w:t>
      </w:r>
      <w:r w:rsidRPr="00344786">
        <w:rPr>
          <w:rFonts w:asciiTheme="minorHAnsi" w:hAnsiTheme="minorHAnsi" w:cstheme="majorHAnsi"/>
          <w:i/>
          <w:iCs/>
          <w:szCs w:val="24"/>
        </w:rPr>
        <w:t>J Stat Softw</w:t>
      </w:r>
      <w:r w:rsidRPr="00344786">
        <w:rPr>
          <w:rFonts w:asciiTheme="minorHAnsi" w:hAnsiTheme="minorHAnsi" w:cstheme="majorHAnsi"/>
          <w:szCs w:val="24"/>
        </w:rPr>
        <w:t xml:space="preserve"> </w:t>
      </w:r>
      <w:r w:rsidRPr="00344786">
        <w:rPr>
          <w:rFonts w:asciiTheme="minorHAnsi" w:hAnsiTheme="minorHAnsi" w:cstheme="majorHAnsi"/>
          <w:b/>
          <w:bCs/>
          <w:szCs w:val="24"/>
        </w:rPr>
        <w:t>9</w:t>
      </w:r>
      <w:r w:rsidRPr="00344786">
        <w:rPr>
          <w:rFonts w:asciiTheme="minorHAnsi" w:hAnsiTheme="minorHAnsi" w:cstheme="majorHAnsi"/>
          <w:szCs w:val="24"/>
        </w:rPr>
        <w:t>, 1–5, doi: 10.18637/jss.v009.i02.</w:t>
      </w:r>
    </w:p>
    <w:p w14:paraId="743B8F50" w14:textId="5A6F7799" w:rsidR="00AC59CD" w:rsidRPr="00344786" w:rsidRDefault="00AC59CD"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Mohd Razali, N., and Y. Bee Wah (2011). </w:t>
      </w:r>
      <w:r w:rsidRPr="00344786">
        <w:rPr>
          <w:rFonts w:asciiTheme="minorHAnsi" w:hAnsiTheme="minorHAnsi" w:cstheme="majorHAnsi"/>
          <w:i/>
          <w:iCs/>
          <w:szCs w:val="24"/>
        </w:rPr>
        <w:t>Power comparisons of Shapiro-Wilk, Kolmogorov-Smirnov, Lilliefors and Anderson-Darling tests</w:t>
      </w:r>
      <w:r w:rsidRPr="00344786">
        <w:rPr>
          <w:rFonts w:asciiTheme="minorHAnsi" w:hAnsiTheme="minorHAnsi" w:cstheme="majorHAnsi"/>
          <w:szCs w:val="24"/>
        </w:rPr>
        <w:t>.</w:t>
      </w:r>
    </w:p>
    <w:p w14:paraId="4927334D" w14:textId="5B01523C" w:rsidR="0058356C" w:rsidRPr="00344786" w:rsidRDefault="0058356C"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lang w:val="pl-PL"/>
        </w:rPr>
        <w:t xml:space="preserve">Orlecka-Sikora, B., and S. Cielesta (2020). </w:t>
      </w:r>
      <w:r w:rsidRPr="00344786">
        <w:rPr>
          <w:rFonts w:asciiTheme="minorHAnsi" w:hAnsiTheme="minorHAnsi" w:cstheme="majorHAnsi"/>
          <w:szCs w:val="24"/>
        </w:rPr>
        <w:t xml:space="preserve">Evidence for subcritical rupture of injection-induced earthquakes, </w:t>
      </w:r>
      <w:r w:rsidRPr="00344786">
        <w:rPr>
          <w:rFonts w:asciiTheme="minorHAnsi" w:hAnsiTheme="minorHAnsi" w:cstheme="majorHAnsi"/>
          <w:i/>
          <w:iCs/>
          <w:szCs w:val="24"/>
        </w:rPr>
        <w:t>Sci Rep</w:t>
      </w:r>
      <w:r w:rsidRPr="00344786">
        <w:rPr>
          <w:rFonts w:asciiTheme="minorHAnsi" w:hAnsiTheme="minorHAnsi" w:cstheme="majorHAnsi"/>
          <w:szCs w:val="24"/>
        </w:rPr>
        <w:t xml:space="preserve"> </w:t>
      </w:r>
      <w:r w:rsidRPr="00344786">
        <w:rPr>
          <w:rFonts w:asciiTheme="minorHAnsi" w:hAnsiTheme="minorHAnsi" w:cstheme="majorHAnsi"/>
          <w:b/>
          <w:bCs/>
          <w:szCs w:val="24"/>
        </w:rPr>
        <w:t>10</w:t>
      </w:r>
      <w:r w:rsidRPr="00344786">
        <w:rPr>
          <w:rFonts w:asciiTheme="minorHAnsi" w:hAnsiTheme="minorHAnsi" w:cstheme="majorHAnsi"/>
          <w:szCs w:val="24"/>
        </w:rPr>
        <w:t>, no. 1, 1–15, doi: 10.1038/s41598-020-60928-0.</w:t>
      </w:r>
    </w:p>
    <w:p w14:paraId="337341AD" w14:textId="3E3A3086" w:rsidR="00344786" w:rsidRDefault="00344786"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Pelz, M.-T., M. Schartau, C. J. Somes, V. Lampe, and T. Slawig (2023). A diffusion-based kernel density estimator (diffKDE, version 1) with optimal bandwidth approximation for the analysis of data in geoscience and ecological research, </w:t>
      </w:r>
      <w:r w:rsidRPr="00344786">
        <w:rPr>
          <w:rFonts w:asciiTheme="minorHAnsi" w:hAnsiTheme="minorHAnsi" w:cstheme="majorHAnsi"/>
          <w:i/>
          <w:iCs/>
          <w:szCs w:val="24"/>
        </w:rPr>
        <w:t>Geosci Model Dev</w:t>
      </w:r>
      <w:r w:rsidRPr="00344786">
        <w:rPr>
          <w:rFonts w:asciiTheme="minorHAnsi" w:hAnsiTheme="minorHAnsi" w:cstheme="majorHAnsi"/>
          <w:szCs w:val="24"/>
        </w:rPr>
        <w:t xml:space="preserve"> </w:t>
      </w:r>
      <w:r w:rsidRPr="00344786">
        <w:rPr>
          <w:rFonts w:asciiTheme="minorHAnsi" w:hAnsiTheme="minorHAnsi" w:cstheme="majorHAnsi"/>
          <w:b/>
          <w:bCs/>
          <w:szCs w:val="24"/>
        </w:rPr>
        <w:t>16</w:t>
      </w:r>
      <w:r w:rsidRPr="00344786">
        <w:rPr>
          <w:rFonts w:asciiTheme="minorHAnsi" w:hAnsiTheme="minorHAnsi" w:cstheme="majorHAnsi"/>
          <w:szCs w:val="24"/>
        </w:rPr>
        <w:t>, no. 22, 6609–6634, doi: 10.5194/gmd-16-6609-2023.</w:t>
      </w:r>
    </w:p>
    <w:p w14:paraId="3BB5A2B5" w14:textId="40ECC8EA" w:rsidR="006F2903" w:rsidRPr="00344786" w:rsidRDefault="006F2903" w:rsidP="00344786">
      <w:pPr>
        <w:autoSpaceDE w:val="0"/>
        <w:autoSpaceDN w:val="0"/>
        <w:spacing w:line="360" w:lineRule="auto"/>
        <w:ind w:left="450" w:hanging="450"/>
        <w:jc w:val="both"/>
        <w:rPr>
          <w:rFonts w:asciiTheme="minorHAnsi" w:hAnsiTheme="minorHAnsi" w:cstheme="majorHAnsi"/>
          <w:szCs w:val="24"/>
        </w:rPr>
      </w:pPr>
      <w:r w:rsidRPr="006F2903">
        <w:rPr>
          <w:rFonts w:asciiTheme="minorHAnsi" w:hAnsiTheme="minorHAnsi" w:cstheme="majorHAnsi"/>
          <w:szCs w:val="24"/>
        </w:rPr>
        <w:t>Pelz, M.-T., &amp; Slawig, T. (2023). Diffusion-based kernel density estimator (diffKDE) (</w:t>
      </w:r>
      <w:r>
        <w:rPr>
          <w:rFonts w:asciiTheme="minorHAnsi" w:hAnsiTheme="minorHAnsi" w:cstheme="majorHAnsi"/>
          <w:szCs w:val="24"/>
        </w:rPr>
        <w:t>Version</w:t>
      </w:r>
      <w:r w:rsidRPr="006F2903">
        <w:rPr>
          <w:rFonts w:asciiTheme="minorHAnsi" w:hAnsiTheme="minorHAnsi" w:cstheme="majorHAnsi"/>
          <w:szCs w:val="24"/>
        </w:rPr>
        <w:t xml:space="preserve"> 1). Zenodo. </w:t>
      </w:r>
      <w:hyperlink r:id="rId119" w:tgtFrame="_blank" w:history="1">
        <w:r w:rsidRPr="006F2903">
          <w:rPr>
            <w:rStyle w:val="Hyperlink"/>
            <w:rFonts w:asciiTheme="minorHAnsi" w:hAnsiTheme="minorHAnsi" w:cstheme="majorHAnsi"/>
            <w:szCs w:val="24"/>
          </w:rPr>
          <w:t>https://doi.org/10.5281/zenodo.7594915</w:t>
        </w:r>
      </w:hyperlink>
    </w:p>
    <w:p w14:paraId="206E7BB0" w14:textId="04A478D3" w:rsidR="00F63097" w:rsidRPr="00344786" w:rsidRDefault="00F63097"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Plotnikova, L. M., B. S. Nurtaev, J. R. Grasso, L. M. Matasova, and R. Bossu (1996). The character and extent of seismic deformation in the focal zone of gazli earthquakes of 1976 and 1984,M&amp;gt;7.0, </w:t>
      </w:r>
      <w:r w:rsidRPr="00344786">
        <w:rPr>
          <w:rFonts w:asciiTheme="minorHAnsi" w:hAnsiTheme="minorHAnsi" w:cstheme="majorHAnsi"/>
          <w:i/>
          <w:iCs/>
          <w:szCs w:val="24"/>
        </w:rPr>
        <w:t>Pure and Applied Geophysics PAGEOPH</w:t>
      </w:r>
      <w:r w:rsidRPr="00344786">
        <w:rPr>
          <w:rFonts w:asciiTheme="minorHAnsi" w:hAnsiTheme="minorHAnsi" w:cstheme="majorHAnsi"/>
          <w:szCs w:val="24"/>
        </w:rPr>
        <w:t xml:space="preserve"> </w:t>
      </w:r>
      <w:r w:rsidRPr="00344786">
        <w:rPr>
          <w:rFonts w:asciiTheme="minorHAnsi" w:hAnsiTheme="minorHAnsi" w:cstheme="majorHAnsi"/>
          <w:b/>
          <w:bCs/>
          <w:szCs w:val="24"/>
        </w:rPr>
        <w:t>147</w:t>
      </w:r>
      <w:r w:rsidRPr="00344786">
        <w:rPr>
          <w:rFonts w:asciiTheme="minorHAnsi" w:hAnsiTheme="minorHAnsi" w:cstheme="majorHAnsi"/>
          <w:szCs w:val="24"/>
        </w:rPr>
        <w:t>, no. 2, 377–387, doi: 10.1007/BF00877490.</w:t>
      </w:r>
    </w:p>
    <w:p w14:paraId="07ADE4FB" w14:textId="77777777" w:rsidR="00EC0072" w:rsidRPr="00344786" w:rsidRDefault="00EC0072"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lastRenderedPageBreak/>
        <w:t xml:space="preserve">Rutledge, J. T. (2004). Faulting Induced by Forced Fluid Injection and Fluid Flow Forced by Faulting: An Interpretation of Hydraulic-Fracture Microseismicity, Carthage Cotton Valley Gas Field, Texas, </w:t>
      </w:r>
      <w:r w:rsidRPr="00344786">
        <w:rPr>
          <w:rFonts w:asciiTheme="minorHAnsi" w:hAnsiTheme="minorHAnsi" w:cstheme="majorHAnsi"/>
          <w:i/>
          <w:iCs/>
          <w:szCs w:val="24"/>
        </w:rPr>
        <w:t>Bulletin of the Seismological Society of America</w:t>
      </w:r>
      <w:r w:rsidRPr="00344786">
        <w:rPr>
          <w:rFonts w:asciiTheme="minorHAnsi" w:hAnsiTheme="minorHAnsi" w:cstheme="majorHAnsi"/>
          <w:szCs w:val="24"/>
        </w:rPr>
        <w:t xml:space="preserve"> </w:t>
      </w:r>
      <w:r w:rsidRPr="00344786">
        <w:rPr>
          <w:rFonts w:asciiTheme="minorHAnsi" w:hAnsiTheme="minorHAnsi" w:cstheme="majorHAnsi"/>
          <w:b/>
          <w:bCs/>
          <w:szCs w:val="24"/>
        </w:rPr>
        <w:t>94</w:t>
      </w:r>
      <w:r w:rsidRPr="00344786">
        <w:rPr>
          <w:rFonts w:asciiTheme="minorHAnsi" w:hAnsiTheme="minorHAnsi" w:cstheme="majorHAnsi"/>
          <w:szCs w:val="24"/>
        </w:rPr>
        <w:t>, no. 5, 1817–1830, doi: 10.1785/012003257.</w:t>
      </w:r>
    </w:p>
    <w:p w14:paraId="6875CBB8" w14:textId="1C608583" w:rsidR="004453EC" w:rsidRPr="00344786" w:rsidRDefault="004453EC"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Saculinggan, M., and E. A. Balase (2013). Empirical Power Comparison Of Goodness of Fit Tests for Normality In The Presence of Outliers, </w:t>
      </w:r>
      <w:r w:rsidRPr="00344786">
        <w:rPr>
          <w:rFonts w:asciiTheme="minorHAnsi" w:hAnsiTheme="minorHAnsi" w:cstheme="majorHAnsi"/>
          <w:i/>
          <w:iCs/>
          <w:szCs w:val="24"/>
        </w:rPr>
        <w:t>J Phys Conf Ser</w:t>
      </w:r>
      <w:r w:rsidRPr="00344786">
        <w:rPr>
          <w:rFonts w:asciiTheme="minorHAnsi" w:hAnsiTheme="minorHAnsi" w:cstheme="majorHAnsi"/>
          <w:szCs w:val="24"/>
        </w:rPr>
        <w:t xml:space="preserve"> </w:t>
      </w:r>
      <w:r w:rsidRPr="00344786">
        <w:rPr>
          <w:rFonts w:asciiTheme="minorHAnsi" w:hAnsiTheme="minorHAnsi" w:cstheme="majorHAnsi"/>
          <w:b/>
          <w:bCs/>
          <w:szCs w:val="24"/>
        </w:rPr>
        <w:t>435</w:t>
      </w:r>
      <w:r w:rsidRPr="00344786">
        <w:rPr>
          <w:rFonts w:asciiTheme="minorHAnsi" w:hAnsiTheme="minorHAnsi" w:cstheme="majorHAnsi"/>
          <w:szCs w:val="24"/>
        </w:rPr>
        <w:t>, 012041, doi: 10.1088/1742-6596/435/1/012041.</w:t>
      </w:r>
    </w:p>
    <w:p w14:paraId="5C74902E" w14:textId="23580D1B" w:rsidR="006E7004" w:rsidRPr="00344786" w:rsidRDefault="006E7004"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iCs/>
          <w:szCs w:val="24"/>
        </w:rPr>
        <w:t>Silverman, B. W., Density Estimation for Statistics and Data Analysis, (Chapman Hall, London 1986).</w:t>
      </w:r>
    </w:p>
    <w:p w14:paraId="459A272C" w14:textId="60924AB0" w:rsidR="00365B1A" w:rsidRPr="00344786" w:rsidRDefault="00365B1A"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Taroni, M., J. Selva, and J. Zhuang (2021). Estimation of the Tapered Gutenberg-Richter Distribution Parameters for Catalogs with Variable Completeness: An Application to the Atlantic Ridge Seismicity, </w:t>
      </w:r>
      <w:r w:rsidRPr="00344786">
        <w:rPr>
          <w:rFonts w:asciiTheme="minorHAnsi" w:hAnsiTheme="minorHAnsi" w:cstheme="majorHAnsi"/>
          <w:i/>
          <w:iCs/>
          <w:szCs w:val="24"/>
        </w:rPr>
        <w:t>Applied Sciences</w:t>
      </w:r>
      <w:r w:rsidRPr="00344786">
        <w:rPr>
          <w:rFonts w:asciiTheme="minorHAnsi" w:hAnsiTheme="minorHAnsi" w:cstheme="majorHAnsi"/>
          <w:szCs w:val="24"/>
        </w:rPr>
        <w:t xml:space="preserve"> </w:t>
      </w:r>
      <w:r w:rsidRPr="00344786">
        <w:rPr>
          <w:rFonts w:asciiTheme="minorHAnsi" w:hAnsiTheme="minorHAnsi" w:cstheme="majorHAnsi"/>
          <w:b/>
          <w:bCs/>
          <w:szCs w:val="24"/>
        </w:rPr>
        <w:t>11</w:t>
      </w:r>
      <w:r w:rsidRPr="00344786">
        <w:rPr>
          <w:rFonts w:asciiTheme="minorHAnsi" w:hAnsiTheme="minorHAnsi" w:cstheme="majorHAnsi"/>
          <w:szCs w:val="24"/>
        </w:rPr>
        <w:t>, no. 24, 12166, doi: 10.3390/app112412166.</w:t>
      </w:r>
    </w:p>
    <w:p w14:paraId="7402F668" w14:textId="4074BE6D" w:rsidR="009E27BE" w:rsidRPr="00344786" w:rsidRDefault="009E27BE"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Urban, P., S. Lasocki, P. Blascheck, A. F. do Nascimento, N. Van Giang, and G. Kwiatek (2016). Violations of Gutenberg–Richter Relation in Anthropogenic Seismicity, </w:t>
      </w:r>
      <w:r w:rsidRPr="00344786">
        <w:rPr>
          <w:rFonts w:asciiTheme="minorHAnsi" w:hAnsiTheme="minorHAnsi" w:cstheme="majorHAnsi"/>
          <w:i/>
          <w:iCs/>
          <w:szCs w:val="24"/>
        </w:rPr>
        <w:t>Pure Appl Geophys</w:t>
      </w:r>
      <w:r w:rsidRPr="00344786">
        <w:rPr>
          <w:rFonts w:asciiTheme="minorHAnsi" w:hAnsiTheme="minorHAnsi" w:cstheme="majorHAnsi"/>
          <w:szCs w:val="24"/>
        </w:rPr>
        <w:t xml:space="preserve"> </w:t>
      </w:r>
      <w:r w:rsidRPr="00344786">
        <w:rPr>
          <w:rFonts w:asciiTheme="minorHAnsi" w:hAnsiTheme="minorHAnsi" w:cstheme="majorHAnsi"/>
          <w:b/>
          <w:bCs/>
          <w:szCs w:val="24"/>
        </w:rPr>
        <w:t>173</w:t>
      </w:r>
      <w:r w:rsidRPr="00344786">
        <w:rPr>
          <w:rFonts w:asciiTheme="minorHAnsi" w:hAnsiTheme="minorHAnsi" w:cstheme="majorHAnsi"/>
          <w:szCs w:val="24"/>
        </w:rPr>
        <w:t>, no. 5, 1517–1537, doi: 10.1007/s00024-015-1188-5.</w:t>
      </w:r>
    </w:p>
    <w:p w14:paraId="718C5CE2" w14:textId="159473E1" w:rsidR="00331BFE" w:rsidRPr="00344786" w:rsidRDefault="00331BFE"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Utsu, T. (1999). Representation and Analysis of the Earthquake Size Distribution: A Historical Review and Some New Approaches, </w:t>
      </w:r>
      <w:r w:rsidRPr="00344786">
        <w:rPr>
          <w:rFonts w:asciiTheme="minorHAnsi" w:hAnsiTheme="minorHAnsi" w:cstheme="majorHAnsi"/>
          <w:i/>
          <w:iCs/>
          <w:szCs w:val="24"/>
        </w:rPr>
        <w:t>Pure Appl Geophys</w:t>
      </w:r>
      <w:r w:rsidRPr="00344786">
        <w:rPr>
          <w:rFonts w:asciiTheme="minorHAnsi" w:hAnsiTheme="minorHAnsi" w:cstheme="majorHAnsi"/>
          <w:szCs w:val="24"/>
        </w:rPr>
        <w:t xml:space="preserve"> </w:t>
      </w:r>
      <w:r w:rsidRPr="00344786">
        <w:rPr>
          <w:rFonts w:asciiTheme="minorHAnsi" w:hAnsiTheme="minorHAnsi" w:cstheme="majorHAnsi"/>
          <w:b/>
          <w:bCs/>
          <w:szCs w:val="24"/>
        </w:rPr>
        <w:t>155</w:t>
      </w:r>
      <w:r w:rsidRPr="00344786">
        <w:rPr>
          <w:rFonts w:asciiTheme="minorHAnsi" w:hAnsiTheme="minorHAnsi" w:cstheme="majorHAnsi"/>
          <w:szCs w:val="24"/>
        </w:rPr>
        <w:t>, no. 2–4, 509–535, doi: 10.1007/s000240050276.</w:t>
      </w:r>
    </w:p>
    <w:p w14:paraId="79291CDF" w14:textId="77777777" w:rsidR="005B4A67" w:rsidRPr="00344786" w:rsidRDefault="005B4A67"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Valoroso, L., L. Improta, L. Chiaraluce, R. Di Stefano, L. Ferranti, A. Govoni, and C. Chiarabba (2009). Active faults and induced seismicity in the Val d’Agri area (Southern Apennines, Italy), </w:t>
      </w:r>
      <w:r w:rsidRPr="00344786">
        <w:rPr>
          <w:rFonts w:asciiTheme="minorHAnsi" w:hAnsiTheme="minorHAnsi" w:cstheme="majorHAnsi"/>
          <w:i/>
          <w:iCs/>
          <w:szCs w:val="24"/>
        </w:rPr>
        <w:t>Geophys J Int</w:t>
      </w:r>
      <w:r w:rsidRPr="00344786">
        <w:rPr>
          <w:rFonts w:asciiTheme="minorHAnsi" w:hAnsiTheme="minorHAnsi" w:cstheme="majorHAnsi"/>
          <w:szCs w:val="24"/>
        </w:rPr>
        <w:t xml:space="preserve"> </w:t>
      </w:r>
      <w:r w:rsidRPr="00344786">
        <w:rPr>
          <w:rFonts w:asciiTheme="minorHAnsi" w:hAnsiTheme="minorHAnsi" w:cstheme="majorHAnsi"/>
          <w:b/>
          <w:bCs/>
          <w:szCs w:val="24"/>
        </w:rPr>
        <w:t>178</w:t>
      </w:r>
      <w:r w:rsidRPr="00344786">
        <w:rPr>
          <w:rFonts w:asciiTheme="minorHAnsi" w:hAnsiTheme="minorHAnsi" w:cstheme="majorHAnsi"/>
          <w:szCs w:val="24"/>
        </w:rPr>
        <w:t>, no. 1, 488–502, doi: 10.1111/j.1365-246X.2009.04166.x.</w:t>
      </w:r>
    </w:p>
    <w:p w14:paraId="605A0971" w14:textId="6C430F50" w:rsidR="005B4A67" w:rsidRPr="00344786" w:rsidRDefault="005B4A67"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t xml:space="preserve">Valoroso, L., L. Improta, P. De Gori, and C. Chiarabba (2011). Upper crustal structure, seismicity and pore pressure variations in an extensional seismic belt through 3-D and 4-D V </w:t>
      </w:r>
      <w:r w:rsidRPr="00344786">
        <w:rPr>
          <w:rFonts w:asciiTheme="minorHAnsi" w:hAnsiTheme="minorHAnsi" w:cstheme="majorHAnsi"/>
          <w:szCs w:val="24"/>
          <w:vertAlign w:val="subscript"/>
        </w:rPr>
        <w:t>P</w:t>
      </w:r>
      <w:r w:rsidRPr="00344786">
        <w:rPr>
          <w:rFonts w:asciiTheme="minorHAnsi" w:hAnsiTheme="minorHAnsi" w:cstheme="majorHAnsi"/>
          <w:szCs w:val="24"/>
        </w:rPr>
        <w:t xml:space="preserve"> and V </w:t>
      </w:r>
      <w:r w:rsidRPr="00344786">
        <w:rPr>
          <w:rFonts w:asciiTheme="minorHAnsi" w:hAnsiTheme="minorHAnsi" w:cstheme="majorHAnsi"/>
          <w:szCs w:val="24"/>
          <w:vertAlign w:val="subscript"/>
        </w:rPr>
        <w:t>P</w:t>
      </w:r>
      <w:r w:rsidRPr="00344786">
        <w:rPr>
          <w:rFonts w:asciiTheme="minorHAnsi" w:hAnsiTheme="minorHAnsi" w:cstheme="majorHAnsi"/>
          <w:szCs w:val="24"/>
        </w:rPr>
        <w:t xml:space="preserve"> /V </w:t>
      </w:r>
      <w:r w:rsidRPr="00344786">
        <w:rPr>
          <w:rFonts w:asciiTheme="minorHAnsi" w:hAnsiTheme="minorHAnsi" w:cstheme="majorHAnsi"/>
          <w:szCs w:val="24"/>
          <w:vertAlign w:val="subscript"/>
        </w:rPr>
        <w:t>S</w:t>
      </w:r>
      <w:r w:rsidRPr="00344786">
        <w:rPr>
          <w:rFonts w:asciiTheme="minorHAnsi" w:hAnsiTheme="minorHAnsi" w:cstheme="majorHAnsi"/>
          <w:szCs w:val="24"/>
        </w:rPr>
        <w:t xml:space="preserve"> models: The example of the Val d’Agri area (southern Italy), </w:t>
      </w:r>
      <w:r w:rsidRPr="00344786">
        <w:rPr>
          <w:rFonts w:asciiTheme="minorHAnsi" w:hAnsiTheme="minorHAnsi" w:cstheme="majorHAnsi"/>
          <w:i/>
          <w:iCs/>
          <w:szCs w:val="24"/>
        </w:rPr>
        <w:t>J Geophys Res</w:t>
      </w:r>
      <w:r w:rsidRPr="00344786">
        <w:rPr>
          <w:rFonts w:asciiTheme="minorHAnsi" w:hAnsiTheme="minorHAnsi" w:cstheme="majorHAnsi"/>
          <w:szCs w:val="24"/>
        </w:rPr>
        <w:t xml:space="preserve"> </w:t>
      </w:r>
      <w:r w:rsidRPr="00344786">
        <w:rPr>
          <w:rFonts w:asciiTheme="minorHAnsi" w:hAnsiTheme="minorHAnsi" w:cstheme="majorHAnsi"/>
          <w:b/>
          <w:bCs/>
          <w:szCs w:val="24"/>
        </w:rPr>
        <w:t>116</w:t>
      </w:r>
      <w:r w:rsidRPr="00344786">
        <w:rPr>
          <w:rFonts w:asciiTheme="minorHAnsi" w:hAnsiTheme="minorHAnsi" w:cstheme="majorHAnsi"/>
          <w:szCs w:val="24"/>
        </w:rPr>
        <w:t>, no. B7, B07303, doi: 10.1029/2010JB007661.</w:t>
      </w:r>
    </w:p>
    <w:p w14:paraId="27358DEB" w14:textId="77777777" w:rsidR="00CF7BD7" w:rsidRPr="00344786" w:rsidRDefault="00CF7BD7" w:rsidP="00344786">
      <w:pPr>
        <w:autoSpaceDE w:val="0"/>
        <w:autoSpaceDN w:val="0"/>
        <w:spacing w:line="360" w:lineRule="auto"/>
        <w:ind w:left="450" w:hanging="450"/>
        <w:jc w:val="both"/>
        <w:rPr>
          <w:rFonts w:asciiTheme="minorHAnsi" w:hAnsiTheme="minorHAnsi" w:cstheme="majorHAnsi"/>
          <w:szCs w:val="24"/>
        </w:rPr>
      </w:pPr>
      <w:r w:rsidRPr="00344786">
        <w:rPr>
          <w:rFonts w:asciiTheme="minorHAnsi" w:hAnsiTheme="minorHAnsi" w:cstheme="majorHAnsi"/>
          <w:szCs w:val="24"/>
        </w:rPr>
        <w:lastRenderedPageBreak/>
        <w:t xml:space="preserve">Walpersdorf, A., L. Pinget, P. Vernant, C. Sue, and A. Deprez (2018). Does Long‐Term GPS in the Western Alps Finally Confirm Earthquake Mechanisms?, </w:t>
      </w:r>
      <w:r w:rsidRPr="00344786">
        <w:rPr>
          <w:rFonts w:asciiTheme="minorHAnsi" w:hAnsiTheme="minorHAnsi" w:cstheme="majorHAnsi"/>
          <w:i/>
          <w:iCs/>
          <w:szCs w:val="24"/>
        </w:rPr>
        <w:t>Tectonics</w:t>
      </w:r>
      <w:r w:rsidRPr="00344786">
        <w:rPr>
          <w:rFonts w:asciiTheme="minorHAnsi" w:hAnsiTheme="minorHAnsi" w:cstheme="majorHAnsi"/>
          <w:szCs w:val="24"/>
        </w:rPr>
        <w:t xml:space="preserve"> </w:t>
      </w:r>
      <w:r w:rsidRPr="00344786">
        <w:rPr>
          <w:rFonts w:asciiTheme="minorHAnsi" w:hAnsiTheme="minorHAnsi" w:cstheme="majorHAnsi"/>
          <w:b/>
          <w:bCs/>
          <w:szCs w:val="24"/>
        </w:rPr>
        <w:t>37</w:t>
      </w:r>
      <w:r w:rsidRPr="00344786">
        <w:rPr>
          <w:rFonts w:asciiTheme="minorHAnsi" w:hAnsiTheme="minorHAnsi" w:cstheme="majorHAnsi"/>
          <w:szCs w:val="24"/>
        </w:rPr>
        <w:t>, no. 10, 3721–3737, doi: 10.1029/2018TC005054.</w:t>
      </w:r>
    </w:p>
    <w:p w14:paraId="69134D4C" w14:textId="77777777" w:rsidR="00872DC9" w:rsidRPr="00344786" w:rsidRDefault="00872DC9" w:rsidP="00344786">
      <w:pPr>
        <w:spacing w:line="360" w:lineRule="auto"/>
        <w:rPr>
          <w:rFonts w:asciiTheme="minorHAnsi" w:hAnsiTheme="minorHAnsi"/>
          <w:szCs w:val="24"/>
        </w:rPr>
      </w:pPr>
    </w:p>
    <w:sectPr w:rsidR="00872DC9" w:rsidRPr="00344786" w:rsidSect="001B18F3">
      <w:headerReference w:type="even" r:id="rId120"/>
      <w:headerReference w:type="default" r:id="rId121"/>
      <w:footerReference w:type="even" r:id="rId122"/>
      <w:footerReference w:type="default" r:id="rId123"/>
      <w:headerReference w:type="first" r:id="rId124"/>
      <w:footerReference w:type="first" r:id="rId125"/>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C7291" w14:textId="77777777" w:rsidR="00CA1E3F" w:rsidRDefault="00CA1E3F">
      <w:r>
        <w:separator/>
      </w:r>
    </w:p>
  </w:endnote>
  <w:endnote w:type="continuationSeparator" w:id="0">
    <w:p w14:paraId="3B89D578" w14:textId="77777777" w:rsidR="00CA1E3F" w:rsidRDefault="00CA1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imes">
    <w:altName w:val="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6102A" w14:textId="77777777" w:rsidR="001966FD" w:rsidRDefault="001966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8E7ED" w14:textId="77777777" w:rsidR="00F125EE" w:rsidRDefault="00114193">
    <w:pPr>
      <w:pStyle w:val="Footer"/>
      <w:jc w:val="right"/>
    </w:pPr>
    <w:r>
      <w:fldChar w:fldCharType="begin"/>
    </w:r>
    <w:r>
      <w:instrText xml:space="preserve"> PAGE   \* MERGEFORMAT </w:instrText>
    </w:r>
    <w:r>
      <w:fldChar w:fldCharType="separate"/>
    </w:r>
    <w:r w:rsidR="00D10134">
      <w:rPr>
        <w:noProof/>
      </w:rPr>
      <w:t>1</w:t>
    </w:r>
    <w:r>
      <w:fldChar w:fldCharType="end"/>
    </w:r>
  </w:p>
  <w:p w14:paraId="486656F3" w14:textId="77777777" w:rsidR="00F125EE" w:rsidRDefault="00F125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BBCA3" w14:textId="77777777" w:rsidR="001966FD" w:rsidRDefault="001966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2865B" w14:textId="77777777" w:rsidR="00CA1E3F" w:rsidRDefault="00CA1E3F">
      <w:r>
        <w:separator/>
      </w:r>
    </w:p>
  </w:footnote>
  <w:footnote w:type="continuationSeparator" w:id="0">
    <w:p w14:paraId="0722925C" w14:textId="77777777" w:rsidR="00CA1E3F" w:rsidRDefault="00CA1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9EF6B" w14:textId="77777777" w:rsidR="001966FD" w:rsidRDefault="001966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23C1C" w14:textId="77777777" w:rsidR="003A2FD8" w:rsidRPr="005001AC" w:rsidRDefault="003A2FD8" w:rsidP="005001AC">
    <w:pPr>
      <w:jc w:val="right"/>
      <w:rPr>
        <w:sz w:val="20"/>
      </w:rPr>
    </w:pPr>
  </w:p>
  <w:p w14:paraId="18F8F636" w14:textId="77777777" w:rsidR="003A2FD8" w:rsidRDefault="003A2FD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C5ADD" w14:textId="77777777" w:rsidR="001966FD" w:rsidRDefault="001966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351C19"/>
    <w:multiLevelType w:val="multilevel"/>
    <w:tmpl w:val="E826A58A"/>
    <w:lvl w:ilvl="0">
      <w:start w:val="1"/>
      <w:numFmt w:val="decimal"/>
      <w:suff w:val="space"/>
      <w:lvlText w:val="%1."/>
      <w:lvlJc w:val="left"/>
      <w:pPr>
        <w:ind w:left="0" w:firstLine="0"/>
      </w:pPr>
      <w:rPr>
        <w:rFonts w:ascii="Calibri" w:hAnsi="Calibri" w:hint="default"/>
        <w:b w:val="0"/>
        <w:i w:val="0"/>
        <w:color w:val="000000" w:themeColor="text1"/>
        <w:sz w:val="28"/>
      </w:rPr>
    </w:lvl>
    <w:lvl w:ilvl="1">
      <w:start w:val="1"/>
      <w:numFmt w:val="decimal"/>
      <w:lvlText w:val="%1.%2"/>
      <w:lvlJc w:val="left"/>
      <w:pPr>
        <w:ind w:left="0" w:firstLine="0"/>
      </w:pPr>
      <w:rPr>
        <w:rFonts w:ascii="Times New Roman" w:hAnsi="Times New Roman" w:cs="Times New Roman" w:hint="default"/>
        <w:b w:val="0"/>
        <w:i w:val="0"/>
        <w:color w:val="000000" w:themeColor="text1"/>
        <w:sz w:val="24"/>
        <w:szCs w:val="24"/>
      </w:rPr>
    </w:lvl>
    <w:lvl w:ilvl="2">
      <w:start w:val="1"/>
      <w:numFmt w:val="decimal"/>
      <w:lvlText w:val="%1.%2.%3"/>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1A432F4E"/>
    <w:multiLevelType w:val="hybridMultilevel"/>
    <w:tmpl w:val="71FEAB3C"/>
    <w:lvl w:ilvl="0" w:tplc="3A8A50D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1901DB9"/>
    <w:multiLevelType w:val="hybridMultilevel"/>
    <w:tmpl w:val="00B686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5572B7"/>
    <w:multiLevelType w:val="hybridMultilevel"/>
    <w:tmpl w:val="31D2A816"/>
    <w:lvl w:ilvl="0" w:tplc="3A8A50D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D6613E3"/>
    <w:multiLevelType w:val="hybridMultilevel"/>
    <w:tmpl w:val="B3AA2A0E"/>
    <w:lvl w:ilvl="0" w:tplc="BF081EC4">
      <w:start w:val="43"/>
      <w:numFmt w:val="decimal"/>
      <w:lvlText w:val="%1."/>
      <w:lvlJc w:val="left"/>
      <w:pPr>
        <w:ind w:left="5" w:hanging="645"/>
      </w:pPr>
      <w:rPr>
        <w:rFonts w:hint="default"/>
      </w:rPr>
    </w:lvl>
    <w:lvl w:ilvl="1" w:tplc="04150019" w:tentative="1">
      <w:start w:val="1"/>
      <w:numFmt w:val="lowerLetter"/>
      <w:lvlText w:val="%2."/>
      <w:lvlJc w:val="left"/>
      <w:pPr>
        <w:ind w:left="440" w:hanging="360"/>
      </w:pPr>
    </w:lvl>
    <w:lvl w:ilvl="2" w:tplc="0415001B" w:tentative="1">
      <w:start w:val="1"/>
      <w:numFmt w:val="lowerRoman"/>
      <w:lvlText w:val="%3."/>
      <w:lvlJc w:val="right"/>
      <w:pPr>
        <w:ind w:left="1160" w:hanging="180"/>
      </w:pPr>
    </w:lvl>
    <w:lvl w:ilvl="3" w:tplc="0415000F" w:tentative="1">
      <w:start w:val="1"/>
      <w:numFmt w:val="decimal"/>
      <w:lvlText w:val="%4."/>
      <w:lvlJc w:val="left"/>
      <w:pPr>
        <w:ind w:left="1880" w:hanging="360"/>
      </w:pPr>
    </w:lvl>
    <w:lvl w:ilvl="4" w:tplc="04150019" w:tentative="1">
      <w:start w:val="1"/>
      <w:numFmt w:val="lowerLetter"/>
      <w:lvlText w:val="%5."/>
      <w:lvlJc w:val="left"/>
      <w:pPr>
        <w:ind w:left="2600" w:hanging="360"/>
      </w:pPr>
    </w:lvl>
    <w:lvl w:ilvl="5" w:tplc="0415001B" w:tentative="1">
      <w:start w:val="1"/>
      <w:numFmt w:val="lowerRoman"/>
      <w:lvlText w:val="%6."/>
      <w:lvlJc w:val="right"/>
      <w:pPr>
        <w:ind w:left="3320" w:hanging="180"/>
      </w:pPr>
    </w:lvl>
    <w:lvl w:ilvl="6" w:tplc="0415000F" w:tentative="1">
      <w:start w:val="1"/>
      <w:numFmt w:val="decimal"/>
      <w:lvlText w:val="%7."/>
      <w:lvlJc w:val="left"/>
      <w:pPr>
        <w:ind w:left="4040" w:hanging="360"/>
      </w:pPr>
    </w:lvl>
    <w:lvl w:ilvl="7" w:tplc="04150019" w:tentative="1">
      <w:start w:val="1"/>
      <w:numFmt w:val="lowerLetter"/>
      <w:lvlText w:val="%8."/>
      <w:lvlJc w:val="left"/>
      <w:pPr>
        <w:ind w:left="4760" w:hanging="360"/>
      </w:pPr>
    </w:lvl>
    <w:lvl w:ilvl="8" w:tplc="0415001B" w:tentative="1">
      <w:start w:val="1"/>
      <w:numFmt w:val="lowerRoman"/>
      <w:lvlText w:val="%9."/>
      <w:lvlJc w:val="right"/>
      <w:pPr>
        <w:ind w:left="5480" w:hanging="180"/>
      </w:pPr>
    </w:lvl>
  </w:abstractNum>
  <w:abstractNum w:abstractNumId="15" w15:restartNumberingAfterBreak="0">
    <w:nsid w:val="4D9D4332"/>
    <w:multiLevelType w:val="multilevel"/>
    <w:tmpl w:val="4ECE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4A1617"/>
    <w:multiLevelType w:val="hybridMultilevel"/>
    <w:tmpl w:val="42B46B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2D508A0"/>
    <w:multiLevelType w:val="multilevel"/>
    <w:tmpl w:val="02BAE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D37AC4"/>
    <w:multiLevelType w:val="hybridMultilevel"/>
    <w:tmpl w:val="F894C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4F3D93"/>
    <w:multiLevelType w:val="multilevel"/>
    <w:tmpl w:val="195640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5410DB6"/>
    <w:multiLevelType w:val="hybridMultilevel"/>
    <w:tmpl w:val="77E40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81017E"/>
    <w:multiLevelType w:val="hybridMultilevel"/>
    <w:tmpl w:val="DAD6D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 w:numId="13">
    <w:abstractNumId w:val="12"/>
  </w:num>
  <w:num w:numId="14">
    <w:abstractNumId w:val="21"/>
  </w:num>
  <w:num w:numId="15">
    <w:abstractNumId w:val="20"/>
  </w:num>
  <w:num w:numId="16">
    <w:abstractNumId w:val="17"/>
  </w:num>
  <w:num w:numId="17">
    <w:abstractNumId w:val="19"/>
  </w:num>
  <w:num w:numId="18">
    <w:abstractNumId w:val="10"/>
  </w:num>
  <w:num w:numId="19">
    <w:abstractNumId w:val="16"/>
  </w:num>
  <w:num w:numId="20">
    <w:abstractNumId w:val="11"/>
  </w:num>
  <w:num w:numId="21">
    <w:abstractNumId w:val="13"/>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2"/>
    </w:lvlOverride>
  </w:num>
  <w:num w:numId="25">
    <w:abstractNumId w:val="10"/>
    <w:lvlOverride w:ilvl="0">
      <w:startOverride w:val="4"/>
    </w:lvlOverride>
    <w:lvlOverride w:ilvl="1">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27FA"/>
    <w:rsid w:val="0000399D"/>
    <w:rsid w:val="0000522C"/>
    <w:rsid w:val="00005543"/>
    <w:rsid w:val="00010222"/>
    <w:rsid w:val="00015946"/>
    <w:rsid w:val="00015F74"/>
    <w:rsid w:val="00021972"/>
    <w:rsid w:val="00027656"/>
    <w:rsid w:val="00027CAF"/>
    <w:rsid w:val="00030547"/>
    <w:rsid w:val="0003354C"/>
    <w:rsid w:val="000343FA"/>
    <w:rsid w:val="00034461"/>
    <w:rsid w:val="00036876"/>
    <w:rsid w:val="0004135F"/>
    <w:rsid w:val="0004287F"/>
    <w:rsid w:val="00043571"/>
    <w:rsid w:val="00044BD7"/>
    <w:rsid w:val="00056F08"/>
    <w:rsid w:val="00065EBD"/>
    <w:rsid w:val="00070F6A"/>
    <w:rsid w:val="00077395"/>
    <w:rsid w:val="000815F3"/>
    <w:rsid w:val="00082E71"/>
    <w:rsid w:val="00083B44"/>
    <w:rsid w:val="00083BBB"/>
    <w:rsid w:val="000850DC"/>
    <w:rsid w:val="000861DE"/>
    <w:rsid w:val="00086348"/>
    <w:rsid w:val="000873DD"/>
    <w:rsid w:val="00087F98"/>
    <w:rsid w:val="00094365"/>
    <w:rsid w:val="000978EB"/>
    <w:rsid w:val="000A0867"/>
    <w:rsid w:val="000A455B"/>
    <w:rsid w:val="000A65BE"/>
    <w:rsid w:val="000B2E64"/>
    <w:rsid w:val="000B4CAE"/>
    <w:rsid w:val="000C19ED"/>
    <w:rsid w:val="000C1B3C"/>
    <w:rsid w:val="000C2771"/>
    <w:rsid w:val="000C759C"/>
    <w:rsid w:val="000D3868"/>
    <w:rsid w:val="000D68BD"/>
    <w:rsid w:val="000E04D3"/>
    <w:rsid w:val="000E0D7E"/>
    <w:rsid w:val="000E31EB"/>
    <w:rsid w:val="000E344F"/>
    <w:rsid w:val="000E4E28"/>
    <w:rsid w:val="000E5CBC"/>
    <w:rsid w:val="000E7A50"/>
    <w:rsid w:val="000E7FAB"/>
    <w:rsid w:val="000F0DCE"/>
    <w:rsid w:val="001021C0"/>
    <w:rsid w:val="00104038"/>
    <w:rsid w:val="00111843"/>
    <w:rsid w:val="00112C5B"/>
    <w:rsid w:val="00113908"/>
    <w:rsid w:val="00114193"/>
    <w:rsid w:val="00114876"/>
    <w:rsid w:val="001154E6"/>
    <w:rsid w:val="00115A38"/>
    <w:rsid w:val="0011687B"/>
    <w:rsid w:val="00117F14"/>
    <w:rsid w:val="00124F82"/>
    <w:rsid w:val="001265FA"/>
    <w:rsid w:val="00126986"/>
    <w:rsid w:val="001278E3"/>
    <w:rsid w:val="00130743"/>
    <w:rsid w:val="00130B50"/>
    <w:rsid w:val="00132F19"/>
    <w:rsid w:val="00133CD8"/>
    <w:rsid w:val="0013553D"/>
    <w:rsid w:val="001366FD"/>
    <w:rsid w:val="00136EFA"/>
    <w:rsid w:val="00141DB2"/>
    <w:rsid w:val="00144DF8"/>
    <w:rsid w:val="00145487"/>
    <w:rsid w:val="0014786F"/>
    <w:rsid w:val="00147960"/>
    <w:rsid w:val="00152E9F"/>
    <w:rsid w:val="0015358D"/>
    <w:rsid w:val="00156A3C"/>
    <w:rsid w:val="00157D6C"/>
    <w:rsid w:val="00162C96"/>
    <w:rsid w:val="0016337A"/>
    <w:rsid w:val="00164269"/>
    <w:rsid w:val="00176ACD"/>
    <w:rsid w:val="00181164"/>
    <w:rsid w:val="001818E7"/>
    <w:rsid w:val="001821A6"/>
    <w:rsid w:val="00192193"/>
    <w:rsid w:val="00192243"/>
    <w:rsid w:val="00192E71"/>
    <w:rsid w:val="00194619"/>
    <w:rsid w:val="00194ED9"/>
    <w:rsid w:val="0019569B"/>
    <w:rsid w:val="001966FD"/>
    <w:rsid w:val="00197826"/>
    <w:rsid w:val="001A1BDE"/>
    <w:rsid w:val="001B0C5F"/>
    <w:rsid w:val="001B12E7"/>
    <w:rsid w:val="001B18F3"/>
    <w:rsid w:val="001B1E3F"/>
    <w:rsid w:val="001B27F1"/>
    <w:rsid w:val="001B50BB"/>
    <w:rsid w:val="001B7BA8"/>
    <w:rsid w:val="001C101A"/>
    <w:rsid w:val="001C4E6B"/>
    <w:rsid w:val="001C7B4E"/>
    <w:rsid w:val="001D2F5A"/>
    <w:rsid w:val="001D60D1"/>
    <w:rsid w:val="001E007E"/>
    <w:rsid w:val="001E3F49"/>
    <w:rsid w:val="001E5666"/>
    <w:rsid w:val="001E573D"/>
    <w:rsid w:val="001F0876"/>
    <w:rsid w:val="001F167C"/>
    <w:rsid w:val="001F3EAC"/>
    <w:rsid w:val="001F51E6"/>
    <w:rsid w:val="001F5239"/>
    <w:rsid w:val="001F5E91"/>
    <w:rsid w:val="0020183F"/>
    <w:rsid w:val="00203A94"/>
    <w:rsid w:val="002077B9"/>
    <w:rsid w:val="00212773"/>
    <w:rsid w:val="002151FC"/>
    <w:rsid w:val="00221C36"/>
    <w:rsid w:val="00221C70"/>
    <w:rsid w:val="00222E3B"/>
    <w:rsid w:val="0022510E"/>
    <w:rsid w:val="002251AF"/>
    <w:rsid w:val="002262E5"/>
    <w:rsid w:val="00227D86"/>
    <w:rsid w:val="00243B68"/>
    <w:rsid w:val="00247522"/>
    <w:rsid w:val="00254169"/>
    <w:rsid w:val="0025465F"/>
    <w:rsid w:val="00256E95"/>
    <w:rsid w:val="002617FC"/>
    <w:rsid w:val="0026280B"/>
    <w:rsid w:val="00262D72"/>
    <w:rsid w:val="00263B4A"/>
    <w:rsid w:val="00264079"/>
    <w:rsid w:val="00264138"/>
    <w:rsid w:val="00265D69"/>
    <w:rsid w:val="00270F72"/>
    <w:rsid w:val="002800B6"/>
    <w:rsid w:val="002809E9"/>
    <w:rsid w:val="00280B49"/>
    <w:rsid w:val="00284510"/>
    <w:rsid w:val="0028639C"/>
    <w:rsid w:val="00287E2A"/>
    <w:rsid w:val="00287F81"/>
    <w:rsid w:val="002904C5"/>
    <w:rsid w:val="002917EF"/>
    <w:rsid w:val="00295127"/>
    <w:rsid w:val="0029582E"/>
    <w:rsid w:val="00295D50"/>
    <w:rsid w:val="002A6A8E"/>
    <w:rsid w:val="002A7582"/>
    <w:rsid w:val="002B0AEE"/>
    <w:rsid w:val="002B35D4"/>
    <w:rsid w:val="002C030F"/>
    <w:rsid w:val="002C2D79"/>
    <w:rsid w:val="002C3C30"/>
    <w:rsid w:val="002C425D"/>
    <w:rsid w:val="002D0B82"/>
    <w:rsid w:val="002E18BB"/>
    <w:rsid w:val="002E291F"/>
    <w:rsid w:val="002F3966"/>
    <w:rsid w:val="002F7BD7"/>
    <w:rsid w:val="00303D0F"/>
    <w:rsid w:val="00304959"/>
    <w:rsid w:val="003100F2"/>
    <w:rsid w:val="00320E2C"/>
    <w:rsid w:val="0032141A"/>
    <w:rsid w:val="0032234B"/>
    <w:rsid w:val="00323030"/>
    <w:rsid w:val="00323FC9"/>
    <w:rsid w:val="0032471E"/>
    <w:rsid w:val="003249D8"/>
    <w:rsid w:val="00326118"/>
    <w:rsid w:val="00326AAA"/>
    <w:rsid w:val="00331BFE"/>
    <w:rsid w:val="00331D75"/>
    <w:rsid w:val="00340053"/>
    <w:rsid w:val="00344786"/>
    <w:rsid w:val="0034632F"/>
    <w:rsid w:val="0034689D"/>
    <w:rsid w:val="00351646"/>
    <w:rsid w:val="00354123"/>
    <w:rsid w:val="0035428F"/>
    <w:rsid w:val="00355362"/>
    <w:rsid w:val="00363E44"/>
    <w:rsid w:val="003640E4"/>
    <w:rsid w:val="0036525E"/>
    <w:rsid w:val="00365B1A"/>
    <w:rsid w:val="00367AC6"/>
    <w:rsid w:val="003711B5"/>
    <w:rsid w:val="00377E87"/>
    <w:rsid w:val="00380195"/>
    <w:rsid w:val="0038226E"/>
    <w:rsid w:val="00382A92"/>
    <w:rsid w:val="0038632E"/>
    <w:rsid w:val="00390692"/>
    <w:rsid w:val="00390D02"/>
    <w:rsid w:val="0039322A"/>
    <w:rsid w:val="003942CC"/>
    <w:rsid w:val="00395E86"/>
    <w:rsid w:val="00397014"/>
    <w:rsid w:val="003A0399"/>
    <w:rsid w:val="003A2D9F"/>
    <w:rsid w:val="003A2FD8"/>
    <w:rsid w:val="003A301D"/>
    <w:rsid w:val="003A3B38"/>
    <w:rsid w:val="003A4913"/>
    <w:rsid w:val="003B2957"/>
    <w:rsid w:val="003B2D86"/>
    <w:rsid w:val="003B40E6"/>
    <w:rsid w:val="003C007A"/>
    <w:rsid w:val="003C15AB"/>
    <w:rsid w:val="003D03A9"/>
    <w:rsid w:val="003D0AA0"/>
    <w:rsid w:val="003D0FD5"/>
    <w:rsid w:val="003D1867"/>
    <w:rsid w:val="003D2B04"/>
    <w:rsid w:val="003E1980"/>
    <w:rsid w:val="003E45C2"/>
    <w:rsid w:val="003F0976"/>
    <w:rsid w:val="003F11A8"/>
    <w:rsid w:val="003F6431"/>
    <w:rsid w:val="003F6E14"/>
    <w:rsid w:val="003F7345"/>
    <w:rsid w:val="00402FCB"/>
    <w:rsid w:val="00405336"/>
    <w:rsid w:val="00406DE4"/>
    <w:rsid w:val="00410547"/>
    <w:rsid w:val="0041157D"/>
    <w:rsid w:val="004121E6"/>
    <w:rsid w:val="00422A0A"/>
    <w:rsid w:val="00425FFC"/>
    <w:rsid w:val="00426628"/>
    <w:rsid w:val="004269F1"/>
    <w:rsid w:val="00426C25"/>
    <w:rsid w:val="00434861"/>
    <w:rsid w:val="00440279"/>
    <w:rsid w:val="004412C2"/>
    <w:rsid w:val="00443CFC"/>
    <w:rsid w:val="004453EC"/>
    <w:rsid w:val="00451A03"/>
    <w:rsid w:val="00453E32"/>
    <w:rsid w:val="00454E13"/>
    <w:rsid w:val="004556D9"/>
    <w:rsid w:val="004568BC"/>
    <w:rsid w:val="004571D5"/>
    <w:rsid w:val="004614F0"/>
    <w:rsid w:val="00462F1B"/>
    <w:rsid w:val="0046356B"/>
    <w:rsid w:val="00464B30"/>
    <w:rsid w:val="00474D02"/>
    <w:rsid w:val="00477182"/>
    <w:rsid w:val="004779CB"/>
    <w:rsid w:val="00481118"/>
    <w:rsid w:val="00483262"/>
    <w:rsid w:val="00493386"/>
    <w:rsid w:val="00495729"/>
    <w:rsid w:val="00495BD2"/>
    <w:rsid w:val="0049666D"/>
    <w:rsid w:val="004A240B"/>
    <w:rsid w:val="004A286F"/>
    <w:rsid w:val="004B211C"/>
    <w:rsid w:val="004B2481"/>
    <w:rsid w:val="004C273D"/>
    <w:rsid w:val="004D2A8C"/>
    <w:rsid w:val="004E42D8"/>
    <w:rsid w:val="004E5284"/>
    <w:rsid w:val="004E72B4"/>
    <w:rsid w:val="004E7BA2"/>
    <w:rsid w:val="004F3216"/>
    <w:rsid w:val="004F7EDF"/>
    <w:rsid w:val="005001AC"/>
    <w:rsid w:val="0050249F"/>
    <w:rsid w:val="00504B66"/>
    <w:rsid w:val="00504BC0"/>
    <w:rsid w:val="00504BE2"/>
    <w:rsid w:val="005072DD"/>
    <w:rsid w:val="00510881"/>
    <w:rsid w:val="00510BAC"/>
    <w:rsid w:val="00511101"/>
    <w:rsid w:val="0051438E"/>
    <w:rsid w:val="005162CE"/>
    <w:rsid w:val="00517016"/>
    <w:rsid w:val="00517B41"/>
    <w:rsid w:val="005200F0"/>
    <w:rsid w:val="005202EE"/>
    <w:rsid w:val="00521434"/>
    <w:rsid w:val="00525C5E"/>
    <w:rsid w:val="00527D71"/>
    <w:rsid w:val="00527D84"/>
    <w:rsid w:val="005309BA"/>
    <w:rsid w:val="00530B71"/>
    <w:rsid w:val="005314B5"/>
    <w:rsid w:val="005417D7"/>
    <w:rsid w:val="00543C9A"/>
    <w:rsid w:val="0054432F"/>
    <w:rsid w:val="005479C9"/>
    <w:rsid w:val="00551834"/>
    <w:rsid w:val="00552C23"/>
    <w:rsid w:val="00555531"/>
    <w:rsid w:val="0055723C"/>
    <w:rsid w:val="005607DD"/>
    <w:rsid w:val="00572DFF"/>
    <w:rsid w:val="005808D4"/>
    <w:rsid w:val="0058356C"/>
    <w:rsid w:val="005850C9"/>
    <w:rsid w:val="0059271E"/>
    <w:rsid w:val="005A558C"/>
    <w:rsid w:val="005B06BA"/>
    <w:rsid w:val="005B1436"/>
    <w:rsid w:val="005B186E"/>
    <w:rsid w:val="005B4A67"/>
    <w:rsid w:val="005C46BF"/>
    <w:rsid w:val="005C4A12"/>
    <w:rsid w:val="005C6651"/>
    <w:rsid w:val="005C7B88"/>
    <w:rsid w:val="005C7CC8"/>
    <w:rsid w:val="005D0778"/>
    <w:rsid w:val="005D6792"/>
    <w:rsid w:val="005D6D71"/>
    <w:rsid w:val="005E171C"/>
    <w:rsid w:val="005E28F8"/>
    <w:rsid w:val="005E5168"/>
    <w:rsid w:val="005E6513"/>
    <w:rsid w:val="006022F9"/>
    <w:rsid w:val="0060561D"/>
    <w:rsid w:val="00605D20"/>
    <w:rsid w:val="00607D90"/>
    <w:rsid w:val="00611D8E"/>
    <w:rsid w:val="00611F9E"/>
    <w:rsid w:val="006138EE"/>
    <w:rsid w:val="00613900"/>
    <w:rsid w:val="006209A9"/>
    <w:rsid w:val="0062236E"/>
    <w:rsid w:val="006237D4"/>
    <w:rsid w:val="00626FFC"/>
    <w:rsid w:val="0063177A"/>
    <w:rsid w:val="00634990"/>
    <w:rsid w:val="00637694"/>
    <w:rsid w:val="006378D0"/>
    <w:rsid w:val="0064071B"/>
    <w:rsid w:val="0064144D"/>
    <w:rsid w:val="00646B49"/>
    <w:rsid w:val="00646C52"/>
    <w:rsid w:val="0065001E"/>
    <w:rsid w:val="006503B9"/>
    <w:rsid w:val="00650587"/>
    <w:rsid w:val="00651114"/>
    <w:rsid w:val="00651920"/>
    <w:rsid w:val="0066226A"/>
    <w:rsid w:val="006622CF"/>
    <w:rsid w:val="006637AA"/>
    <w:rsid w:val="00664A12"/>
    <w:rsid w:val="0066722B"/>
    <w:rsid w:val="00667C07"/>
    <w:rsid w:val="00667D1D"/>
    <w:rsid w:val="0067025F"/>
    <w:rsid w:val="00670299"/>
    <w:rsid w:val="006738AB"/>
    <w:rsid w:val="00675354"/>
    <w:rsid w:val="0067781F"/>
    <w:rsid w:val="0068469F"/>
    <w:rsid w:val="00685BD6"/>
    <w:rsid w:val="00686598"/>
    <w:rsid w:val="006900F3"/>
    <w:rsid w:val="00691985"/>
    <w:rsid w:val="006923C6"/>
    <w:rsid w:val="006953F0"/>
    <w:rsid w:val="006962C1"/>
    <w:rsid w:val="00696BDF"/>
    <w:rsid w:val="006A1B64"/>
    <w:rsid w:val="006A2CCB"/>
    <w:rsid w:val="006B03AD"/>
    <w:rsid w:val="006C0009"/>
    <w:rsid w:val="006C4950"/>
    <w:rsid w:val="006D20ED"/>
    <w:rsid w:val="006D2738"/>
    <w:rsid w:val="006D5812"/>
    <w:rsid w:val="006D6FAA"/>
    <w:rsid w:val="006E7004"/>
    <w:rsid w:val="006E7E88"/>
    <w:rsid w:val="006F197D"/>
    <w:rsid w:val="006F2903"/>
    <w:rsid w:val="006F40EA"/>
    <w:rsid w:val="006F602A"/>
    <w:rsid w:val="007059A7"/>
    <w:rsid w:val="00706461"/>
    <w:rsid w:val="007103DB"/>
    <w:rsid w:val="007108F5"/>
    <w:rsid w:val="00712023"/>
    <w:rsid w:val="00713AF2"/>
    <w:rsid w:val="00713E5B"/>
    <w:rsid w:val="00717174"/>
    <w:rsid w:val="00720249"/>
    <w:rsid w:val="00724B49"/>
    <w:rsid w:val="007253E0"/>
    <w:rsid w:val="00725AEE"/>
    <w:rsid w:val="007329F4"/>
    <w:rsid w:val="00733F8E"/>
    <w:rsid w:val="00737B30"/>
    <w:rsid w:val="007402FC"/>
    <w:rsid w:val="007411A1"/>
    <w:rsid w:val="00743152"/>
    <w:rsid w:val="0074450E"/>
    <w:rsid w:val="00745DBD"/>
    <w:rsid w:val="007563F2"/>
    <w:rsid w:val="00764008"/>
    <w:rsid w:val="00767B13"/>
    <w:rsid w:val="007720EC"/>
    <w:rsid w:val="00776078"/>
    <w:rsid w:val="00776BDD"/>
    <w:rsid w:val="00780580"/>
    <w:rsid w:val="0078212F"/>
    <w:rsid w:val="00785250"/>
    <w:rsid w:val="00786615"/>
    <w:rsid w:val="00792245"/>
    <w:rsid w:val="00795D4D"/>
    <w:rsid w:val="0079683B"/>
    <w:rsid w:val="007A03B7"/>
    <w:rsid w:val="007B0B5C"/>
    <w:rsid w:val="007C160D"/>
    <w:rsid w:val="007C6395"/>
    <w:rsid w:val="007C6A93"/>
    <w:rsid w:val="007D15E9"/>
    <w:rsid w:val="007D447F"/>
    <w:rsid w:val="007E39B9"/>
    <w:rsid w:val="007E76A8"/>
    <w:rsid w:val="007F34FB"/>
    <w:rsid w:val="007F5124"/>
    <w:rsid w:val="007F57FC"/>
    <w:rsid w:val="007F7A3C"/>
    <w:rsid w:val="007F7BE4"/>
    <w:rsid w:val="00800385"/>
    <w:rsid w:val="00800C5C"/>
    <w:rsid w:val="00807D35"/>
    <w:rsid w:val="008115D9"/>
    <w:rsid w:val="00811CAA"/>
    <w:rsid w:val="008143D0"/>
    <w:rsid w:val="00821C59"/>
    <w:rsid w:val="00821D18"/>
    <w:rsid w:val="00825950"/>
    <w:rsid w:val="00833104"/>
    <w:rsid w:val="00834103"/>
    <w:rsid w:val="00834481"/>
    <w:rsid w:val="008428B1"/>
    <w:rsid w:val="0084547C"/>
    <w:rsid w:val="00845FC0"/>
    <w:rsid w:val="0085308A"/>
    <w:rsid w:val="008555EE"/>
    <w:rsid w:val="00856656"/>
    <w:rsid w:val="008607EA"/>
    <w:rsid w:val="008608D7"/>
    <w:rsid w:val="0086173B"/>
    <w:rsid w:val="00872B48"/>
    <w:rsid w:val="00872DC9"/>
    <w:rsid w:val="008743F6"/>
    <w:rsid w:val="008750DB"/>
    <w:rsid w:val="008775A4"/>
    <w:rsid w:val="00877E34"/>
    <w:rsid w:val="00885223"/>
    <w:rsid w:val="008858C0"/>
    <w:rsid w:val="00885C9B"/>
    <w:rsid w:val="00885D2F"/>
    <w:rsid w:val="00887887"/>
    <w:rsid w:val="008927D0"/>
    <w:rsid w:val="00893FF2"/>
    <w:rsid w:val="008952C6"/>
    <w:rsid w:val="00896FAB"/>
    <w:rsid w:val="008A15E7"/>
    <w:rsid w:val="008A262F"/>
    <w:rsid w:val="008B3BCF"/>
    <w:rsid w:val="008B44D1"/>
    <w:rsid w:val="008D40A8"/>
    <w:rsid w:val="008D42D8"/>
    <w:rsid w:val="008D465F"/>
    <w:rsid w:val="008D5D2A"/>
    <w:rsid w:val="008E23F4"/>
    <w:rsid w:val="008E2477"/>
    <w:rsid w:val="008E2592"/>
    <w:rsid w:val="008E2A2E"/>
    <w:rsid w:val="008E2CF1"/>
    <w:rsid w:val="008E3C5F"/>
    <w:rsid w:val="008E48AB"/>
    <w:rsid w:val="008E6E84"/>
    <w:rsid w:val="008F08DC"/>
    <w:rsid w:val="008F399C"/>
    <w:rsid w:val="008F508E"/>
    <w:rsid w:val="008F5A8A"/>
    <w:rsid w:val="00900B39"/>
    <w:rsid w:val="00900D09"/>
    <w:rsid w:val="00904A90"/>
    <w:rsid w:val="009055D1"/>
    <w:rsid w:val="009069C6"/>
    <w:rsid w:val="00907603"/>
    <w:rsid w:val="00907691"/>
    <w:rsid w:val="00913D8F"/>
    <w:rsid w:val="00914B63"/>
    <w:rsid w:val="00916736"/>
    <w:rsid w:val="00922705"/>
    <w:rsid w:val="00924546"/>
    <w:rsid w:val="009260AC"/>
    <w:rsid w:val="0092639E"/>
    <w:rsid w:val="00932277"/>
    <w:rsid w:val="00932FE5"/>
    <w:rsid w:val="00934B08"/>
    <w:rsid w:val="009354F3"/>
    <w:rsid w:val="00943AD2"/>
    <w:rsid w:val="009447DC"/>
    <w:rsid w:val="009468F5"/>
    <w:rsid w:val="00951F7E"/>
    <w:rsid w:val="0095420E"/>
    <w:rsid w:val="009570DA"/>
    <w:rsid w:val="00961BA5"/>
    <w:rsid w:val="00964729"/>
    <w:rsid w:val="00965482"/>
    <w:rsid w:val="00973765"/>
    <w:rsid w:val="009743A9"/>
    <w:rsid w:val="00975720"/>
    <w:rsid w:val="00981406"/>
    <w:rsid w:val="009829DF"/>
    <w:rsid w:val="00984EB2"/>
    <w:rsid w:val="00985678"/>
    <w:rsid w:val="009859A7"/>
    <w:rsid w:val="009932D9"/>
    <w:rsid w:val="009A5287"/>
    <w:rsid w:val="009A5CC0"/>
    <w:rsid w:val="009A6A0B"/>
    <w:rsid w:val="009B2AC5"/>
    <w:rsid w:val="009B6E97"/>
    <w:rsid w:val="009B7984"/>
    <w:rsid w:val="009C077C"/>
    <w:rsid w:val="009C0D00"/>
    <w:rsid w:val="009C2CAC"/>
    <w:rsid w:val="009C42FF"/>
    <w:rsid w:val="009D2911"/>
    <w:rsid w:val="009D326B"/>
    <w:rsid w:val="009D3A49"/>
    <w:rsid w:val="009D598F"/>
    <w:rsid w:val="009E27BE"/>
    <w:rsid w:val="009E3132"/>
    <w:rsid w:val="009E38D4"/>
    <w:rsid w:val="009E4FB6"/>
    <w:rsid w:val="009E6B44"/>
    <w:rsid w:val="009F01AA"/>
    <w:rsid w:val="009F2B48"/>
    <w:rsid w:val="009F44B2"/>
    <w:rsid w:val="009F4BED"/>
    <w:rsid w:val="009F7D93"/>
    <w:rsid w:val="00A00C3D"/>
    <w:rsid w:val="00A01188"/>
    <w:rsid w:val="00A036EC"/>
    <w:rsid w:val="00A1111D"/>
    <w:rsid w:val="00A12511"/>
    <w:rsid w:val="00A13C00"/>
    <w:rsid w:val="00A16C21"/>
    <w:rsid w:val="00A178DA"/>
    <w:rsid w:val="00A20DFE"/>
    <w:rsid w:val="00A23192"/>
    <w:rsid w:val="00A26096"/>
    <w:rsid w:val="00A272CC"/>
    <w:rsid w:val="00A276DF"/>
    <w:rsid w:val="00A3084A"/>
    <w:rsid w:val="00A31FDC"/>
    <w:rsid w:val="00A32236"/>
    <w:rsid w:val="00A33DDC"/>
    <w:rsid w:val="00A3403B"/>
    <w:rsid w:val="00A4242C"/>
    <w:rsid w:val="00A50033"/>
    <w:rsid w:val="00A51A12"/>
    <w:rsid w:val="00A53BB6"/>
    <w:rsid w:val="00A55B6A"/>
    <w:rsid w:val="00A5628A"/>
    <w:rsid w:val="00A57B43"/>
    <w:rsid w:val="00A60674"/>
    <w:rsid w:val="00A608E2"/>
    <w:rsid w:val="00A61C96"/>
    <w:rsid w:val="00A627D4"/>
    <w:rsid w:val="00A67F05"/>
    <w:rsid w:val="00A74DA2"/>
    <w:rsid w:val="00A779A1"/>
    <w:rsid w:val="00A840CE"/>
    <w:rsid w:val="00A901A5"/>
    <w:rsid w:val="00A92733"/>
    <w:rsid w:val="00A92D34"/>
    <w:rsid w:val="00A97B6A"/>
    <w:rsid w:val="00AA19DA"/>
    <w:rsid w:val="00AA76F3"/>
    <w:rsid w:val="00AB212C"/>
    <w:rsid w:val="00AB61C8"/>
    <w:rsid w:val="00AB7055"/>
    <w:rsid w:val="00AB7CAE"/>
    <w:rsid w:val="00AC0362"/>
    <w:rsid w:val="00AC1BD3"/>
    <w:rsid w:val="00AC1CA0"/>
    <w:rsid w:val="00AC362B"/>
    <w:rsid w:val="00AC59CD"/>
    <w:rsid w:val="00AC712C"/>
    <w:rsid w:val="00AC7DA6"/>
    <w:rsid w:val="00AD070A"/>
    <w:rsid w:val="00AD499C"/>
    <w:rsid w:val="00AD5A1A"/>
    <w:rsid w:val="00AD65B5"/>
    <w:rsid w:val="00AE3EC4"/>
    <w:rsid w:val="00AE4C49"/>
    <w:rsid w:val="00AF2CAD"/>
    <w:rsid w:val="00AF60A4"/>
    <w:rsid w:val="00B11030"/>
    <w:rsid w:val="00B127B6"/>
    <w:rsid w:val="00B17F7A"/>
    <w:rsid w:val="00B236B8"/>
    <w:rsid w:val="00B23DCC"/>
    <w:rsid w:val="00B30334"/>
    <w:rsid w:val="00B3147F"/>
    <w:rsid w:val="00B31792"/>
    <w:rsid w:val="00B32ADB"/>
    <w:rsid w:val="00B32C03"/>
    <w:rsid w:val="00B35BA2"/>
    <w:rsid w:val="00B367F0"/>
    <w:rsid w:val="00B36869"/>
    <w:rsid w:val="00B40EAE"/>
    <w:rsid w:val="00B41D29"/>
    <w:rsid w:val="00B43B31"/>
    <w:rsid w:val="00B47CFA"/>
    <w:rsid w:val="00B505FA"/>
    <w:rsid w:val="00B529C0"/>
    <w:rsid w:val="00B54DE9"/>
    <w:rsid w:val="00B57F00"/>
    <w:rsid w:val="00B6109B"/>
    <w:rsid w:val="00B626CB"/>
    <w:rsid w:val="00B7560C"/>
    <w:rsid w:val="00B77E40"/>
    <w:rsid w:val="00B817D1"/>
    <w:rsid w:val="00B821B2"/>
    <w:rsid w:val="00B82859"/>
    <w:rsid w:val="00B82881"/>
    <w:rsid w:val="00B82C22"/>
    <w:rsid w:val="00B93DBA"/>
    <w:rsid w:val="00B9440A"/>
    <w:rsid w:val="00B952C1"/>
    <w:rsid w:val="00B968D7"/>
    <w:rsid w:val="00BA07C9"/>
    <w:rsid w:val="00BA0C54"/>
    <w:rsid w:val="00BA3953"/>
    <w:rsid w:val="00BA4976"/>
    <w:rsid w:val="00BB2D2A"/>
    <w:rsid w:val="00BB2DC5"/>
    <w:rsid w:val="00BC0133"/>
    <w:rsid w:val="00BC338D"/>
    <w:rsid w:val="00BC653F"/>
    <w:rsid w:val="00BD18C5"/>
    <w:rsid w:val="00BD3A8B"/>
    <w:rsid w:val="00BD58CF"/>
    <w:rsid w:val="00BE0EAB"/>
    <w:rsid w:val="00BF1BEB"/>
    <w:rsid w:val="00BF1BF9"/>
    <w:rsid w:val="00C02709"/>
    <w:rsid w:val="00C04CC1"/>
    <w:rsid w:val="00C071FC"/>
    <w:rsid w:val="00C11765"/>
    <w:rsid w:val="00C136C1"/>
    <w:rsid w:val="00C1450F"/>
    <w:rsid w:val="00C14694"/>
    <w:rsid w:val="00C14739"/>
    <w:rsid w:val="00C21901"/>
    <w:rsid w:val="00C22903"/>
    <w:rsid w:val="00C22C02"/>
    <w:rsid w:val="00C246B9"/>
    <w:rsid w:val="00C2722A"/>
    <w:rsid w:val="00C27F6F"/>
    <w:rsid w:val="00C30E83"/>
    <w:rsid w:val="00C37250"/>
    <w:rsid w:val="00C37C2D"/>
    <w:rsid w:val="00C43B09"/>
    <w:rsid w:val="00C50C6D"/>
    <w:rsid w:val="00C518CE"/>
    <w:rsid w:val="00C600D9"/>
    <w:rsid w:val="00C634D7"/>
    <w:rsid w:val="00C72376"/>
    <w:rsid w:val="00C73696"/>
    <w:rsid w:val="00C73E09"/>
    <w:rsid w:val="00C92C19"/>
    <w:rsid w:val="00C93156"/>
    <w:rsid w:val="00C96C88"/>
    <w:rsid w:val="00CA1E3F"/>
    <w:rsid w:val="00CA28E1"/>
    <w:rsid w:val="00CA38B8"/>
    <w:rsid w:val="00CA4814"/>
    <w:rsid w:val="00CB5072"/>
    <w:rsid w:val="00CC1384"/>
    <w:rsid w:val="00CC38E3"/>
    <w:rsid w:val="00CC41AA"/>
    <w:rsid w:val="00CC5762"/>
    <w:rsid w:val="00CC7657"/>
    <w:rsid w:val="00CD0740"/>
    <w:rsid w:val="00CD0A5D"/>
    <w:rsid w:val="00CD3720"/>
    <w:rsid w:val="00CE0092"/>
    <w:rsid w:val="00CE5E12"/>
    <w:rsid w:val="00CE6EAA"/>
    <w:rsid w:val="00CF0BE2"/>
    <w:rsid w:val="00CF1848"/>
    <w:rsid w:val="00CF5C2F"/>
    <w:rsid w:val="00CF7BD7"/>
    <w:rsid w:val="00CF7C3A"/>
    <w:rsid w:val="00D0408C"/>
    <w:rsid w:val="00D04BCF"/>
    <w:rsid w:val="00D04F90"/>
    <w:rsid w:val="00D061AC"/>
    <w:rsid w:val="00D0760F"/>
    <w:rsid w:val="00D10134"/>
    <w:rsid w:val="00D11262"/>
    <w:rsid w:val="00D143D9"/>
    <w:rsid w:val="00D16DCE"/>
    <w:rsid w:val="00D16F9B"/>
    <w:rsid w:val="00D2265C"/>
    <w:rsid w:val="00D2507B"/>
    <w:rsid w:val="00D33ED0"/>
    <w:rsid w:val="00D35F57"/>
    <w:rsid w:val="00D37DF4"/>
    <w:rsid w:val="00D4372A"/>
    <w:rsid w:val="00D47C7C"/>
    <w:rsid w:val="00D50119"/>
    <w:rsid w:val="00D57331"/>
    <w:rsid w:val="00D60145"/>
    <w:rsid w:val="00D60BB0"/>
    <w:rsid w:val="00D61419"/>
    <w:rsid w:val="00D6438B"/>
    <w:rsid w:val="00D65013"/>
    <w:rsid w:val="00D65708"/>
    <w:rsid w:val="00D6579D"/>
    <w:rsid w:val="00D70BE8"/>
    <w:rsid w:val="00D74E19"/>
    <w:rsid w:val="00D8159F"/>
    <w:rsid w:val="00D83A9F"/>
    <w:rsid w:val="00D862C0"/>
    <w:rsid w:val="00D9108D"/>
    <w:rsid w:val="00DA1186"/>
    <w:rsid w:val="00DA4EEF"/>
    <w:rsid w:val="00DA527B"/>
    <w:rsid w:val="00DA6956"/>
    <w:rsid w:val="00DB093E"/>
    <w:rsid w:val="00DB2378"/>
    <w:rsid w:val="00DB3006"/>
    <w:rsid w:val="00DB3048"/>
    <w:rsid w:val="00DB3747"/>
    <w:rsid w:val="00DD1D04"/>
    <w:rsid w:val="00DD34F0"/>
    <w:rsid w:val="00DD633F"/>
    <w:rsid w:val="00DD6BFE"/>
    <w:rsid w:val="00DD79D7"/>
    <w:rsid w:val="00DE56F4"/>
    <w:rsid w:val="00DF6DB3"/>
    <w:rsid w:val="00E00130"/>
    <w:rsid w:val="00E02003"/>
    <w:rsid w:val="00E051F4"/>
    <w:rsid w:val="00E06622"/>
    <w:rsid w:val="00E078E1"/>
    <w:rsid w:val="00E14A4C"/>
    <w:rsid w:val="00E20431"/>
    <w:rsid w:val="00E20EA3"/>
    <w:rsid w:val="00E257C8"/>
    <w:rsid w:val="00E3618A"/>
    <w:rsid w:val="00E36851"/>
    <w:rsid w:val="00E37AE7"/>
    <w:rsid w:val="00E40896"/>
    <w:rsid w:val="00E41C67"/>
    <w:rsid w:val="00E430CE"/>
    <w:rsid w:val="00E43D2D"/>
    <w:rsid w:val="00E449CB"/>
    <w:rsid w:val="00E52472"/>
    <w:rsid w:val="00E52A8F"/>
    <w:rsid w:val="00E54167"/>
    <w:rsid w:val="00E63760"/>
    <w:rsid w:val="00E64049"/>
    <w:rsid w:val="00E64440"/>
    <w:rsid w:val="00E74D2D"/>
    <w:rsid w:val="00E7622D"/>
    <w:rsid w:val="00E84337"/>
    <w:rsid w:val="00E92532"/>
    <w:rsid w:val="00E9265B"/>
    <w:rsid w:val="00E97234"/>
    <w:rsid w:val="00E9750F"/>
    <w:rsid w:val="00E9773B"/>
    <w:rsid w:val="00EA5A9E"/>
    <w:rsid w:val="00EA7C45"/>
    <w:rsid w:val="00EB2826"/>
    <w:rsid w:val="00EB2BA1"/>
    <w:rsid w:val="00EB4E1C"/>
    <w:rsid w:val="00EB6C7A"/>
    <w:rsid w:val="00EB708A"/>
    <w:rsid w:val="00EC0072"/>
    <w:rsid w:val="00EC13A3"/>
    <w:rsid w:val="00EC2C24"/>
    <w:rsid w:val="00EC614E"/>
    <w:rsid w:val="00EC6309"/>
    <w:rsid w:val="00EC7C85"/>
    <w:rsid w:val="00ED2069"/>
    <w:rsid w:val="00ED338B"/>
    <w:rsid w:val="00ED692D"/>
    <w:rsid w:val="00ED69CA"/>
    <w:rsid w:val="00EE35AB"/>
    <w:rsid w:val="00EE3FC9"/>
    <w:rsid w:val="00EF1794"/>
    <w:rsid w:val="00EF1A59"/>
    <w:rsid w:val="00EF1CBE"/>
    <w:rsid w:val="00EF25A3"/>
    <w:rsid w:val="00EF3C1A"/>
    <w:rsid w:val="00EF4E9A"/>
    <w:rsid w:val="00EF5708"/>
    <w:rsid w:val="00EF799E"/>
    <w:rsid w:val="00F06AC3"/>
    <w:rsid w:val="00F070B4"/>
    <w:rsid w:val="00F072F8"/>
    <w:rsid w:val="00F10188"/>
    <w:rsid w:val="00F11757"/>
    <w:rsid w:val="00F12132"/>
    <w:rsid w:val="00F125EE"/>
    <w:rsid w:val="00F12E98"/>
    <w:rsid w:val="00F176DA"/>
    <w:rsid w:val="00F21896"/>
    <w:rsid w:val="00F22029"/>
    <w:rsid w:val="00F23E46"/>
    <w:rsid w:val="00F267A5"/>
    <w:rsid w:val="00F30B94"/>
    <w:rsid w:val="00F30D00"/>
    <w:rsid w:val="00F32A08"/>
    <w:rsid w:val="00F3515C"/>
    <w:rsid w:val="00F45913"/>
    <w:rsid w:val="00F47BA3"/>
    <w:rsid w:val="00F50456"/>
    <w:rsid w:val="00F521FD"/>
    <w:rsid w:val="00F551A1"/>
    <w:rsid w:val="00F56E67"/>
    <w:rsid w:val="00F6282B"/>
    <w:rsid w:val="00F63097"/>
    <w:rsid w:val="00F630EA"/>
    <w:rsid w:val="00F6474F"/>
    <w:rsid w:val="00F66E8E"/>
    <w:rsid w:val="00F7007E"/>
    <w:rsid w:val="00F70D38"/>
    <w:rsid w:val="00F73193"/>
    <w:rsid w:val="00F73978"/>
    <w:rsid w:val="00F74F95"/>
    <w:rsid w:val="00F76E93"/>
    <w:rsid w:val="00F7753D"/>
    <w:rsid w:val="00F775E2"/>
    <w:rsid w:val="00F80705"/>
    <w:rsid w:val="00F826D0"/>
    <w:rsid w:val="00F911D8"/>
    <w:rsid w:val="00F91B38"/>
    <w:rsid w:val="00F935D8"/>
    <w:rsid w:val="00F9379D"/>
    <w:rsid w:val="00F9771B"/>
    <w:rsid w:val="00FA1481"/>
    <w:rsid w:val="00FA556F"/>
    <w:rsid w:val="00FB1C42"/>
    <w:rsid w:val="00FB32EC"/>
    <w:rsid w:val="00FB3C48"/>
    <w:rsid w:val="00FC095A"/>
    <w:rsid w:val="00FC1EC7"/>
    <w:rsid w:val="00FC4BA4"/>
    <w:rsid w:val="00FC6EE6"/>
    <w:rsid w:val="00FD2736"/>
    <w:rsid w:val="00FD6767"/>
    <w:rsid w:val="00FE6D29"/>
    <w:rsid w:val="00FE77BB"/>
    <w:rsid w:val="00FF04E3"/>
    <w:rsid w:val="00FF08F0"/>
    <w:rsid w:val="00FF0DDC"/>
    <w:rsid w:val="00FF0E44"/>
    <w:rsid w:val="00FF2F7A"/>
    <w:rsid w:val="00FF3503"/>
    <w:rsid w:val="00FF6C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CD9FF7"/>
  <w15:chartTrackingRefBased/>
  <w15:docId w15:val="{70801E18-7CCF-4C88-A79C-4DFA6FFF0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footnote reference" w:semiHidden="1"/>
    <w:lsdException w:name="annotation reference" w:semiHidden="1" w:uiPriority="99"/>
    <w:lsdException w:name="line number" w:semiHidden="1" w:uiPriority="99"/>
    <w:lsdException w:name="endnote reference" w:semiHidden="1"/>
    <w:lsdException w:name="Title" w:uiPriority="10" w:qFormat="1"/>
    <w:lsdException w:name="Subtitle" w:qFormat="1"/>
    <w:lsdException w:name="Hyperlink" w:uiPriority="99"/>
    <w:lsdException w:name="FollowedHyperlink" w:semiHidden="1" w:uiPriority="99"/>
    <w:lsdException w:name="Strong" w:semiHidden="1" w:uiPriority="22" w:qFormat="1"/>
    <w:lsdException w:name="Emphasis" w:semiHidden="1" w:uiPriority="20" w:qFormat="1"/>
    <w:lsdException w:name="HTML Top of Form" w:uiPriority="99"/>
    <w:lsdException w:name="HTML Bottom of Form" w:uiPriority="99"/>
    <w:lsdException w:name="Normal (Web)" w:uiPriority="99"/>
    <w:lsdException w:name="HTML Acronym" w:semiHidden="1"/>
    <w:lsdException w:name="HTML Cite" w:semiHidden="1"/>
    <w:lsdException w:name="HTML Code" w:semiHidden="1"/>
    <w:lsdException w:name="HTML Definition" w:semiHidden="1"/>
    <w:lsdException w:name="HTML Keyboar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uiPriority w:val="9"/>
    <w:qFormat/>
    <w:rsid w:val="00B43B31"/>
    <w:pPr>
      <w:keepNext/>
      <w:spacing w:before="240" w:after="60"/>
      <w:outlineLvl w:val="0"/>
    </w:pPr>
    <w:rPr>
      <w:b/>
      <w:bCs/>
      <w:kern w:val="32"/>
      <w:szCs w:val="24"/>
    </w:rPr>
  </w:style>
  <w:style w:type="paragraph" w:styleId="Heading2">
    <w:name w:val="heading 2"/>
    <w:aliases w:val="SM Heading 2"/>
    <w:basedOn w:val="Normal"/>
    <w:next w:val="Normal"/>
    <w:link w:val="Heading2Char"/>
    <w:uiPriority w:val="9"/>
    <w:qFormat/>
    <w:rsid w:val="007411A1"/>
    <w:pPr>
      <w:keepNext/>
      <w:spacing w:before="240" w:after="60"/>
      <w:outlineLvl w:val="1"/>
    </w:pPr>
    <w:rPr>
      <w:rFonts w:ascii="Cambria" w:hAnsi="Cambria"/>
      <w:b/>
      <w:bCs/>
      <w:i/>
      <w:iCs/>
      <w:sz w:val="28"/>
      <w:szCs w:val="28"/>
    </w:rPr>
  </w:style>
  <w:style w:type="paragraph" w:styleId="Heading3">
    <w:name w:val="heading 3"/>
    <w:aliases w:val="SM Heading 3"/>
    <w:basedOn w:val="Normal"/>
    <w:next w:val="Normal"/>
    <w:link w:val="Heading3Char"/>
    <w:uiPriority w:val="9"/>
    <w:qFormat/>
    <w:rsid w:val="00C600D9"/>
    <w:pPr>
      <w:keepNext/>
      <w:spacing w:line="480" w:lineRule="auto"/>
      <w:outlineLvl w:val="2"/>
    </w:pPr>
    <w:rPr>
      <w:rFonts w:ascii="Times" w:eastAsia="Times" w:hAnsi="Times"/>
      <w:b/>
    </w:rPr>
  </w:style>
  <w:style w:type="paragraph" w:styleId="Heading4">
    <w:name w:val="heading 4"/>
    <w:basedOn w:val="Normal"/>
    <w:next w:val="Normal"/>
    <w:link w:val="Heading4Char"/>
    <w:uiPriority w:val="9"/>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uiPriority w:val="9"/>
    <w:rsid w:val="00FF04E3"/>
    <w:rPr>
      <w:b/>
      <w:bCs/>
      <w:kern w:val="32"/>
      <w:sz w:val="24"/>
      <w:szCs w:val="24"/>
    </w:rPr>
  </w:style>
  <w:style w:type="character" w:customStyle="1" w:styleId="Heading2Char">
    <w:name w:val="Heading 2 Char"/>
    <w:aliases w:val="SM Heading 2 Char"/>
    <w:link w:val="Heading2"/>
    <w:uiPriority w:val="9"/>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uiPriority w:val="99"/>
    <w:semiHidden/>
    <w:rsid w:val="00405336"/>
    <w:rPr>
      <w:sz w:val="20"/>
    </w:rPr>
  </w:style>
  <w:style w:type="character" w:customStyle="1" w:styleId="CommentTextChar">
    <w:name w:val="Comment Text Char"/>
    <w:basedOn w:val="DefaultParagraphFont"/>
    <w:link w:val="CommentText"/>
    <w:uiPriority w:val="99"/>
    <w:semiHidden/>
    <w:rsid w:val="00FF04E3"/>
  </w:style>
  <w:style w:type="paragraph" w:styleId="CommentSubject">
    <w:name w:val="annotation subject"/>
    <w:basedOn w:val="CommentText"/>
    <w:next w:val="CommentText"/>
    <w:link w:val="CommentSubjectChar"/>
    <w:uiPriority w:val="99"/>
    <w:semiHidden/>
    <w:rsid w:val="00405336"/>
    <w:rPr>
      <w:b/>
      <w:bCs/>
    </w:rPr>
  </w:style>
  <w:style w:type="character" w:customStyle="1" w:styleId="CommentSubjectChar">
    <w:name w:val="Comment Subject Char"/>
    <w:link w:val="CommentSubject"/>
    <w:uiPriority w:val="99"/>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uiPriority w:val="99"/>
    <w:rsid w:val="00405336"/>
    <w:pPr>
      <w:tabs>
        <w:tab w:val="center" w:pos="4680"/>
        <w:tab w:val="right" w:pos="9360"/>
      </w:tabs>
    </w:pPr>
  </w:style>
  <w:style w:type="character" w:customStyle="1" w:styleId="FooterChar">
    <w:name w:val="Footer Char"/>
    <w:link w:val="Footer"/>
    <w:uiPriority w:val="99"/>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uiPriority w:val="99"/>
    <w:rsid w:val="00405336"/>
    <w:pPr>
      <w:tabs>
        <w:tab w:val="center" w:pos="4680"/>
        <w:tab w:val="right" w:pos="9360"/>
      </w:tabs>
    </w:pPr>
  </w:style>
  <w:style w:type="character" w:customStyle="1" w:styleId="HeaderChar">
    <w:name w:val="Header Char"/>
    <w:link w:val="Header"/>
    <w:uiPriority w:val="99"/>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qFormat/>
    <w:rsid w:val="00405336"/>
    <w:rPr>
      <w:sz w:val="24"/>
    </w:rPr>
  </w:style>
  <w:style w:type="paragraph" w:styleId="NormalWeb">
    <w:name w:val="Normal (Web)"/>
    <w:basedOn w:val="Normal"/>
    <w:uiPriority w:val="99"/>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qFormat/>
    <w:rsid w:val="00405336"/>
    <w:pPr>
      <w:spacing w:after="60"/>
      <w:jc w:val="center"/>
      <w:outlineLvl w:val="1"/>
    </w:pPr>
    <w:rPr>
      <w:rFonts w:ascii="Cambria" w:hAnsi="Cambria"/>
      <w:szCs w:val="24"/>
    </w:rPr>
  </w:style>
  <w:style w:type="character" w:customStyle="1" w:styleId="SubtitleChar">
    <w:name w:val="Subtitle Char"/>
    <w:link w:val="Subtitle"/>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uiPriority w:val="10"/>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uiPriority w:val="39"/>
    <w:rsid w:val="00405336"/>
  </w:style>
  <w:style w:type="paragraph" w:styleId="TOC2">
    <w:name w:val="toc 2"/>
    <w:basedOn w:val="Normal"/>
    <w:next w:val="Normal"/>
    <w:autoRedefine/>
    <w:uiPriority w:val="39"/>
    <w:rsid w:val="00405336"/>
    <w:pPr>
      <w:ind w:left="240"/>
    </w:pPr>
  </w:style>
  <w:style w:type="paragraph" w:styleId="TOC3">
    <w:name w:val="toc 3"/>
    <w:basedOn w:val="Normal"/>
    <w:next w:val="Normal"/>
    <w:autoRedefine/>
    <w:uiPriority w:val="39"/>
    <w:rsid w:val="00405336"/>
    <w:pPr>
      <w:ind w:left="480"/>
    </w:pPr>
  </w:style>
  <w:style w:type="paragraph" w:styleId="TOC4">
    <w:name w:val="toc 4"/>
    <w:basedOn w:val="Normal"/>
    <w:next w:val="Normal"/>
    <w:autoRedefine/>
    <w:uiPriority w:val="39"/>
    <w:rsid w:val="00405336"/>
    <w:pPr>
      <w:ind w:left="720"/>
    </w:pPr>
  </w:style>
  <w:style w:type="paragraph" w:styleId="TOC5">
    <w:name w:val="toc 5"/>
    <w:basedOn w:val="Normal"/>
    <w:next w:val="Normal"/>
    <w:autoRedefine/>
    <w:uiPriority w:val="39"/>
    <w:rsid w:val="00405336"/>
    <w:pPr>
      <w:ind w:left="960"/>
    </w:pPr>
  </w:style>
  <w:style w:type="paragraph" w:styleId="TOC6">
    <w:name w:val="toc 6"/>
    <w:basedOn w:val="Normal"/>
    <w:next w:val="Normal"/>
    <w:autoRedefine/>
    <w:uiPriority w:val="39"/>
    <w:rsid w:val="00405336"/>
    <w:pPr>
      <w:ind w:left="1200"/>
    </w:pPr>
  </w:style>
  <w:style w:type="paragraph" w:styleId="TOC7">
    <w:name w:val="toc 7"/>
    <w:basedOn w:val="Normal"/>
    <w:next w:val="Normal"/>
    <w:autoRedefine/>
    <w:uiPriority w:val="39"/>
    <w:rsid w:val="00405336"/>
    <w:pPr>
      <w:ind w:left="1440"/>
    </w:pPr>
  </w:style>
  <w:style w:type="paragraph" w:styleId="TOC8">
    <w:name w:val="toc 8"/>
    <w:basedOn w:val="Normal"/>
    <w:next w:val="Normal"/>
    <w:autoRedefine/>
    <w:uiPriority w:val="39"/>
    <w:rsid w:val="00405336"/>
    <w:pPr>
      <w:ind w:left="1680"/>
    </w:pPr>
  </w:style>
  <w:style w:type="paragraph" w:styleId="TOC9">
    <w:name w:val="toc 9"/>
    <w:basedOn w:val="Normal"/>
    <w:next w:val="Normal"/>
    <w:autoRedefine/>
    <w:uiPriority w:val="39"/>
    <w:rsid w:val="00405336"/>
    <w:pPr>
      <w:ind w:left="1920"/>
    </w:pPr>
  </w:style>
  <w:style w:type="paragraph" w:styleId="TOCHeading">
    <w:name w:val="TOC Heading"/>
    <w:basedOn w:val="Heading1"/>
    <w:next w:val="Normal"/>
    <w:uiPriority w:val="39"/>
    <w:unhideWhenUsed/>
    <w:qFormat/>
    <w:rsid w:val="00405336"/>
    <w:pPr>
      <w:outlineLvl w:val="9"/>
    </w:pPr>
    <w:rPr>
      <w:rFonts w:ascii="Cambria" w:hAnsi="Cambria"/>
      <w:sz w:val="32"/>
      <w:szCs w:val="32"/>
    </w:rPr>
  </w:style>
  <w:style w:type="character" w:styleId="Hyperlink">
    <w:name w:val="Hyperlink"/>
    <w:uiPriority w:val="99"/>
    <w:rsid w:val="007402FC"/>
    <w:rPr>
      <w:color w:val="0000FF"/>
      <w:u w:val="single"/>
    </w:rPr>
  </w:style>
  <w:style w:type="paragraph" w:customStyle="1" w:styleId="body-copy-normal">
    <w:name w:val="body-copy-normal"/>
    <w:basedOn w:val="Normal"/>
    <w:rsid w:val="00FF3503"/>
    <w:pPr>
      <w:spacing w:before="100" w:beforeAutospacing="1" w:after="100" w:afterAutospacing="1"/>
    </w:pPr>
    <w:rPr>
      <w:szCs w:val="24"/>
    </w:rPr>
  </w:style>
  <w:style w:type="paragraph" w:customStyle="1" w:styleId="body-copy-ndent">
    <w:name w:val="body-copy-ndent"/>
    <w:basedOn w:val="Normal"/>
    <w:rsid w:val="00FF3503"/>
    <w:pPr>
      <w:spacing w:before="100" w:beforeAutospacing="1" w:after="100" w:afterAutospacing="1"/>
    </w:pPr>
    <w:rPr>
      <w:szCs w:val="24"/>
    </w:rPr>
  </w:style>
  <w:style w:type="character" w:styleId="Strong">
    <w:name w:val="Strong"/>
    <w:uiPriority w:val="22"/>
    <w:qFormat/>
    <w:rsid w:val="00FF3503"/>
    <w:rPr>
      <w:b/>
      <w:bCs/>
    </w:rPr>
  </w:style>
  <w:style w:type="character" w:styleId="CommentReference">
    <w:name w:val="annotation reference"/>
    <w:uiPriority w:val="99"/>
    <w:semiHidden/>
    <w:rsid w:val="002800B6"/>
    <w:rPr>
      <w:sz w:val="16"/>
      <w:szCs w:val="16"/>
    </w:rPr>
  </w:style>
  <w:style w:type="character" w:customStyle="1" w:styleId="UnresolvedMention1">
    <w:name w:val="Unresolved Mention1"/>
    <w:basedOn w:val="DefaultParagraphFont"/>
    <w:uiPriority w:val="99"/>
    <w:unhideWhenUsed/>
    <w:rsid w:val="00607D90"/>
    <w:rPr>
      <w:color w:val="605E5C"/>
      <w:shd w:val="clear" w:color="auto" w:fill="E1DFDD"/>
    </w:rPr>
  </w:style>
  <w:style w:type="table" w:styleId="TableGrid">
    <w:name w:val="Table Grid"/>
    <w:basedOn w:val="TableNormal"/>
    <w:uiPriority w:val="39"/>
    <w:rsid w:val="00607D9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07D90"/>
  </w:style>
  <w:style w:type="character" w:customStyle="1" w:styleId="personname">
    <w:name w:val="person_name"/>
    <w:basedOn w:val="DefaultParagraphFont"/>
    <w:rsid w:val="00607D90"/>
  </w:style>
  <w:style w:type="character" w:styleId="Emphasis">
    <w:name w:val="Emphasis"/>
    <w:basedOn w:val="DefaultParagraphFont"/>
    <w:uiPriority w:val="20"/>
    <w:qFormat/>
    <w:rsid w:val="00607D90"/>
    <w:rPr>
      <w:i/>
      <w:iCs/>
    </w:rPr>
  </w:style>
  <w:style w:type="character" w:styleId="PlaceholderText">
    <w:name w:val="Placeholder Text"/>
    <w:basedOn w:val="DefaultParagraphFont"/>
    <w:uiPriority w:val="99"/>
    <w:semiHidden/>
    <w:rsid w:val="00607D90"/>
    <w:rPr>
      <w:color w:val="808080"/>
    </w:rPr>
  </w:style>
  <w:style w:type="character" w:styleId="FollowedHyperlink">
    <w:name w:val="FollowedHyperlink"/>
    <w:basedOn w:val="DefaultParagraphFont"/>
    <w:uiPriority w:val="99"/>
    <w:semiHidden/>
    <w:unhideWhenUsed/>
    <w:rsid w:val="00607D90"/>
    <w:rPr>
      <w:color w:val="954F72" w:themeColor="followedHyperlink"/>
      <w:u w:val="single"/>
    </w:rPr>
  </w:style>
  <w:style w:type="character" w:customStyle="1" w:styleId="Heading3Char">
    <w:name w:val="Heading 3 Char"/>
    <w:aliases w:val="SM Heading 3 Char"/>
    <w:basedOn w:val="DefaultParagraphFont"/>
    <w:link w:val="Heading3"/>
    <w:uiPriority w:val="9"/>
    <w:rsid w:val="00607D90"/>
    <w:rPr>
      <w:rFonts w:ascii="Times" w:eastAsia="Times" w:hAnsi="Times"/>
      <w:b/>
      <w:sz w:val="24"/>
    </w:rPr>
  </w:style>
  <w:style w:type="character" w:customStyle="1" w:styleId="Heading4Char">
    <w:name w:val="Heading 4 Char"/>
    <w:basedOn w:val="DefaultParagraphFont"/>
    <w:link w:val="Heading4"/>
    <w:uiPriority w:val="9"/>
    <w:rsid w:val="00607D90"/>
    <w:rPr>
      <w:rFonts w:ascii="Times" w:hAnsi="Times"/>
      <w:b/>
      <w:color w:val="0000FF"/>
      <w:sz w:val="44"/>
    </w:rPr>
  </w:style>
  <w:style w:type="paragraph" w:styleId="z-TopofForm">
    <w:name w:val="HTML Top of Form"/>
    <w:basedOn w:val="Normal"/>
    <w:next w:val="Normal"/>
    <w:link w:val="z-TopofFormChar"/>
    <w:hidden/>
    <w:uiPriority w:val="99"/>
    <w:unhideWhenUsed/>
    <w:rsid w:val="00607D90"/>
    <w:pPr>
      <w:pBdr>
        <w:bottom w:val="single" w:sz="6" w:space="1" w:color="auto"/>
      </w:pBdr>
      <w:jc w:val="center"/>
    </w:pPr>
    <w:rPr>
      <w:rFonts w:ascii="Arial" w:hAnsi="Arial" w:cs="Arial"/>
      <w:vanish/>
      <w:sz w:val="16"/>
      <w:szCs w:val="16"/>
      <w:lang w:val="pl-PL" w:eastAsia="pl-PL"/>
    </w:rPr>
  </w:style>
  <w:style w:type="character" w:customStyle="1" w:styleId="z-TopofFormChar">
    <w:name w:val="z-Top of Form Char"/>
    <w:basedOn w:val="DefaultParagraphFont"/>
    <w:link w:val="z-TopofForm"/>
    <w:uiPriority w:val="99"/>
    <w:rsid w:val="00607D90"/>
    <w:rPr>
      <w:rFonts w:ascii="Arial" w:hAnsi="Arial" w:cs="Arial"/>
      <w:vanish/>
      <w:sz w:val="16"/>
      <w:szCs w:val="16"/>
      <w:lang w:val="pl-PL" w:eastAsia="pl-PL"/>
    </w:rPr>
  </w:style>
  <w:style w:type="paragraph" w:styleId="z-BottomofForm">
    <w:name w:val="HTML Bottom of Form"/>
    <w:basedOn w:val="Normal"/>
    <w:next w:val="Normal"/>
    <w:link w:val="z-BottomofFormChar"/>
    <w:hidden/>
    <w:uiPriority w:val="99"/>
    <w:unhideWhenUsed/>
    <w:rsid w:val="00607D90"/>
    <w:pPr>
      <w:pBdr>
        <w:top w:val="single" w:sz="6" w:space="1" w:color="auto"/>
      </w:pBdr>
      <w:jc w:val="center"/>
    </w:pPr>
    <w:rPr>
      <w:rFonts w:ascii="Arial" w:hAnsi="Arial" w:cs="Arial"/>
      <w:vanish/>
      <w:sz w:val="16"/>
      <w:szCs w:val="16"/>
      <w:lang w:val="pl-PL" w:eastAsia="pl-PL"/>
    </w:rPr>
  </w:style>
  <w:style w:type="character" w:customStyle="1" w:styleId="z-BottomofFormChar">
    <w:name w:val="z-Bottom of Form Char"/>
    <w:basedOn w:val="DefaultParagraphFont"/>
    <w:link w:val="z-BottomofForm"/>
    <w:uiPriority w:val="99"/>
    <w:rsid w:val="00607D90"/>
    <w:rPr>
      <w:rFonts w:ascii="Arial" w:hAnsi="Arial" w:cs="Arial"/>
      <w:vanish/>
      <w:sz w:val="16"/>
      <w:szCs w:val="16"/>
      <w:lang w:val="pl-PL" w:eastAsia="pl-PL"/>
    </w:rPr>
  </w:style>
  <w:style w:type="character" w:customStyle="1" w:styleId="ui-provider">
    <w:name w:val="ui-provider"/>
    <w:basedOn w:val="DefaultParagraphFont"/>
    <w:rsid w:val="00607D90"/>
  </w:style>
  <w:style w:type="paragraph" w:styleId="Revision">
    <w:name w:val="Revision"/>
    <w:hidden/>
    <w:uiPriority w:val="99"/>
    <w:semiHidden/>
    <w:rsid w:val="00A00C3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4317">
      <w:bodyDiv w:val="1"/>
      <w:marLeft w:val="0"/>
      <w:marRight w:val="0"/>
      <w:marTop w:val="0"/>
      <w:marBottom w:val="0"/>
      <w:divBdr>
        <w:top w:val="none" w:sz="0" w:space="0" w:color="auto"/>
        <w:left w:val="none" w:sz="0" w:space="0" w:color="auto"/>
        <w:bottom w:val="none" w:sz="0" w:space="0" w:color="auto"/>
        <w:right w:val="none" w:sz="0" w:space="0" w:color="auto"/>
      </w:divBdr>
    </w:div>
    <w:div w:id="43023527">
      <w:bodyDiv w:val="1"/>
      <w:marLeft w:val="0"/>
      <w:marRight w:val="0"/>
      <w:marTop w:val="0"/>
      <w:marBottom w:val="0"/>
      <w:divBdr>
        <w:top w:val="none" w:sz="0" w:space="0" w:color="auto"/>
        <w:left w:val="none" w:sz="0" w:space="0" w:color="auto"/>
        <w:bottom w:val="none" w:sz="0" w:space="0" w:color="auto"/>
        <w:right w:val="none" w:sz="0" w:space="0" w:color="auto"/>
      </w:divBdr>
    </w:div>
    <w:div w:id="203175800">
      <w:bodyDiv w:val="1"/>
      <w:marLeft w:val="0"/>
      <w:marRight w:val="0"/>
      <w:marTop w:val="0"/>
      <w:marBottom w:val="0"/>
      <w:divBdr>
        <w:top w:val="none" w:sz="0" w:space="0" w:color="auto"/>
        <w:left w:val="none" w:sz="0" w:space="0" w:color="auto"/>
        <w:bottom w:val="none" w:sz="0" w:space="0" w:color="auto"/>
        <w:right w:val="none" w:sz="0" w:space="0" w:color="auto"/>
      </w:divBdr>
    </w:div>
    <w:div w:id="546528266">
      <w:bodyDiv w:val="1"/>
      <w:marLeft w:val="0"/>
      <w:marRight w:val="0"/>
      <w:marTop w:val="0"/>
      <w:marBottom w:val="0"/>
      <w:divBdr>
        <w:top w:val="none" w:sz="0" w:space="0" w:color="auto"/>
        <w:left w:val="none" w:sz="0" w:space="0" w:color="auto"/>
        <w:bottom w:val="none" w:sz="0" w:space="0" w:color="auto"/>
        <w:right w:val="none" w:sz="0" w:space="0" w:color="auto"/>
      </w:divBdr>
    </w:div>
    <w:div w:id="873155705">
      <w:bodyDiv w:val="1"/>
      <w:marLeft w:val="0"/>
      <w:marRight w:val="0"/>
      <w:marTop w:val="0"/>
      <w:marBottom w:val="0"/>
      <w:divBdr>
        <w:top w:val="none" w:sz="0" w:space="0" w:color="auto"/>
        <w:left w:val="none" w:sz="0" w:space="0" w:color="auto"/>
        <w:bottom w:val="none" w:sz="0" w:space="0" w:color="auto"/>
        <w:right w:val="none" w:sz="0" w:space="0" w:color="auto"/>
      </w:divBdr>
    </w:div>
    <w:div w:id="940841139">
      <w:bodyDiv w:val="1"/>
      <w:marLeft w:val="0"/>
      <w:marRight w:val="0"/>
      <w:marTop w:val="0"/>
      <w:marBottom w:val="0"/>
      <w:divBdr>
        <w:top w:val="none" w:sz="0" w:space="0" w:color="auto"/>
        <w:left w:val="none" w:sz="0" w:space="0" w:color="auto"/>
        <w:bottom w:val="none" w:sz="0" w:space="0" w:color="auto"/>
        <w:right w:val="none" w:sz="0" w:space="0" w:color="auto"/>
      </w:divBdr>
    </w:div>
    <w:div w:id="1013923439">
      <w:bodyDiv w:val="1"/>
      <w:marLeft w:val="0"/>
      <w:marRight w:val="0"/>
      <w:marTop w:val="0"/>
      <w:marBottom w:val="0"/>
      <w:divBdr>
        <w:top w:val="none" w:sz="0" w:space="0" w:color="auto"/>
        <w:left w:val="none" w:sz="0" w:space="0" w:color="auto"/>
        <w:bottom w:val="none" w:sz="0" w:space="0" w:color="auto"/>
        <w:right w:val="none" w:sz="0" w:space="0" w:color="auto"/>
      </w:divBdr>
    </w:div>
    <w:div w:id="1223639762">
      <w:bodyDiv w:val="1"/>
      <w:marLeft w:val="0"/>
      <w:marRight w:val="0"/>
      <w:marTop w:val="0"/>
      <w:marBottom w:val="0"/>
      <w:divBdr>
        <w:top w:val="none" w:sz="0" w:space="0" w:color="auto"/>
        <w:left w:val="none" w:sz="0" w:space="0" w:color="auto"/>
        <w:bottom w:val="none" w:sz="0" w:space="0" w:color="auto"/>
        <w:right w:val="none" w:sz="0" w:space="0" w:color="auto"/>
      </w:divBdr>
    </w:div>
    <w:div w:id="1236816127">
      <w:bodyDiv w:val="1"/>
      <w:marLeft w:val="0"/>
      <w:marRight w:val="0"/>
      <w:marTop w:val="0"/>
      <w:marBottom w:val="0"/>
      <w:divBdr>
        <w:top w:val="none" w:sz="0" w:space="0" w:color="auto"/>
        <w:left w:val="none" w:sz="0" w:space="0" w:color="auto"/>
        <w:bottom w:val="none" w:sz="0" w:space="0" w:color="auto"/>
        <w:right w:val="none" w:sz="0" w:space="0" w:color="auto"/>
      </w:divBdr>
    </w:div>
    <w:div w:id="1249577349">
      <w:bodyDiv w:val="1"/>
      <w:marLeft w:val="0"/>
      <w:marRight w:val="0"/>
      <w:marTop w:val="0"/>
      <w:marBottom w:val="0"/>
      <w:divBdr>
        <w:top w:val="none" w:sz="0" w:space="0" w:color="auto"/>
        <w:left w:val="none" w:sz="0" w:space="0" w:color="auto"/>
        <w:bottom w:val="none" w:sz="0" w:space="0" w:color="auto"/>
        <w:right w:val="none" w:sz="0" w:space="0" w:color="auto"/>
      </w:divBdr>
    </w:div>
    <w:div w:id="1273397245">
      <w:bodyDiv w:val="1"/>
      <w:marLeft w:val="0"/>
      <w:marRight w:val="0"/>
      <w:marTop w:val="0"/>
      <w:marBottom w:val="0"/>
      <w:divBdr>
        <w:top w:val="none" w:sz="0" w:space="0" w:color="auto"/>
        <w:left w:val="none" w:sz="0" w:space="0" w:color="auto"/>
        <w:bottom w:val="none" w:sz="0" w:space="0" w:color="auto"/>
        <w:right w:val="none" w:sz="0" w:space="0" w:color="auto"/>
      </w:divBdr>
    </w:div>
    <w:div w:id="1308319043">
      <w:bodyDiv w:val="1"/>
      <w:marLeft w:val="0"/>
      <w:marRight w:val="0"/>
      <w:marTop w:val="0"/>
      <w:marBottom w:val="0"/>
      <w:divBdr>
        <w:top w:val="none" w:sz="0" w:space="0" w:color="auto"/>
        <w:left w:val="none" w:sz="0" w:space="0" w:color="auto"/>
        <w:bottom w:val="none" w:sz="0" w:space="0" w:color="auto"/>
        <w:right w:val="none" w:sz="0" w:space="0" w:color="auto"/>
      </w:divBdr>
    </w:div>
    <w:div w:id="1340696343">
      <w:bodyDiv w:val="1"/>
      <w:marLeft w:val="0"/>
      <w:marRight w:val="0"/>
      <w:marTop w:val="0"/>
      <w:marBottom w:val="0"/>
      <w:divBdr>
        <w:top w:val="none" w:sz="0" w:space="0" w:color="auto"/>
        <w:left w:val="none" w:sz="0" w:space="0" w:color="auto"/>
        <w:bottom w:val="none" w:sz="0" w:space="0" w:color="auto"/>
        <w:right w:val="none" w:sz="0" w:space="0" w:color="auto"/>
      </w:divBdr>
    </w:div>
    <w:div w:id="1450274029">
      <w:bodyDiv w:val="1"/>
      <w:marLeft w:val="0"/>
      <w:marRight w:val="0"/>
      <w:marTop w:val="0"/>
      <w:marBottom w:val="0"/>
      <w:divBdr>
        <w:top w:val="none" w:sz="0" w:space="0" w:color="auto"/>
        <w:left w:val="none" w:sz="0" w:space="0" w:color="auto"/>
        <w:bottom w:val="none" w:sz="0" w:space="0" w:color="auto"/>
        <w:right w:val="none" w:sz="0" w:space="0" w:color="auto"/>
      </w:divBdr>
    </w:div>
    <w:div w:id="183946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hyperlink" Target="https://doi.org/10.25171/InstGeoph_PAS_ISEPOS-2018-004" TargetMode="External"/><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jpeg"/><Relationship Id="rId112" Type="http://schemas.openxmlformats.org/officeDocument/2006/relationships/hyperlink" Target="https://doi.org/10.25171/InstGeoph_PAS_ISEPOS-2017-016" TargetMode="External"/><Relationship Id="rId16" Type="http://schemas.openxmlformats.org/officeDocument/2006/relationships/image" Target="media/image8.jpeg"/><Relationship Id="rId107" Type="http://schemas.openxmlformats.org/officeDocument/2006/relationships/hyperlink" Target="https://doi.org/10.25171/InstGeoph_PAS_ISEPOS-2017-008" TargetMode="External"/><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102" Type="http://schemas.openxmlformats.org/officeDocument/2006/relationships/image" Target="media/image94.png"/><Relationship Id="rId123"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image" Target="media/image82.jpeg"/><Relationship Id="rId95" Type="http://schemas.openxmlformats.org/officeDocument/2006/relationships/image" Target="media/image87.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1.jpeg"/><Relationship Id="rId113" Type="http://schemas.openxmlformats.org/officeDocument/2006/relationships/hyperlink" Target="https://doi.org/10.25171/InstGeoph_PAS_ISEPOS-2017-002" TargetMode="External"/><Relationship Id="rId118" Type="http://schemas.openxmlformats.org/officeDocument/2006/relationships/hyperlink" Target="https://doi.org/10.25171/InstGeoph_PAS_ISEPOS-2019-003" TargetMode="External"/><Relationship Id="rId80" Type="http://schemas.openxmlformats.org/officeDocument/2006/relationships/image" Target="media/image72.jpg"/><Relationship Id="rId85" Type="http://schemas.openxmlformats.org/officeDocument/2006/relationships/image" Target="media/image77.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image" Target="media/image25.jpeg"/><Relationship Id="rId38" Type="http://schemas.openxmlformats.org/officeDocument/2006/relationships/image" Target="media/image30.jpeg"/><Relationship Id="rId59" Type="http://schemas.openxmlformats.org/officeDocument/2006/relationships/image" Target="media/image51.jpeg"/><Relationship Id="rId103" Type="http://schemas.openxmlformats.org/officeDocument/2006/relationships/image" Target="media/image95.png"/><Relationship Id="rId108" Type="http://schemas.openxmlformats.org/officeDocument/2006/relationships/hyperlink" Target="https://doi.org/10.25171/InstGeoph_PAS_ISEPOS-2017-014" TargetMode="External"/><Relationship Id="rId124" Type="http://schemas.openxmlformats.org/officeDocument/2006/relationships/header" Target="header3.xml"/><Relationship Id="rId54" Type="http://schemas.openxmlformats.org/officeDocument/2006/relationships/image" Target="media/image46.jpeg"/><Relationship Id="rId70" Type="http://schemas.openxmlformats.org/officeDocument/2006/relationships/image" Target="media/image62.jpeg"/><Relationship Id="rId75" Type="http://schemas.openxmlformats.org/officeDocument/2006/relationships/image" Target="media/image67.jpeg"/><Relationship Id="rId91" Type="http://schemas.openxmlformats.org/officeDocument/2006/relationships/image" Target="media/image83.jpeg"/><Relationship Id="rId96" Type="http://schemas.openxmlformats.org/officeDocument/2006/relationships/image" Target="media/image88.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image" Target="media/image41.jpeg"/><Relationship Id="rId114" Type="http://schemas.openxmlformats.org/officeDocument/2006/relationships/hyperlink" Target="https://doi.org/10.25171/InstGeoph_PAS_ISEPOS-2018-007" TargetMode="External"/><Relationship Id="rId119" Type="http://schemas.openxmlformats.org/officeDocument/2006/relationships/hyperlink" Target="https://doi.org/10.5281/zenodo.7594915" TargetMode="External"/><Relationship Id="rId44" Type="http://schemas.openxmlformats.org/officeDocument/2006/relationships/image" Target="media/image36.jpeg"/><Relationship Id="rId60" Type="http://schemas.openxmlformats.org/officeDocument/2006/relationships/image" Target="media/image52.jpeg"/><Relationship Id="rId65" Type="http://schemas.openxmlformats.org/officeDocument/2006/relationships/image" Target="media/image57.jpeg"/><Relationship Id="rId81" Type="http://schemas.openxmlformats.org/officeDocument/2006/relationships/image" Target="media/image73.jpg"/><Relationship Id="rId86" Type="http://schemas.openxmlformats.org/officeDocument/2006/relationships/image" Target="media/image78.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hyperlink" Target="https://doi.org/10.25171/InstGeoph_PAS_ISEPOS-2017-015" TargetMode="External"/><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png"/><Relationship Id="rId104" Type="http://schemas.openxmlformats.org/officeDocument/2006/relationships/hyperlink" Target="https://doi.org/10.25577/SSFS2004" TargetMode="External"/><Relationship Id="rId120" Type="http://schemas.openxmlformats.org/officeDocument/2006/relationships/header" Target="header1.xml"/><Relationship Id="rId125"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image" Target="media/image63.jpeg"/><Relationship Id="rId92" Type="http://schemas.openxmlformats.org/officeDocument/2006/relationships/image" Target="media/image84.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110" Type="http://schemas.openxmlformats.org/officeDocument/2006/relationships/hyperlink" Target="https://doi.org/10.25171/InstGeoph_PAS_ISEPOS-2017-013" TargetMode="External"/><Relationship Id="rId115" Type="http://schemas.openxmlformats.org/officeDocument/2006/relationships/hyperlink" Target="https://doi.org/10.25171/InstGeoph_PAS_ISEPOS-2018-006" TargetMode="External"/><Relationship Id="rId61" Type="http://schemas.openxmlformats.org/officeDocument/2006/relationships/image" Target="media/image53.jpeg"/><Relationship Id="rId82" Type="http://schemas.openxmlformats.org/officeDocument/2006/relationships/image" Target="media/image74.jpe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hyperlink" Target="https://doi.org/10.25577/SSFS2005" TargetMode="External"/><Relationship Id="rId126" Type="http://schemas.openxmlformats.org/officeDocument/2006/relationships/fontTable" Target="fontTable.xml"/><Relationship Id="rId8" Type="http://schemas.openxmlformats.org/officeDocument/2006/relationships/hyperlink" Target="mailto:tkostoglou@igf.edu.pl" TargetMode="External"/><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image" Target="media/image90.jpeg"/><Relationship Id="rId121" Type="http://schemas.openxmlformats.org/officeDocument/2006/relationships/header" Target="header2.xml"/><Relationship Id="rId3" Type="http://schemas.openxmlformats.org/officeDocument/2006/relationships/styles" Target="styles.xml"/><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image" Target="media/image59.jpeg"/><Relationship Id="rId116" Type="http://schemas.openxmlformats.org/officeDocument/2006/relationships/hyperlink" Target="https://doi.org/10.25171/InstGeoph_PAS_ISEPOS-2018-005" TargetMode="External"/><Relationship Id="rId20" Type="http://schemas.openxmlformats.org/officeDocument/2006/relationships/image" Target="media/image12.jpeg"/><Relationship Id="rId41" Type="http://schemas.openxmlformats.org/officeDocument/2006/relationships/image" Target="media/image33.jpeg"/><Relationship Id="rId62" Type="http://schemas.openxmlformats.org/officeDocument/2006/relationships/image" Target="media/image54.jpeg"/><Relationship Id="rId83" Type="http://schemas.openxmlformats.org/officeDocument/2006/relationships/image" Target="media/image75.jpg"/><Relationship Id="rId88" Type="http://schemas.openxmlformats.org/officeDocument/2006/relationships/image" Target="media/image80.jpeg"/><Relationship Id="rId111" Type="http://schemas.openxmlformats.org/officeDocument/2006/relationships/hyperlink" Target="https://doi.org/10.25171/InstGeoph_PAS_ISEPOS-2017-006" TargetMode="External"/><Relationship Id="rId15" Type="http://schemas.openxmlformats.org/officeDocument/2006/relationships/image" Target="media/image7.jpeg"/><Relationship Id="rId36" Type="http://schemas.openxmlformats.org/officeDocument/2006/relationships/image" Target="media/image28.jpeg"/><Relationship Id="rId57" Type="http://schemas.openxmlformats.org/officeDocument/2006/relationships/image" Target="media/image49.jpeg"/><Relationship Id="rId106" Type="http://schemas.openxmlformats.org/officeDocument/2006/relationships/hyperlink" Target="https://doi.org/10.25171/InstGeoph_PAS_ISEPOS-2017-011" TargetMode="External"/><Relationship Id="rId127" Type="http://schemas.openxmlformats.org/officeDocument/2006/relationships/theme" Target="theme/theme1.xml"/><Relationship Id="rId10" Type="http://schemas.openxmlformats.org/officeDocument/2006/relationships/image" Target="media/image2.jpeg"/><Relationship Id="rId31" Type="http://schemas.openxmlformats.org/officeDocument/2006/relationships/image" Target="media/image23.jpeg"/><Relationship Id="rId52" Type="http://schemas.openxmlformats.org/officeDocument/2006/relationships/image" Target="media/image44.jpeg"/><Relationship Id="rId73" Type="http://schemas.openxmlformats.org/officeDocument/2006/relationships/image" Target="media/image65.jpeg"/><Relationship Id="rId78" Type="http://schemas.openxmlformats.org/officeDocument/2006/relationships/image" Target="media/image70.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12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01497-7CBF-4D27-BACD-4C5630A09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1862</TotalTime>
  <Pages>115</Pages>
  <Words>15060</Words>
  <Characters>90361</Characters>
  <Application>Microsoft Office Word</Application>
  <DocSecurity>0</DocSecurity>
  <Lines>753</Lines>
  <Paragraphs>210</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105211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Hanson;Dawit Tegbaru;Brian Sedora</dc:creator>
  <cp:keywords/>
  <cp:lastModifiedBy>Anastasios Kostoglou</cp:lastModifiedBy>
  <cp:revision>652</cp:revision>
  <cp:lastPrinted>2025-06-18T13:38:00Z</cp:lastPrinted>
  <dcterms:created xsi:type="dcterms:W3CDTF">2023-03-29T17:55:00Z</dcterms:created>
  <dcterms:modified xsi:type="dcterms:W3CDTF">2025-06-18T13:39:00Z</dcterms:modified>
</cp:coreProperties>
</file>