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E62" w:rsidRPr="00BE5CF7" w:rsidRDefault="00254E62" w:rsidP="00254E62">
      <w:pPr>
        <w:autoSpaceDE w:val="0"/>
        <w:autoSpaceDN w:val="0"/>
        <w:adjustRightInd w:val="0"/>
        <w:spacing w:after="0" w:line="240" w:lineRule="auto"/>
        <w:rPr>
          <w:rFonts w:ascii="Calibri" w:eastAsia="Times New Roman" w:hAnsi="Calibri" w:cs="Calibri"/>
          <w:sz w:val="24"/>
          <w:szCs w:val="24"/>
        </w:rPr>
      </w:pPr>
      <w:r w:rsidRPr="00BE5CF7">
        <w:rPr>
          <w:rFonts w:ascii="Calibri" w:eastAsia="Times New Roman" w:hAnsi="Calibri" w:cs="Calibri"/>
          <w:sz w:val="24"/>
          <w:szCs w:val="24"/>
        </w:rPr>
        <w:t>Electronic Supplementary Material</w:t>
      </w: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r w:rsidRPr="00BE5CF7">
        <w:rPr>
          <w:rFonts w:ascii="Calibri-Bold" w:eastAsia="Times New Roman" w:hAnsi="Calibri-Bold" w:cs="Calibri-Bold"/>
          <w:b/>
          <w:bCs/>
          <w:sz w:val="20"/>
          <w:szCs w:val="20"/>
        </w:rPr>
        <w:t>Article title:</w:t>
      </w:r>
    </w:p>
    <w:p w:rsidR="00254E62" w:rsidRDefault="00AC0ECD" w:rsidP="00254E62">
      <w:pPr>
        <w:autoSpaceDE w:val="0"/>
        <w:autoSpaceDN w:val="0"/>
        <w:adjustRightInd w:val="0"/>
        <w:spacing w:after="0" w:line="240" w:lineRule="auto"/>
        <w:rPr>
          <w:rFonts w:ascii="Calibri" w:eastAsia="Times New Roman" w:hAnsi="Calibri" w:cs="Calibri"/>
          <w:sz w:val="18"/>
          <w:szCs w:val="18"/>
        </w:rPr>
      </w:pPr>
      <w:r w:rsidRPr="00AC0ECD">
        <w:rPr>
          <w:rFonts w:ascii="Calibri" w:eastAsia="Times New Roman" w:hAnsi="Calibri" w:cs="Calibri"/>
          <w:sz w:val="18"/>
          <w:szCs w:val="18"/>
        </w:rPr>
        <w:t>Burden of diarrhea in the Eastern Mediterranean Region, 1990–2015: Findings from the Global Burden of Disease 2015 study</w:t>
      </w:r>
    </w:p>
    <w:p w:rsidR="00AC0ECD" w:rsidRPr="00BE5CF7" w:rsidRDefault="00AC0ECD" w:rsidP="00254E62">
      <w:pPr>
        <w:autoSpaceDE w:val="0"/>
        <w:autoSpaceDN w:val="0"/>
        <w:adjustRightInd w:val="0"/>
        <w:spacing w:after="0" w:line="240" w:lineRule="auto"/>
        <w:rPr>
          <w:rFonts w:ascii="Calibri-Bold" w:eastAsia="Times New Roman" w:hAnsi="Calibri-Bold" w:cs="Calibri-Bold"/>
          <w:b/>
          <w:bCs/>
          <w:sz w:val="20"/>
          <w:szCs w:val="20"/>
        </w:rPr>
      </w:pP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r w:rsidRPr="00BE5CF7">
        <w:rPr>
          <w:rFonts w:ascii="Calibri-Bold" w:eastAsia="Times New Roman" w:hAnsi="Calibri-Bold" w:cs="Calibri-Bold"/>
          <w:b/>
          <w:bCs/>
          <w:sz w:val="20"/>
          <w:szCs w:val="20"/>
        </w:rPr>
        <w:t>Journal:</w:t>
      </w:r>
    </w:p>
    <w:p w:rsidR="00254E62" w:rsidRPr="00BE5CF7" w:rsidRDefault="00254E62" w:rsidP="00254E62">
      <w:pPr>
        <w:autoSpaceDE w:val="0"/>
        <w:autoSpaceDN w:val="0"/>
        <w:adjustRightInd w:val="0"/>
        <w:spacing w:after="0" w:line="240" w:lineRule="auto"/>
        <w:rPr>
          <w:rFonts w:ascii="Calibri" w:eastAsia="Times New Roman" w:hAnsi="Calibri" w:cs="Calibri"/>
          <w:sz w:val="18"/>
          <w:szCs w:val="18"/>
        </w:rPr>
      </w:pPr>
      <w:r w:rsidRPr="00BE5CF7">
        <w:rPr>
          <w:rFonts w:ascii="Calibri" w:eastAsia="Times New Roman" w:hAnsi="Calibri" w:cs="Calibri"/>
          <w:sz w:val="18"/>
          <w:szCs w:val="18"/>
        </w:rPr>
        <w:t>I</w:t>
      </w:r>
      <w:r w:rsidR="00AC0ECD">
        <w:rPr>
          <w:rFonts w:ascii="Calibri" w:eastAsia="Times New Roman" w:hAnsi="Calibri" w:cs="Calibri"/>
          <w:sz w:val="18"/>
          <w:szCs w:val="18"/>
        </w:rPr>
        <w:t>nternational Journal of Public H</w:t>
      </w:r>
      <w:r w:rsidRPr="00BE5CF7">
        <w:rPr>
          <w:rFonts w:ascii="Calibri" w:eastAsia="Times New Roman" w:hAnsi="Calibri" w:cs="Calibri"/>
          <w:sz w:val="18"/>
          <w:szCs w:val="18"/>
        </w:rPr>
        <w:t>ealth</w:t>
      </w: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r w:rsidRPr="00BE5CF7">
        <w:rPr>
          <w:rFonts w:ascii="Calibri-Bold" w:eastAsia="Times New Roman" w:hAnsi="Calibri-Bold" w:cs="Calibri-Bold"/>
          <w:b/>
          <w:bCs/>
          <w:sz w:val="20"/>
          <w:szCs w:val="20"/>
        </w:rPr>
        <w:t>Authors:</w:t>
      </w:r>
    </w:p>
    <w:p w:rsidR="00254E62" w:rsidRDefault="00B34B8F" w:rsidP="00254E62">
      <w:pPr>
        <w:autoSpaceDE w:val="0"/>
        <w:autoSpaceDN w:val="0"/>
        <w:adjustRightInd w:val="0"/>
        <w:spacing w:after="0" w:line="240" w:lineRule="auto"/>
        <w:rPr>
          <w:rFonts w:ascii="Calibri" w:eastAsia="Times New Roman" w:hAnsi="Calibri" w:cs="Calibri"/>
          <w:sz w:val="18"/>
          <w:szCs w:val="18"/>
        </w:rPr>
      </w:pPr>
      <w:r w:rsidRPr="00B34B8F">
        <w:rPr>
          <w:rFonts w:ascii="Calibri" w:eastAsia="Times New Roman" w:hAnsi="Calibri" w:cs="Calibri"/>
          <w:sz w:val="18"/>
          <w:szCs w:val="18"/>
        </w:rPr>
        <w:t>GBD 2015 Eastern Mediterranean Region Diarrhea Collaborators</w:t>
      </w:r>
    </w:p>
    <w:p w:rsidR="00895A2B" w:rsidRPr="00BE5CF7" w:rsidRDefault="00895A2B" w:rsidP="00254E62">
      <w:pPr>
        <w:autoSpaceDE w:val="0"/>
        <w:autoSpaceDN w:val="0"/>
        <w:adjustRightInd w:val="0"/>
        <w:spacing w:after="0" w:line="240" w:lineRule="auto"/>
        <w:rPr>
          <w:rFonts w:ascii="Calibri-Bold" w:eastAsia="Times New Roman" w:hAnsi="Calibri-Bold" w:cs="Calibri-Bold"/>
          <w:b/>
          <w:bCs/>
          <w:sz w:val="20"/>
          <w:szCs w:val="20"/>
        </w:rPr>
      </w:pPr>
    </w:p>
    <w:p w:rsidR="00254E62" w:rsidRPr="00BE5CF7" w:rsidRDefault="00254E62" w:rsidP="00254E62">
      <w:pPr>
        <w:autoSpaceDE w:val="0"/>
        <w:autoSpaceDN w:val="0"/>
        <w:adjustRightInd w:val="0"/>
        <w:spacing w:after="0" w:line="240" w:lineRule="auto"/>
        <w:rPr>
          <w:rFonts w:ascii="Calibri-Bold" w:eastAsia="Times New Roman" w:hAnsi="Calibri-Bold" w:cs="Calibri-Bold"/>
          <w:b/>
          <w:bCs/>
          <w:sz w:val="20"/>
          <w:szCs w:val="20"/>
        </w:rPr>
      </w:pPr>
      <w:r w:rsidRPr="00BE5CF7">
        <w:rPr>
          <w:rFonts w:ascii="Calibri-Bold" w:eastAsia="Times New Roman" w:hAnsi="Calibri-Bold" w:cs="Calibri-Bold"/>
          <w:b/>
          <w:bCs/>
          <w:sz w:val="20"/>
          <w:szCs w:val="20"/>
        </w:rPr>
        <w:t>Corresponding author:</w:t>
      </w:r>
    </w:p>
    <w:p w:rsidR="00254E62" w:rsidRPr="00BE5CF7" w:rsidRDefault="00254E62" w:rsidP="00254E62">
      <w:pPr>
        <w:autoSpaceDE w:val="0"/>
        <w:autoSpaceDN w:val="0"/>
        <w:adjustRightInd w:val="0"/>
        <w:spacing w:after="0" w:line="240" w:lineRule="auto"/>
        <w:rPr>
          <w:rFonts w:ascii="Calibri" w:eastAsia="Times New Roman" w:hAnsi="Calibri" w:cs="Calibri"/>
          <w:sz w:val="18"/>
          <w:szCs w:val="18"/>
        </w:rPr>
      </w:pPr>
      <w:r w:rsidRPr="00BE5CF7">
        <w:rPr>
          <w:rFonts w:ascii="Calibri" w:eastAsia="Times New Roman" w:hAnsi="Calibri" w:cs="Calibri"/>
          <w:sz w:val="18"/>
          <w:szCs w:val="18"/>
        </w:rPr>
        <w:t>Ali H. Mokdad</w:t>
      </w:r>
    </w:p>
    <w:p w:rsidR="00254E62" w:rsidRPr="00BE5CF7" w:rsidRDefault="00254E62" w:rsidP="00254E62">
      <w:pPr>
        <w:autoSpaceDE w:val="0"/>
        <w:autoSpaceDN w:val="0"/>
        <w:adjustRightInd w:val="0"/>
        <w:spacing w:after="0" w:line="240" w:lineRule="auto"/>
        <w:rPr>
          <w:rFonts w:ascii="Calibri" w:eastAsia="Times New Roman" w:hAnsi="Calibri" w:cs="Calibri"/>
          <w:sz w:val="18"/>
          <w:szCs w:val="18"/>
        </w:rPr>
      </w:pPr>
      <w:r w:rsidRPr="00BE5CF7">
        <w:rPr>
          <w:rFonts w:ascii="Calibri" w:eastAsia="Times New Roman" w:hAnsi="Calibri" w:cs="Calibri"/>
          <w:sz w:val="18"/>
          <w:szCs w:val="18"/>
        </w:rPr>
        <w:t>Institute for Health Metrics and Evaluation, University of Washington, Seattle, WA, United States</w:t>
      </w:r>
    </w:p>
    <w:p w:rsidR="00254E62" w:rsidRDefault="00254E62" w:rsidP="00254E62">
      <w:pPr>
        <w:rPr>
          <w:rFonts w:ascii="Calibri" w:eastAsia="Times New Roman" w:hAnsi="Calibri" w:cs="Calibri"/>
          <w:sz w:val="18"/>
          <w:szCs w:val="18"/>
        </w:rPr>
      </w:pPr>
      <w:r w:rsidRPr="00BE5CF7">
        <w:rPr>
          <w:rFonts w:ascii="Calibri" w:eastAsia="Times New Roman" w:hAnsi="Calibri" w:cs="Calibri"/>
          <w:sz w:val="18"/>
          <w:szCs w:val="18"/>
        </w:rPr>
        <w:t xml:space="preserve">Email: </w:t>
      </w:r>
      <w:hyperlink r:id="rId5" w:history="1">
        <w:r w:rsidRPr="00796DF8">
          <w:rPr>
            <w:rStyle w:val="Hyperlink"/>
            <w:rFonts w:ascii="Calibri" w:eastAsia="Times New Roman" w:hAnsi="Calibri" w:cs="Calibri"/>
            <w:sz w:val="18"/>
            <w:szCs w:val="18"/>
          </w:rPr>
          <w:t>mokdaa@uw.edu</w:t>
        </w:r>
      </w:hyperlink>
    </w:p>
    <w:p w:rsidR="00B270E1" w:rsidRPr="00254E62" w:rsidRDefault="00254E62">
      <w:pPr>
        <w:rPr>
          <w:rFonts w:ascii="Calibri" w:eastAsia="Times New Roman" w:hAnsi="Calibri" w:cs="Calibri"/>
          <w:sz w:val="18"/>
          <w:szCs w:val="18"/>
        </w:rPr>
      </w:pPr>
      <w:r>
        <w:rPr>
          <w:rFonts w:ascii="Calibri" w:eastAsia="Times New Roman" w:hAnsi="Calibri" w:cs="Calibri"/>
          <w:sz w:val="18"/>
          <w:szCs w:val="18"/>
        </w:rPr>
        <w:br w:type="page"/>
      </w:r>
    </w:p>
    <w:p w:rsidR="00B270E1" w:rsidRPr="00127563" w:rsidRDefault="00B270E1" w:rsidP="00B270E1">
      <w:pPr>
        <w:spacing w:line="240" w:lineRule="auto"/>
        <w:rPr>
          <w:b/>
        </w:rPr>
      </w:pPr>
      <w:proofErr w:type="gramStart"/>
      <w:r>
        <w:rPr>
          <w:b/>
        </w:rPr>
        <w:lastRenderedPageBreak/>
        <w:t>e-Figure</w:t>
      </w:r>
      <w:proofErr w:type="gramEnd"/>
      <w:r>
        <w:rPr>
          <w:b/>
        </w:rPr>
        <w:t xml:space="preserve"> 1 -</w:t>
      </w:r>
      <w:r w:rsidRPr="000E6E08">
        <w:rPr>
          <w:b/>
        </w:rPr>
        <w:t xml:space="preserve"> </w:t>
      </w:r>
      <w:r>
        <w:rPr>
          <w:b/>
        </w:rPr>
        <w:t xml:space="preserve">Etiologic distribution of diarrhea deaths in the Eastern Mediterranean Region in 2015. </w:t>
      </w:r>
      <w:r>
        <w:rPr>
          <w:noProof/>
        </w:rPr>
        <w:t xml:space="preserve">The percent of diarrheal deaths by etiology among children under 5 in 2015 in the Eastern Mediterranean Region is shown. Colors and text numbers represent the population attributable fraction for each etiology by country. Etiologies are ordered from left to right by increasing number of under-5 diarrheal deaths. </w:t>
      </w:r>
      <w:r w:rsidRPr="00BB2192">
        <w:rPr>
          <w:noProof/>
        </w:rPr>
        <w:t xml:space="preserve">(Global Burden of Disease </w:t>
      </w:r>
      <w:r w:rsidR="008D21A6" w:rsidRPr="00BB2192">
        <w:rPr>
          <w:noProof/>
        </w:rPr>
        <w:t>2015</w:t>
      </w:r>
      <w:r w:rsidR="008D21A6">
        <w:rPr>
          <w:noProof/>
        </w:rPr>
        <w:t xml:space="preserve"> </w:t>
      </w:r>
      <w:r w:rsidRPr="00BB2192">
        <w:rPr>
          <w:noProof/>
        </w:rPr>
        <w:t>Study, Eastern Mediterranean</w:t>
      </w:r>
      <w:r>
        <w:rPr>
          <w:noProof/>
        </w:rPr>
        <w:t xml:space="preserve"> Countries</w:t>
      </w:r>
      <w:r w:rsidRPr="00BB2192">
        <w:rPr>
          <w:noProof/>
        </w:rPr>
        <w:t>, 2015).</w:t>
      </w:r>
    </w:p>
    <w:p w:rsidR="00B270E1" w:rsidRPr="000E6E08" w:rsidRDefault="00B270E1" w:rsidP="00B270E1">
      <w:pPr>
        <w:spacing w:line="240" w:lineRule="auto"/>
        <w:rPr>
          <w:b/>
        </w:rPr>
      </w:pPr>
      <w:r>
        <w:rPr>
          <w:noProof/>
          <w:lang w:val="en-IN" w:eastAsia="en-IN"/>
        </w:rPr>
        <w:drawing>
          <wp:inline distT="0" distB="0" distL="0" distR="0" wp14:anchorId="2B7EFA0E" wp14:editId="414BC2FA">
            <wp:extent cx="5943600" cy="63042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304280"/>
                    </a:xfrm>
                    <a:prstGeom prst="rect">
                      <a:avLst/>
                    </a:prstGeom>
                  </pic:spPr>
                </pic:pic>
              </a:graphicData>
            </a:graphic>
          </wp:inline>
        </w:drawing>
      </w:r>
      <w:r w:rsidRPr="000E6E08">
        <w:rPr>
          <w:noProof/>
        </w:rPr>
        <w:t xml:space="preserve"> </w:t>
      </w:r>
    </w:p>
    <w:p w:rsidR="00B270E1" w:rsidRPr="000E6E08" w:rsidRDefault="00B270E1" w:rsidP="00B270E1">
      <w:pPr>
        <w:spacing w:line="240" w:lineRule="auto"/>
        <w:rPr>
          <w:b/>
        </w:rPr>
      </w:pPr>
    </w:p>
    <w:p w:rsidR="00B270E1" w:rsidRPr="000E6E08" w:rsidRDefault="00B270E1" w:rsidP="00B270E1">
      <w:pPr>
        <w:spacing w:line="240" w:lineRule="auto"/>
        <w:rPr>
          <w:b/>
        </w:rPr>
      </w:pPr>
    </w:p>
    <w:p w:rsidR="00B270E1" w:rsidRPr="000E6E08" w:rsidRDefault="00B270E1" w:rsidP="00B270E1">
      <w:pPr>
        <w:spacing w:line="240" w:lineRule="auto"/>
        <w:rPr>
          <w:b/>
        </w:rPr>
      </w:pPr>
    </w:p>
    <w:p w:rsidR="00B270E1" w:rsidRDefault="00B270E1" w:rsidP="00B270E1">
      <w:pPr>
        <w:spacing w:line="240" w:lineRule="auto"/>
      </w:pPr>
      <w:proofErr w:type="gramStart"/>
      <w:r>
        <w:rPr>
          <w:b/>
        </w:rPr>
        <w:lastRenderedPageBreak/>
        <w:t>e-Figure</w:t>
      </w:r>
      <w:proofErr w:type="gramEnd"/>
      <w:r>
        <w:rPr>
          <w:b/>
        </w:rPr>
        <w:t xml:space="preserve"> 2 - </w:t>
      </w:r>
      <w:r w:rsidRPr="00E8280A">
        <w:rPr>
          <w:b/>
        </w:rPr>
        <w:t>The distribution of diarrheal deaths attributed to each etiology for under-5 deaths (A) and for all ages (B) in the Eastern Mediterranean in 2015</w:t>
      </w:r>
      <w:r>
        <w:t xml:space="preserve">. Unattributed is not estimated directly; it is the difference of 1 minus the sum of the PAFs for the diarrheal etiologies. </w:t>
      </w:r>
      <w:r w:rsidRPr="00BB2192">
        <w:rPr>
          <w:noProof/>
        </w:rPr>
        <w:t xml:space="preserve">(Global Burden of Disease </w:t>
      </w:r>
      <w:r w:rsidR="008D21A6" w:rsidRPr="00BB2192">
        <w:rPr>
          <w:noProof/>
        </w:rPr>
        <w:t>2015</w:t>
      </w:r>
      <w:r w:rsidR="008D21A6">
        <w:rPr>
          <w:noProof/>
        </w:rPr>
        <w:t xml:space="preserve"> Study</w:t>
      </w:r>
      <w:r w:rsidRPr="00BB2192">
        <w:rPr>
          <w:noProof/>
        </w:rPr>
        <w:t>, Eastern Mediterranean</w:t>
      </w:r>
      <w:r>
        <w:rPr>
          <w:noProof/>
        </w:rPr>
        <w:t xml:space="preserve"> Region</w:t>
      </w:r>
      <w:r w:rsidRPr="00BB2192">
        <w:rPr>
          <w:noProof/>
        </w:rPr>
        <w:t>, 2015).</w:t>
      </w:r>
    </w:p>
    <w:p w:rsidR="00B270E1" w:rsidRDefault="00B270E1" w:rsidP="00B270E1">
      <w:pPr>
        <w:spacing w:line="240" w:lineRule="auto"/>
        <w:rPr>
          <w:noProof/>
        </w:rPr>
      </w:pPr>
      <w:r>
        <w:rPr>
          <w:b/>
        </w:rPr>
        <w:t>A</w:t>
      </w:r>
      <w:r w:rsidRPr="00F24B9B">
        <w:rPr>
          <w:noProof/>
        </w:rPr>
        <w:t xml:space="preserve"> </w:t>
      </w:r>
    </w:p>
    <w:p w:rsidR="00AC0ECD" w:rsidRDefault="00AC0ECD" w:rsidP="00B270E1">
      <w:pPr>
        <w:spacing w:line="240" w:lineRule="auto"/>
        <w:rPr>
          <w:noProof/>
        </w:rPr>
      </w:pPr>
      <w:r>
        <w:rPr>
          <w:noProof/>
          <w:lang w:val="en-IN" w:eastAsia="en-IN"/>
        </w:rPr>
        <w:drawing>
          <wp:inline distT="0" distB="0" distL="0" distR="0">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igure2_piecharts_Page_1.jpg"/>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AC0ECD" w:rsidRDefault="00AC0ECD" w:rsidP="00B270E1">
      <w:pPr>
        <w:spacing w:line="240" w:lineRule="auto"/>
        <w:rPr>
          <w:b/>
          <w:noProof/>
        </w:rPr>
      </w:pPr>
    </w:p>
    <w:p w:rsidR="00AC0ECD" w:rsidRDefault="00AC0ECD" w:rsidP="00B270E1">
      <w:pPr>
        <w:spacing w:line="240" w:lineRule="auto"/>
        <w:rPr>
          <w:b/>
          <w:noProof/>
        </w:rPr>
      </w:pPr>
    </w:p>
    <w:p w:rsidR="00AC0ECD" w:rsidRDefault="00AC0ECD" w:rsidP="00B270E1">
      <w:pPr>
        <w:spacing w:line="240" w:lineRule="auto"/>
        <w:rPr>
          <w:b/>
          <w:noProof/>
        </w:rPr>
      </w:pPr>
    </w:p>
    <w:p w:rsidR="00AC0ECD" w:rsidRDefault="00AC0ECD" w:rsidP="00B270E1">
      <w:pPr>
        <w:spacing w:line="240" w:lineRule="auto"/>
        <w:rPr>
          <w:b/>
          <w:noProof/>
        </w:rPr>
      </w:pPr>
    </w:p>
    <w:p w:rsidR="00B270E1" w:rsidRPr="00AC0ECD" w:rsidRDefault="00B270E1" w:rsidP="00B270E1">
      <w:pPr>
        <w:spacing w:line="240" w:lineRule="auto"/>
        <w:rPr>
          <w:b/>
          <w:noProof/>
        </w:rPr>
      </w:pPr>
      <w:r w:rsidRPr="00AC0ECD">
        <w:rPr>
          <w:b/>
          <w:noProof/>
        </w:rPr>
        <w:lastRenderedPageBreak/>
        <w:t>B</w:t>
      </w:r>
    </w:p>
    <w:p w:rsidR="00B270E1" w:rsidRDefault="00AC0ECD" w:rsidP="00B270E1">
      <w:pPr>
        <w:spacing w:line="240" w:lineRule="auto"/>
        <w:rPr>
          <w:noProof/>
        </w:rPr>
      </w:pPr>
      <w:r>
        <w:rPr>
          <w:noProof/>
          <w:lang w:val="en-IN" w:eastAsia="en-IN"/>
        </w:rPr>
        <w:drawing>
          <wp:inline distT="0" distB="0" distL="0" distR="0">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gure2_piecharts_Page_2.jpg"/>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AC0ECD" w:rsidRDefault="00AC0ECD">
      <w:pPr>
        <w:rPr>
          <w:b/>
          <w:noProof/>
        </w:rPr>
      </w:pPr>
      <w:r>
        <w:rPr>
          <w:b/>
          <w:noProof/>
        </w:rPr>
        <w:br w:type="page"/>
      </w:r>
    </w:p>
    <w:p w:rsidR="00B270E1" w:rsidRDefault="00B270E1" w:rsidP="00B270E1">
      <w:pPr>
        <w:rPr>
          <w:noProof/>
        </w:rPr>
      </w:pPr>
      <w:r>
        <w:rPr>
          <w:b/>
          <w:noProof/>
        </w:rPr>
        <w:lastRenderedPageBreak/>
        <w:t xml:space="preserve">e-Figure 3 - Population attributable fraction of risk factors to diarrhea deaths among all ages in the Eastern Mediterranean Region in 2015. </w:t>
      </w:r>
      <w:r>
        <w:rPr>
          <w:noProof/>
        </w:rPr>
        <w:t xml:space="preserve">Colors and numbered text represent the attributable fraction due to each risk factor. Countries are ordered from lowest (Somalia) to highest (Kuwait). </w:t>
      </w:r>
      <w:r w:rsidRPr="00BB2192">
        <w:rPr>
          <w:noProof/>
        </w:rPr>
        <w:t xml:space="preserve">(Global Burden of Disease </w:t>
      </w:r>
      <w:r w:rsidR="008D21A6" w:rsidRPr="00BB2192">
        <w:rPr>
          <w:noProof/>
        </w:rPr>
        <w:t>2015</w:t>
      </w:r>
      <w:r w:rsidR="008D21A6">
        <w:rPr>
          <w:noProof/>
        </w:rPr>
        <w:t xml:space="preserve"> </w:t>
      </w:r>
      <w:r w:rsidRPr="00BB2192">
        <w:rPr>
          <w:noProof/>
        </w:rPr>
        <w:t>Study</w:t>
      </w:r>
      <w:bookmarkStart w:id="0" w:name="_GoBack"/>
      <w:bookmarkEnd w:id="0"/>
      <w:r w:rsidRPr="00BB2192">
        <w:rPr>
          <w:noProof/>
        </w:rPr>
        <w:t>, Eastern Mediterranean</w:t>
      </w:r>
      <w:r>
        <w:rPr>
          <w:noProof/>
        </w:rPr>
        <w:t xml:space="preserve"> Countries</w:t>
      </w:r>
      <w:r w:rsidRPr="00BB2192">
        <w:rPr>
          <w:noProof/>
        </w:rPr>
        <w:t>, 2015).</w:t>
      </w:r>
    </w:p>
    <w:p w:rsidR="00B270E1" w:rsidRDefault="00B270E1" w:rsidP="00B270E1">
      <w:pPr>
        <w:rPr>
          <w:noProof/>
        </w:rPr>
      </w:pPr>
      <w:r>
        <w:rPr>
          <w:noProof/>
          <w:lang w:val="en-IN" w:eastAsia="en-IN"/>
        </w:rPr>
        <w:drawing>
          <wp:inline distT="0" distB="0" distL="0" distR="0" wp14:anchorId="20D284D9" wp14:editId="473F4F60">
            <wp:extent cx="5943600" cy="62801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280150"/>
                    </a:xfrm>
                    <a:prstGeom prst="rect">
                      <a:avLst/>
                    </a:prstGeom>
                  </pic:spPr>
                </pic:pic>
              </a:graphicData>
            </a:graphic>
          </wp:inline>
        </w:drawing>
      </w:r>
    </w:p>
    <w:p w:rsidR="00B270E1" w:rsidRDefault="00B270E1" w:rsidP="00B270E1">
      <w:pPr>
        <w:spacing w:line="240" w:lineRule="auto"/>
        <w:rPr>
          <w:noProof/>
        </w:rPr>
      </w:pPr>
    </w:p>
    <w:p w:rsidR="00D62FFA" w:rsidRDefault="00D62FFA"/>
    <w:sectPr w:rsidR="00D62F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E1"/>
    <w:rsid w:val="00254E62"/>
    <w:rsid w:val="00895A2B"/>
    <w:rsid w:val="008D21A6"/>
    <w:rsid w:val="00AC0ECD"/>
    <w:rsid w:val="00B270E1"/>
    <w:rsid w:val="00B34B8F"/>
    <w:rsid w:val="00C22040"/>
    <w:rsid w:val="00D6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E62"/>
    <w:rPr>
      <w:color w:val="0563C1" w:themeColor="hyperlink"/>
      <w:u w:val="single"/>
    </w:rPr>
  </w:style>
  <w:style w:type="paragraph" w:styleId="BalloonText">
    <w:name w:val="Balloon Text"/>
    <w:basedOn w:val="Normal"/>
    <w:link w:val="BalloonTextChar"/>
    <w:uiPriority w:val="99"/>
    <w:semiHidden/>
    <w:unhideWhenUsed/>
    <w:rsid w:val="008D2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1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E62"/>
    <w:rPr>
      <w:color w:val="0563C1" w:themeColor="hyperlink"/>
      <w:u w:val="single"/>
    </w:rPr>
  </w:style>
  <w:style w:type="paragraph" w:styleId="BalloonText">
    <w:name w:val="Balloon Text"/>
    <w:basedOn w:val="Normal"/>
    <w:link w:val="BalloonTextChar"/>
    <w:uiPriority w:val="99"/>
    <w:semiHidden/>
    <w:unhideWhenUsed/>
    <w:rsid w:val="008D2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1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mokdaa@uw.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Collison</dc:creator>
  <cp:keywords/>
  <dc:description/>
  <cp:lastModifiedBy>Albert Singh R.A.</cp:lastModifiedBy>
  <cp:revision>5</cp:revision>
  <dcterms:created xsi:type="dcterms:W3CDTF">2017-06-15T20:57:00Z</dcterms:created>
  <dcterms:modified xsi:type="dcterms:W3CDTF">2017-07-28T04:11:00Z</dcterms:modified>
</cp:coreProperties>
</file>