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Electronic Supplementary Material</w:t>
      </w: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Article title:</w:t>
      </w: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6372AE">
        <w:rPr>
          <w:rFonts w:ascii="Calibri" w:hAnsi="Calibri" w:cs="Calibri"/>
          <w:sz w:val="18"/>
          <w:szCs w:val="18"/>
        </w:rPr>
        <w:t>Trends in HIV/AIDS morbidity and mortality in Eastern Mediterranean countries, 1990–2015: Findings from the Global Burden of Disease 2015 study</w:t>
      </w: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Journal:</w:t>
      </w: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I</w:t>
      </w:r>
      <w:r w:rsidR="00CD56C5">
        <w:rPr>
          <w:rFonts w:ascii="Calibri" w:hAnsi="Calibri" w:cs="Calibri"/>
          <w:sz w:val="18"/>
          <w:szCs w:val="18"/>
        </w:rPr>
        <w:t>nternational Journal of Public H</w:t>
      </w:r>
      <w:r>
        <w:rPr>
          <w:rFonts w:ascii="Calibri" w:hAnsi="Calibri" w:cs="Calibri"/>
          <w:sz w:val="18"/>
          <w:szCs w:val="18"/>
        </w:rPr>
        <w:t>ealth</w:t>
      </w: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Authors:</w:t>
      </w: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GBD 2015 Eastern Mediterranean Region</w:t>
      </w:r>
      <w:r w:rsidR="00DC164A">
        <w:rPr>
          <w:rFonts w:ascii="Calibri" w:hAnsi="Calibri" w:cs="Calibri"/>
          <w:sz w:val="18"/>
          <w:szCs w:val="18"/>
        </w:rPr>
        <w:t xml:space="preserve"> HIV</w:t>
      </w:r>
      <w:r w:rsidR="00B9524C">
        <w:rPr>
          <w:rFonts w:ascii="Calibri" w:hAnsi="Calibri" w:cs="Calibri"/>
          <w:sz w:val="18"/>
          <w:szCs w:val="18"/>
        </w:rPr>
        <w:t>/AIDS</w:t>
      </w:r>
      <w:bookmarkStart w:id="0" w:name="_GoBack"/>
      <w:bookmarkEnd w:id="0"/>
      <w:r>
        <w:rPr>
          <w:rFonts w:ascii="Calibri" w:hAnsi="Calibri" w:cs="Calibri"/>
          <w:sz w:val="18"/>
          <w:szCs w:val="18"/>
        </w:rPr>
        <w:t xml:space="preserve"> Collaborators</w:t>
      </w: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  <w:r>
        <w:rPr>
          <w:rFonts w:ascii="Calibri-Bold" w:hAnsi="Calibri-Bold" w:cs="Calibri-Bold"/>
          <w:b/>
          <w:bCs/>
          <w:sz w:val="20"/>
          <w:szCs w:val="20"/>
        </w:rPr>
        <w:t>Corresponding author:</w:t>
      </w: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Ali H. Mokdad</w:t>
      </w:r>
    </w:p>
    <w:p w:rsidR="006372AE" w:rsidRDefault="006372AE" w:rsidP="006372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Institute for Health Metrics and Evaluation, University of Washington, Seattle, WA, United States</w:t>
      </w:r>
    </w:p>
    <w:p w:rsidR="006372AE" w:rsidRDefault="006372AE" w:rsidP="006372AE">
      <w:pPr>
        <w:rPr>
          <w:i/>
          <w:iCs/>
          <w:color w:val="44546A" w:themeColor="text2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Email: mokdaa@uw.edu</w:t>
      </w:r>
      <w:r>
        <w:br w:type="page"/>
      </w:r>
    </w:p>
    <w:p w:rsidR="00DE47E1" w:rsidRPr="00986E14" w:rsidRDefault="00DE47E1" w:rsidP="00DE47E1">
      <w:pPr>
        <w:pStyle w:val="Caption"/>
        <w:keepNext/>
        <w:rPr>
          <w:sz w:val="24"/>
          <w:szCs w:val="24"/>
        </w:rPr>
      </w:pPr>
      <w:r w:rsidRPr="00986E14">
        <w:rPr>
          <w:sz w:val="24"/>
          <w:szCs w:val="24"/>
        </w:rPr>
        <w:lastRenderedPageBreak/>
        <w:t xml:space="preserve">e-Table 1: Rates and 95% uncertainty levels (UL) of </w:t>
      </w:r>
      <w:r w:rsidR="00BC7E1E">
        <w:rPr>
          <w:sz w:val="24"/>
          <w:szCs w:val="24"/>
        </w:rPr>
        <w:t xml:space="preserve">age-standardized </w:t>
      </w:r>
      <w:r w:rsidRPr="00986E14">
        <w:rPr>
          <w:sz w:val="24"/>
          <w:szCs w:val="24"/>
        </w:rPr>
        <w:t>years of life lost due to HIV/AIDS mortality per 100,000 population in Eastern Mediterranean Region countries observed in 1990, 2005, and 2015, and expected in 2015 based on Socio-demographic Index</w:t>
      </w:r>
      <w:r w:rsidR="00986E14">
        <w:rPr>
          <w:sz w:val="24"/>
          <w:szCs w:val="24"/>
        </w:rPr>
        <w:t>(SDI)</w:t>
      </w:r>
      <w:r w:rsidRPr="00986E14">
        <w:rPr>
          <w:sz w:val="24"/>
          <w:szCs w:val="24"/>
        </w:rPr>
        <w:t xml:space="preserve">. (Global Burden of Disease </w:t>
      </w:r>
      <w:r w:rsidR="00B276E0" w:rsidRPr="00986E14">
        <w:rPr>
          <w:sz w:val="24"/>
          <w:szCs w:val="24"/>
        </w:rPr>
        <w:t>2015 s</w:t>
      </w:r>
      <w:r w:rsidRPr="00986E14">
        <w:rPr>
          <w:sz w:val="24"/>
          <w:szCs w:val="24"/>
        </w:rPr>
        <w:t>tudy, Eastern Mediterranean Countries, 1990-2015).</w:t>
      </w: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3066"/>
        <w:gridCol w:w="2613"/>
        <w:gridCol w:w="2880"/>
        <w:gridCol w:w="2880"/>
        <w:gridCol w:w="1511"/>
      </w:tblGrid>
      <w:tr w:rsidR="00DE017D" w:rsidRPr="00A6699C" w:rsidTr="00DF7566">
        <w:trPr>
          <w:trHeight w:val="300"/>
        </w:trPr>
        <w:tc>
          <w:tcPr>
            <w:tcW w:w="3066" w:type="dxa"/>
            <w:noWrap/>
          </w:tcPr>
          <w:p w:rsidR="00DE017D" w:rsidRPr="0041120A" w:rsidRDefault="00DE017D" w:rsidP="00DF7566">
            <w:pPr>
              <w:rPr>
                <w:rFonts w:eastAsia="Times New Roman" w:cs="Times New Roman"/>
                <w:b/>
              </w:rPr>
            </w:pPr>
          </w:p>
        </w:tc>
        <w:tc>
          <w:tcPr>
            <w:tcW w:w="2613" w:type="dxa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1990</w:t>
            </w:r>
          </w:p>
        </w:tc>
        <w:tc>
          <w:tcPr>
            <w:tcW w:w="2880" w:type="dxa"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2005</w:t>
            </w:r>
          </w:p>
        </w:tc>
        <w:tc>
          <w:tcPr>
            <w:tcW w:w="4391" w:type="dxa"/>
            <w:gridSpan w:val="2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2015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hideMark/>
          </w:tcPr>
          <w:p w:rsidR="00DE017D" w:rsidRPr="0041120A" w:rsidRDefault="00DE017D" w:rsidP="00DF7566">
            <w:pPr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Location</w:t>
            </w:r>
          </w:p>
        </w:tc>
        <w:tc>
          <w:tcPr>
            <w:tcW w:w="2613" w:type="dxa"/>
            <w:noWrap/>
            <w:hideMark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Rate (</w:t>
            </w:r>
            <w:r w:rsidRPr="0041120A">
              <w:rPr>
                <w:b/>
              </w:rPr>
              <w:t xml:space="preserve">95% </w:t>
            </w:r>
            <w:r w:rsidRPr="0041120A">
              <w:rPr>
                <w:rFonts w:eastAsia="Times New Roman" w:cs="Times New Roman"/>
                <w:b/>
              </w:rPr>
              <w:t>UL)</w:t>
            </w:r>
          </w:p>
        </w:tc>
        <w:tc>
          <w:tcPr>
            <w:tcW w:w="2880" w:type="dxa"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Rate (</w:t>
            </w:r>
            <w:r w:rsidRPr="0041120A">
              <w:rPr>
                <w:b/>
              </w:rPr>
              <w:t xml:space="preserve">95% </w:t>
            </w:r>
            <w:r w:rsidRPr="0041120A">
              <w:rPr>
                <w:rFonts w:eastAsia="Times New Roman" w:cs="Times New Roman"/>
                <w:b/>
              </w:rPr>
              <w:t>UL)</w:t>
            </w:r>
          </w:p>
        </w:tc>
        <w:tc>
          <w:tcPr>
            <w:tcW w:w="2880" w:type="dxa"/>
            <w:noWrap/>
            <w:hideMark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Observed rate (</w:t>
            </w:r>
            <w:r w:rsidRPr="0041120A">
              <w:rPr>
                <w:b/>
              </w:rPr>
              <w:t xml:space="preserve">95% </w:t>
            </w:r>
            <w:r w:rsidRPr="0041120A">
              <w:rPr>
                <w:rFonts w:eastAsia="Times New Roman" w:cs="Times New Roman"/>
                <w:b/>
              </w:rPr>
              <w:t>UL)</w:t>
            </w:r>
          </w:p>
        </w:tc>
        <w:tc>
          <w:tcPr>
            <w:tcW w:w="1511" w:type="dxa"/>
          </w:tcPr>
          <w:p w:rsidR="00DE017D" w:rsidRPr="0041120A" w:rsidRDefault="00DE017D" w:rsidP="00DF7566">
            <w:pPr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Expected rate based on SDI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Eastern Mediterranean Region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166FEE" w:rsidRDefault="00DE017D" w:rsidP="00DF75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 (7.6 – 36.2)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166FEE" w:rsidRDefault="00DE017D" w:rsidP="00DF75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72.3 (55.7 – 101.3)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166FEE" w:rsidRDefault="00D10EE4" w:rsidP="00DF75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81.9</w:t>
            </w:r>
            <w:r w:rsidR="00DE017D">
              <w:rPr>
                <w:rFonts w:ascii="Calibri" w:hAnsi="Calibri" w:cs="Calibri"/>
                <w:color w:val="000000"/>
              </w:rPr>
              <w:t xml:space="preserve"> (65.3 – 114.4)</w:t>
            </w:r>
          </w:p>
        </w:tc>
        <w:tc>
          <w:tcPr>
            <w:tcW w:w="1511" w:type="dxa"/>
            <w:vAlign w:val="center"/>
          </w:tcPr>
          <w:p w:rsidR="00DE017D" w:rsidRPr="00166FEE" w:rsidRDefault="00DE017D" w:rsidP="00DF75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1664.9</w:t>
            </w:r>
          </w:p>
        </w:tc>
      </w:tr>
      <w:tr w:rsidR="00DE017D" w:rsidRPr="00A6699C" w:rsidTr="00DF7566">
        <w:trPr>
          <w:trHeight w:val="300"/>
        </w:trPr>
        <w:tc>
          <w:tcPr>
            <w:tcW w:w="12950" w:type="dxa"/>
            <w:gridSpan w:val="5"/>
            <w:noWrap/>
            <w:vAlign w:val="center"/>
          </w:tcPr>
          <w:p w:rsidR="00DE017D" w:rsidRDefault="00DE017D" w:rsidP="00DF7566">
            <w:pPr>
              <w:rPr>
                <w:rFonts w:ascii="Calibri" w:hAnsi="Calibri" w:cs="Calibri"/>
                <w:color w:val="000000"/>
              </w:rPr>
            </w:pPr>
            <w:r w:rsidRPr="0041120A">
              <w:rPr>
                <w:rFonts w:ascii="Calibri" w:hAnsi="Calibri"/>
                <w:b/>
                <w:color w:val="000000"/>
              </w:rPr>
              <w:t>Low and lower middle income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Afghanistan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22.0 (0.5 – 117.5)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46.3 (5.3 – 255.6)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41.2 (8.5 – 150.2)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2165.3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Somalia</w:t>
            </w:r>
          </w:p>
        </w:tc>
        <w:tc>
          <w:tcPr>
            <w:tcW w:w="2613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96.1 (34.5 – 206.1)</w:t>
            </w:r>
          </w:p>
        </w:tc>
        <w:tc>
          <w:tcPr>
            <w:tcW w:w="288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974.0 (628.2 – 1358.6)</w:t>
            </w:r>
          </w:p>
        </w:tc>
        <w:tc>
          <w:tcPr>
            <w:tcW w:w="288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915.9 (670.7 – 1218.2)</w:t>
            </w:r>
          </w:p>
        </w:tc>
        <w:tc>
          <w:tcPr>
            <w:tcW w:w="1511" w:type="dxa"/>
            <w:tcBorders>
              <w:bottom w:val="single" w:sz="12" w:space="0" w:color="auto"/>
            </w:tcBorders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2162.5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Djibouti</w:t>
            </w:r>
          </w:p>
        </w:tc>
        <w:tc>
          <w:tcPr>
            <w:tcW w:w="2613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509.0 (135.6 – 1394.7)</w:t>
            </w:r>
          </w:p>
        </w:tc>
        <w:tc>
          <w:tcPr>
            <w:tcW w:w="288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3894.9 (2566.1 – 5527.3)</w:t>
            </w:r>
          </w:p>
        </w:tc>
        <w:tc>
          <w:tcPr>
            <w:tcW w:w="288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8E54C4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8E54C4">
              <w:rPr>
                <w:rFonts w:ascii="Calibri" w:hAnsi="Calibri" w:cs="Calibri"/>
              </w:rPr>
              <w:t>2218.8 (1474.5 – 2999.1)</w:t>
            </w:r>
          </w:p>
        </w:tc>
        <w:tc>
          <w:tcPr>
            <w:tcW w:w="1511" w:type="dxa"/>
            <w:tcBorders>
              <w:top w:val="single" w:sz="12" w:space="0" w:color="auto"/>
            </w:tcBorders>
            <w:vAlign w:val="center"/>
          </w:tcPr>
          <w:p w:rsidR="00DE017D" w:rsidRPr="008E54C4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8E54C4">
              <w:rPr>
                <w:rFonts w:ascii="Calibri" w:hAnsi="Calibri" w:cs="Calibri"/>
              </w:rPr>
              <w:t>2176.4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Egypt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  <w:r w:rsidR="00DE017D">
              <w:rPr>
                <w:rFonts w:ascii="Calibri" w:hAnsi="Calibri" w:cs="Calibri"/>
                <w:color w:val="000000"/>
              </w:rPr>
              <w:t xml:space="preserve"> (0.8 – 2.1)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7.9</w:t>
            </w:r>
            <w:r w:rsidR="00DE017D">
              <w:rPr>
                <w:rFonts w:ascii="Calibri" w:hAnsi="Calibri" w:cs="Calibri"/>
                <w:color w:val="000000"/>
              </w:rPr>
              <w:t xml:space="preserve"> (6.2 – 9.4)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11.3 (9.2 – 14.1)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1478.7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Morocco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2.9 (2.5 – 3.3)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23.0 (19.8 – 27.2)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46.5 (35.7 – 60.6)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2052.3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Pakistan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3.2 (0.1 – 23.8)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13.1 (1.6 – 71.3)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41.3 (7.0 – 145.6)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2178.1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Palestine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1.9 (0.8</w:t>
            </w:r>
            <w:r w:rsidR="00DE017D">
              <w:rPr>
                <w:rFonts w:ascii="Calibri" w:hAnsi="Calibri" w:cs="Calibri"/>
                <w:color w:val="000000"/>
              </w:rPr>
              <w:t xml:space="preserve"> – 3.8)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13.2 (11.3 – 15.5)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19.5 (14.4 – 28.7)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1694.1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Sudan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533F8D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116.2 (3</w:t>
            </w:r>
            <w:r w:rsidR="00533F8D">
              <w:rPr>
                <w:rFonts w:ascii="Calibri" w:hAnsi="Calibri" w:cs="Calibri"/>
                <w:color w:val="000000"/>
              </w:rPr>
              <w:t xml:space="preserve">1.0 </w:t>
            </w:r>
            <w:r>
              <w:rPr>
                <w:rFonts w:ascii="Calibri" w:hAnsi="Calibri" w:cs="Calibri"/>
                <w:color w:val="000000"/>
              </w:rPr>
              <w:t>– 250.8)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565.7 (388.8 – 752.9)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621.9</w:t>
            </w:r>
            <w:r w:rsidR="00DE017D">
              <w:rPr>
                <w:rFonts w:ascii="Calibri" w:hAnsi="Calibri" w:cs="Calibri"/>
                <w:color w:val="000000"/>
              </w:rPr>
              <w:t xml:space="preserve"> (460.2 – 763.8)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2161.7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Syria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8.4 (7.6 – 9.3</w:t>
            </w:r>
            <w:r w:rsidR="00DE017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3.8 (2.6 – 5.6)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7.8 (3.0 – 15.7)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1641.7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Tunisia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3.7 (1.7 – 5.5)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13.0 (10.8 – 15.7</w:t>
            </w:r>
            <w:r w:rsidR="00DE017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33.3 (24.8 – 43.4)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1324.8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Yemen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36.2 (0.7 – 219.9)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64.7 (6.4 – 390.7)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36.0 (7.1 – 140.3)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2157</w:t>
            </w:r>
          </w:p>
        </w:tc>
      </w:tr>
      <w:tr w:rsidR="00DE017D" w:rsidRPr="00A6699C" w:rsidTr="00DF7566">
        <w:trPr>
          <w:trHeight w:val="300"/>
        </w:trPr>
        <w:tc>
          <w:tcPr>
            <w:tcW w:w="12950" w:type="dxa"/>
            <w:gridSpan w:val="5"/>
            <w:noWrap/>
            <w:vAlign w:val="center"/>
          </w:tcPr>
          <w:p w:rsidR="00DE017D" w:rsidRDefault="00DE017D" w:rsidP="00DF7566">
            <w:pPr>
              <w:rPr>
                <w:rFonts w:ascii="Calibri" w:hAnsi="Calibri" w:cs="Calibri"/>
                <w:color w:val="000000"/>
              </w:rPr>
            </w:pPr>
            <w:r w:rsidRPr="0041120A">
              <w:rPr>
                <w:rFonts w:ascii="Calibri" w:hAnsi="Calibri"/>
                <w:b/>
                <w:color w:val="000000"/>
              </w:rPr>
              <w:t>Upper middle and high income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Iran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2.2 (0.5 – 3.8)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18.4 (15.8 – 21.1)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27.2 (21.6 – 37.8)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1118.9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Iraq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1.4 (0.5 – 2.8)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9.4 (7.9 – 10.9)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17.1 (13.1 – 23.7)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1644.5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Jordan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1.6 (0.6 – 3.2)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8.0 (6.5 – 10.7)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7.8 (5.0 – 12.7)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1212.6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Lebanon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95.1 (4.7 – 744.7)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89.4 (8.7 – 549.9)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66.8 (11.5 – 320.3)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803.2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Libya</w:t>
            </w:r>
          </w:p>
        </w:tc>
        <w:tc>
          <w:tcPr>
            <w:tcW w:w="2613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40.6 (0.1 – 227.2)</w:t>
            </w:r>
          </w:p>
        </w:tc>
        <w:tc>
          <w:tcPr>
            <w:tcW w:w="288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94.1 (2.1</w:t>
            </w:r>
            <w:r w:rsidR="00DE017D">
              <w:rPr>
                <w:rFonts w:ascii="Calibri" w:hAnsi="Calibri" w:cs="Calibri"/>
                <w:color w:val="000000"/>
              </w:rPr>
              <w:t xml:space="preserve"> – 567.4)</w:t>
            </w:r>
          </w:p>
        </w:tc>
        <w:tc>
          <w:tcPr>
            <w:tcW w:w="2880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76.8 (3.4 – 406.1)</w:t>
            </w:r>
          </w:p>
        </w:tc>
        <w:tc>
          <w:tcPr>
            <w:tcW w:w="1511" w:type="dxa"/>
            <w:tcBorders>
              <w:bottom w:val="single" w:sz="12" w:space="0" w:color="auto"/>
            </w:tcBorders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1369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Bahrain</w:t>
            </w:r>
          </w:p>
        </w:tc>
        <w:tc>
          <w:tcPr>
            <w:tcW w:w="2613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19.5 (6.7 – 35.3)</w:t>
            </w:r>
          </w:p>
        </w:tc>
        <w:tc>
          <w:tcPr>
            <w:tcW w:w="288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59.2 (44.2 – 86.6)</w:t>
            </w:r>
          </w:p>
        </w:tc>
        <w:tc>
          <w:tcPr>
            <w:tcW w:w="288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E672E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54.7 (36.6 – 89.7)</w:t>
            </w:r>
          </w:p>
        </w:tc>
        <w:tc>
          <w:tcPr>
            <w:tcW w:w="1511" w:type="dxa"/>
            <w:tcBorders>
              <w:top w:val="single" w:sz="12" w:space="0" w:color="auto"/>
            </w:tcBorders>
            <w:vAlign w:val="center"/>
          </w:tcPr>
          <w:p w:rsidR="00DE017D" w:rsidRPr="00E672E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711.1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Kuwait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18.8 (16.8 – 20.9)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19.5 (17.7 – 21.4)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E672E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7.9 (7.1 – 8.8)</w:t>
            </w:r>
          </w:p>
        </w:tc>
        <w:tc>
          <w:tcPr>
            <w:tcW w:w="1511" w:type="dxa"/>
            <w:vAlign w:val="center"/>
          </w:tcPr>
          <w:p w:rsidR="00DE017D" w:rsidRPr="00E672E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332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Oman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5.4 (4.7 – 6.4)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47.5 (39.5 – 61.2)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61.7 (47.8 – 80.8)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1029.3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Qatar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12.2 (4.1 – 21.1)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22.7 (14.5 – 37.4)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11.9 (6.6 – 23.1)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571.3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lastRenderedPageBreak/>
              <w:t>Saudi Arabia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27.8 (4.4 – 148.3)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69.6 (28.3 – 253.8)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64.7 (33.0</w:t>
            </w:r>
            <w:r w:rsidR="00DE017D">
              <w:rPr>
                <w:rFonts w:ascii="Calibri" w:hAnsi="Calibri" w:cs="Calibri"/>
                <w:color w:val="000000"/>
              </w:rPr>
              <w:t xml:space="preserve"> – 171.1)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792.6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United Arab Emirates</w:t>
            </w:r>
          </w:p>
        </w:tc>
        <w:tc>
          <w:tcPr>
            <w:tcW w:w="2613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42.4 (0.1 – 287.4)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110.6 (2.6 – 716.8)</w:t>
            </w:r>
          </w:p>
        </w:tc>
        <w:tc>
          <w:tcPr>
            <w:tcW w:w="2880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93.2 (4.3 – 494.8)</w:t>
            </w:r>
          </w:p>
        </w:tc>
        <w:tc>
          <w:tcPr>
            <w:tcW w:w="1511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327.8</w:t>
            </w:r>
          </w:p>
        </w:tc>
      </w:tr>
    </w:tbl>
    <w:p w:rsidR="00986E14" w:rsidRDefault="00986E14" w:rsidP="00DE47E1">
      <w:pPr>
        <w:pStyle w:val="Caption"/>
        <w:keepNext/>
      </w:pPr>
      <w:r>
        <w:br/>
      </w:r>
    </w:p>
    <w:p w:rsidR="00986E14" w:rsidRDefault="00986E14">
      <w:pPr>
        <w:rPr>
          <w:i/>
          <w:iCs/>
          <w:color w:val="44546A" w:themeColor="text2"/>
          <w:sz w:val="18"/>
          <w:szCs w:val="18"/>
        </w:rPr>
      </w:pPr>
      <w:r>
        <w:br w:type="page"/>
      </w:r>
    </w:p>
    <w:p w:rsidR="00DE47E1" w:rsidRPr="00986E14" w:rsidRDefault="00DE47E1" w:rsidP="00DE47E1">
      <w:pPr>
        <w:pStyle w:val="Caption"/>
        <w:keepNext/>
        <w:rPr>
          <w:sz w:val="24"/>
          <w:szCs w:val="24"/>
        </w:rPr>
      </w:pPr>
      <w:r w:rsidRPr="00986E14">
        <w:rPr>
          <w:sz w:val="24"/>
          <w:szCs w:val="24"/>
        </w:rPr>
        <w:lastRenderedPageBreak/>
        <w:t xml:space="preserve">e-Table 2: Rates and 95% uncertainty levels (UL) of </w:t>
      </w:r>
      <w:r w:rsidR="00BC7E1E">
        <w:rPr>
          <w:sz w:val="24"/>
          <w:szCs w:val="24"/>
        </w:rPr>
        <w:t xml:space="preserve">age-standardized </w:t>
      </w:r>
      <w:r w:rsidRPr="00986E14">
        <w:rPr>
          <w:sz w:val="24"/>
          <w:szCs w:val="24"/>
        </w:rPr>
        <w:t>years of life lived with disability due to HIV/AIDS mortality per 100,000 population in Eastern Mediterranean Region countries observed in 1990, 2005, and 2015, and expected in 2015 based on Socio-demographic Index</w:t>
      </w:r>
      <w:r w:rsidR="00986E14">
        <w:rPr>
          <w:sz w:val="24"/>
          <w:szCs w:val="24"/>
        </w:rPr>
        <w:t>(SDI)</w:t>
      </w:r>
      <w:r w:rsidRPr="00986E14">
        <w:rPr>
          <w:sz w:val="24"/>
          <w:szCs w:val="24"/>
        </w:rPr>
        <w:t>. (Global Burden of Disease 2015</w:t>
      </w:r>
      <w:r w:rsidR="00B276E0" w:rsidRPr="00986E14">
        <w:rPr>
          <w:sz w:val="24"/>
          <w:szCs w:val="24"/>
        </w:rPr>
        <w:t xml:space="preserve"> study</w:t>
      </w:r>
      <w:r w:rsidRPr="00986E14">
        <w:rPr>
          <w:sz w:val="24"/>
          <w:szCs w:val="24"/>
        </w:rPr>
        <w:t>, Eastern Mediterranean Countries, 1990-2015).</w:t>
      </w:r>
    </w:p>
    <w:tbl>
      <w:tblPr>
        <w:tblStyle w:val="TableGrid"/>
        <w:tblW w:w="12738" w:type="dxa"/>
        <w:tblLook w:val="04A0" w:firstRow="1" w:lastRow="0" w:firstColumn="1" w:lastColumn="0" w:noHBand="0" w:noVBand="1"/>
      </w:tblPr>
      <w:tblGrid>
        <w:gridCol w:w="3066"/>
        <w:gridCol w:w="2334"/>
        <w:gridCol w:w="2446"/>
        <w:gridCol w:w="2446"/>
        <w:gridCol w:w="2446"/>
      </w:tblGrid>
      <w:tr w:rsidR="00DE017D" w:rsidRPr="00A6699C" w:rsidTr="00DF7566">
        <w:trPr>
          <w:trHeight w:val="300"/>
        </w:trPr>
        <w:tc>
          <w:tcPr>
            <w:tcW w:w="3066" w:type="dxa"/>
            <w:noWrap/>
          </w:tcPr>
          <w:p w:rsidR="00DE017D" w:rsidRPr="0041120A" w:rsidRDefault="00DE017D" w:rsidP="00DF7566">
            <w:pPr>
              <w:rPr>
                <w:rFonts w:eastAsia="Times New Roman" w:cs="Times New Roman"/>
                <w:b/>
              </w:rPr>
            </w:pPr>
          </w:p>
        </w:tc>
        <w:tc>
          <w:tcPr>
            <w:tcW w:w="2334" w:type="dxa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1990</w:t>
            </w:r>
          </w:p>
        </w:tc>
        <w:tc>
          <w:tcPr>
            <w:tcW w:w="2446" w:type="dxa"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2005</w:t>
            </w:r>
          </w:p>
        </w:tc>
        <w:tc>
          <w:tcPr>
            <w:tcW w:w="4892" w:type="dxa"/>
            <w:gridSpan w:val="2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2015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hideMark/>
          </w:tcPr>
          <w:p w:rsidR="00DE017D" w:rsidRPr="0041120A" w:rsidRDefault="00DE017D" w:rsidP="00DF7566">
            <w:pPr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Location</w:t>
            </w:r>
          </w:p>
        </w:tc>
        <w:tc>
          <w:tcPr>
            <w:tcW w:w="2334" w:type="dxa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Rate (</w:t>
            </w:r>
            <w:r w:rsidRPr="0041120A">
              <w:rPr>
                <w:b/>
              </w:rPr>
              <w:t xml:space="preserve">95% </w:t>
            </w:r>
            <w:r w:rsidRPr="0041120A">
              <w:rPr>
                <w:rFonts w:eastAsia="Times New Roman" w:cs="Times New Roman"/>
                <w:b/>
              </w:rPr>
              <w:t>UL)</w:t>
            </w:r>
          </w:p>
        </w:tc>
        <w:tc>
          <w:tcPr>
            <w:tcW w:w="2446" w:type="dxa"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Rate (</w:t>
            </w:r>
            <w:r w:rsidRPr="0041120A">
              <w:rPr>
                <w:b/>
              </w:rPr>
              <w:t xml:space="preserve">95% </w:t>
            </w:r>
            <w:r w:rsidRPr="0041120A">
              <w:rPr>
                <w:rFonts w:eastAsia="Times New Roman" w:cs="Times New Roman"/>
                <w:b/>
              </w:rPr>
              <w:t>UL)</w:t>
            </w:r>
          </w:p>
        </w:tc>
        <w:tc>
          <w:tcPr>
            <w:tcW w:w="2446" w:type="dxa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Observed rate (</w:t>
            </w:r>
            <w:r w:rsidRPr="0041120A">
              <w:rPr>
                <w:b/>
              </w:rPr>
              <w:t xml:space="preserve">95% </w:t>
            </w:r>
            <w:r w:rsidRPr="0041120A">
              <w:rPr>
                <w:rFonts w:eastAsia="Times New Roman" w:cs="Times New Roman"/>
                <w:b/>
              </w:rPr>
              <w:t>UL)</w:t>
            </w:r>
          </w:p>
        </w:tc>
        <w:tc>
          <w:tcPr>
            <w:tcW w:w="2446" w:type="dxa"/>
          </w:tcPr>
          <w:p w:rsidR="00DE017D" w:rsidRPr="0041120A" w:rsidRDefault="00DE017D" w:rsidP="00DF7566">
            <w:pPr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Expected rate based on SDI</w:t>
            </w:r>
          </w:p>
        </w:tc>
      </w:tr>
      <w:tr w:rsidR="00DE017D" w:rsidRPr="00A6699C" w:rsidTr="00DE017D">
        <w:trPr>
          <w:trHeight w:val="251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Eastern Mediterranean Region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ED7568" w:rsidRDefault="00DE017D" w:rsidP="00DF75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 (0.6 – 3.1)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ED7568" w:rsidRDefault="00DE017D" w:rsidP="00DF75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 (2.3 – 5.6)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ED7568" w:rsidRDefault="00DE017D" w:rsidP="00DF75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  <w:r w:rsidR="00533F8D">
              <w:rPr>
                <w:rFonts w:ascii="Calibri" w:hAnsi="Calibri" w:cs="Calibri"/>
                <w:color w:val="000000"/>
              </w:rPr>
              <w:t xml:space="preserve"> (2.7 – 6.6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36.7</w:t>
            </w:r>
          </w:p>
        </w:tc>
      </w:tr>
      <w:tr w:rsidR="00DE017D" w:rsidRPr="00A6699C" w:rsidTr="00DE017D">
        <w:trPr>
          <w:trHeight w:val="215"/>
        </w:trPr>
        <w:tc>
          <w:tcPr>
            <w:tcW w:w="12738" w:type="dxa"/>
            <w:gridSpan w:val="5"/>
            <w:noWrap/>
            <w:vAlign w:val="center"/>
          </w:tcPr>
          <w:p w:rsidR="00DE017D" w:rsidRDefault="00DE017D" w:rsidP="00DF7566">
            <w:pPr>
              <w:rPr>
                <w:rFonts w:ascii="Calibri" w:hAnsi="Calibri" w:cs="Calibri"/>
                <w:color w:val="000000"/>
              </w:rPr>
            </w:pPr>
            <w:r w:rsidRPr="0041120A">
              <w:rPr>
                <w:rFonts w:ascii="Calibri" w:hAnsi="Calibri"/>
                <w:b/>
                <w:color w:val="000000"/>
              </w:rPr>
              <w:t>Low and lower middle income</w:t>
            </w:r>
          </w:p>
        </w:tc>
      </w:tr>
      <w:tr w:rsidR="00DE017D" w:rsidRPr="00A6699C" w:rsidTr="00DE017D">
        <w:trPr>
          <w:trHeight w:val="224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Afghanistan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1.7 (0.1 – 10.9)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2.2 (0.2 – 11.5)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  <w:r w:rsidR="00DE017D">
              <w:rPr>
                <w:rFonts w:ascii="Calibri" w:hAnsi="Calibri" w:cs="Calibri"/>
                <w:color w:val="000000"/>
              </w:rPr>
              <w:t xml:space="preserve"> (0.5 – 8.6)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134.3</w:t>
            </w:r>
          </w:p>
        </w:tc>
      </w:tr>
      <w:tr w:rsidR="00DE017D" w:rsidRPr="00A6699C" w:rsidTr="00DE017D">
        <w:trPr>
          <w:trHeight w:val="224"/>
        </w:trPr>
        <w:tc>
          <w:tcPr>
            <w:tcW w:w="306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Somalia</w:t>
            </w:r>
          </w:p>
        </w:tc>
        <w:tc>
          <w:tcPr>
            <w:tcW w:w="233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8.3 (3.4 – 18.9)</w:t>
            </w:r>
          </w:p>
        </w:tc>
        <w:tc>
          <w:tcPr>
            <w:tcW w:w="244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47.3 (24.4 – 88.1)</w:t>
            </w:r>
          </w:p>
        </w:tc>
        <w:tc>
          <w:tcPr>
            <w:tcW w:w="244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FD64FA" w:rsidRDefault="00DE017D" w:rsidP="00DF7566">
            <w:pPr>
              <w:jc w:val="right"/>
              <w:rPr>
                <w:rFonts w:eastAsia="Times New Roman" w:cs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</w:rPr>
              <w:t>45.1 (24.1 – 81.8)</w:t>
            </w:r>
          </w:p>
        </w:tc>
        <w:tc>
          <w:tcPr>
            <w:tcW w:w="2446" w:type="dxa"/>
            <w:tcBorders>
              <w:bottom w:val="single" w:sz="12" w:space="0" w:color="auto"/>
            </w:tcBorders>
            <w:vAlign w:val="center"/>
          </w:tcPr>
          <w:p w:rsidR="00DE017D" w:rsidRPr="00FD64FA" w:rsidRDefault="00DE017D" w:rsidP="00DF7566">
            <w:pPr>
              <w:jc w:val="right"/>
              <w:rPr>
                <w:rFonts w:eastAsia="Times New Roman" w:cs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</w:rPr>
              <w:t>217.3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Djibouti</w:t>
            </w:r>
          </w:p>
        </w:tc>
        <w:tc>
          <w:tcPr>
            <w:tcW w:w="233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51.0 (13.9 – 148.6)</w:t>
            </w:r>
          </w:p>
        </w:tc>
        <w:tc>
          <w:tcPr>
            <w:tcW w:w="244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175.2 (91.3 – 325.5)</w:t>
            </w:r>
          </w:p>
        </w:tc>
        <w:tc>
          <w:tcPr>
            <w:tcW w:w="244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115.2 (71.4 – 182.0)</w:t>
            </w:r>
          </w:p>
        </w:tc>
        <w:tc>
          <w:tcPr>
            <w:tcW w:w="2446" w:type="dxa"/>
            <w:tcBorders>
              <w:top w:val="single" w:sz="12" w:space="0" w:color="auto"/>
            </w:tcBorders>
            <w:vAlign w:val="center"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51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Egypt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0.1 (0.1 – 0.3)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0.6 (0.2 – 1.1)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0.9 (0.4</w:t>
            </w:r>
            <w:r w:rsidR="00DE017D">
              <w:rPr>
                <w:rFonts w:ascii="Calibri" w:hAnsi="Calibri" w:cs="Calibri"/>
                <w:color w:val="000000"/>
              </w:rPr>
              <w:t xml:space="preserve"> – 1.6)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17.1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Morocco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0.5 (0.3 – 0.7)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  <w:r w:rsidR="00DE017D">
              <w:rPr>
                <w:rFonts w:ascii="Calibri" w:hAnsi="Calibri" w:cs="Calibri"/>
                <w:color w:val="000000"/>
              </w:rPr>
              <w:t xml:space="preserve"> (1.0 – 3.5)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  <w:r w:rsidR="00DE017D">
              <w:rPr>
                <w:rFonts w:ascii="Calibri" w:hAnsi="Calibri" w:cs="Calibri"/>
                <w:color w:val="000000"/>
              </w:rPr>
              <w:t xml:space="preserve"> (1.4 – 6.9)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40.6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Pakistan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0.4 (0.1 – 2.1)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0.9 (0.3 – 4.0)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3.0 (0.7 – 9.1)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51.2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Palestine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0.2 (0.1 – 0.4)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0.9 (0.4 – 2.0</w:t>
            </w:r>
            <w:r w:rsidR="00DE017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1.4 (0.6 – 3.1)</w:t>
            </w:r>
          </w:p>
        </w:tc>
        <w:tc>
          <w:tcPr>
            <w:tcW w:w="2446" w:type="dxa"/>
            <w:vAlign w:val="center"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24.6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Sudan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8.8 (1.6 – 20.9)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25.7 (14.5 – 43.3</w:t>
            </w:r>
            <w:r w:rsidR="00DE017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25.7 (14.3 – 43.8)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65.1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Syria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0.4 (0.2 – 1.0)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0.2 (0.1 – 0.5)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FD64FA" w:rsidRDefault="00DE017D" w:rsidP="00DF7566">
            <w:pPr>
              <w:jc w:val="right"/>
              <w:rPr>
                <w:rFonts w:eastAsia="Times New Roman" w:cs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</w:rPr>
              <w:t>0.5 (0.1 – 1.2)</w:t>
            </w:r>
          </w:p>
        </w:tc>
        <w:tc>
          <w:tcPr>
            <w:tcW w:w="2446" w:type="dxa"/>
            <w:vAlign w:val="center"/>
          </w:tcPr>
          <w:p w:rsidR="00DE017D" w:rsidRPr="00FD64FA" w:rsidRDefault="00DE017D" w:rsidP="00DF7566">
            <w:pPr>
              <w:jc w:val="right"/>
              <w:rPr>
                <w:rFonts w:eastAsia="Times New Roman" w:cs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</w:rPr>
              <w:t>22.7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Tunisia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0.4 (0.2 – 0.5)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1.1 (0.5 – 1.9)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FD64FA" w:rsidRDefault="00DE017D" w:rsidP="00DF7566">
            <w:pPr>
              <w:jc w:val="right"/>
              <w:rPr>
                <w:rFonts w:eastAsia="Times New Roman" w:cs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</w:rPr>
              <w:t>2.4 (0.9 – 4.8)</w:t>
            </w:r>
          </w:p>
        </w:tc>
        <w:tc>
          <w:tcPr>
            <w:tcW w:w="2446" w:type="dxa"/>
            <w:vAlign w:val="center"/>
          </w:tcPr>
          <w:p w:rsidR="00DE017D" w:rsidRPr="00FD64FA" w:rsidRDefault="00DE017D" w:rsidP="00DF7566">
            <w:pPr>
              <w:jc w:val="right"/>
              <w:rPr>
                <w:rFonts w:eastAsia="Times New Roman" w:cs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</w:rPr>
              <w:t>13.1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Yemen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  <w:r w:rsidR="00DE017D">
              <w:rPr>
                <w:rFonts w:ascii="Calibri" w:hAnsi="Calibri" w:cs="Calibri"/>
                <w:color w:val="000000"/>
              </w:rPr>
              <w:t xml:space="preserve"> (0.8 – 14.7)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3.1 (0.9 – 14.9)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2.4 (0.8</w:t>
            </w:r>
            <w:r w:rsidR="00DE017D">
              <w:rPr>
                <w:rFonts w:ascii="Calibri" w:hAnsi="Calibri" w:cs="Calibri"/>
                <w:color w:val="000000"/>
              </w:rPr>
              <w:t xml:space="preserve"> – 7.5)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73.1</w:t>
            </w:r>
          </w:p>
        </w:tc>
      </w:tr>
      <w:tr w:rsidR="00DE017D" w:rsidRPr="00A6699C" w:rsidTr="00DE017D">
        <w:trPr>
          <w:trHeight w:val="251"/>
        </w:trPr>
        <w:tc>
          <w:tcPr>
            <w:tcW w:w="12738" w:type="dxa"/>
            <w:gridSpan w:val="5"/>
            <w:noWrap/>
            <w:vAlign w:val="center"/>
          </w:tcPr>
          <w:p w:rsidR="00DE017D" w:rsidRDefault="00DE017D" w:rsidP="00DF7566">
            <w:pPr>
              <w:rPr>
                <w:rFonts w:ascii="Calibri" w:hAnsi="Calibri" w:cs="Calibri"/>
                <w:color w:val="000000"/>
              </w:rPr>
            </w:pPr>
            <w:r w:rsidRPr="0041120A">
              <w:rPr>
                <w:rFonts w:ascii="Calibri" w:hAnsi="Calibri"/>
                <w:b/>
                <w:color w:val="000000"/>
              </w:rPr>
              <w:t>Upper middle and high income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Iran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0.7 (0.5</w:t>
            </w:r>
            <w:r w:rsidR="00DE017D">
              <w:rPr>
                <w:rFonts w:ascii="Calibri" w:hAnsi="Calibri" w:cs="Calibri"/>
                <w:color w:val="000000"/>
              </w:rPr>
              <w:t xml:space="preserve"> – 1.1)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1.9 (1.2 – 2.9)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2.5 (1.5 – 4.2)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Iraq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0.1 (0.0 – 0.2)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0.7</w:t>
            </w:r>
            <w:r w:rsidR="00DE017D">
              <w:rPr>
                <w:rFonts w:ascii="Calibri" w:hAnsi="Calibri" w:cs="Calibri"/>
                <w:color w:val="000000"/>
              </w:rPr>
              <w:t xml:space="preserve"> (0.3 – 1.4)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1.2 (0.5 – 2.6)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22.7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Jordan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0.1 (0.0 – 0.3)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0.5 (0.2 – 1.1)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0.5 (0.2 – 1.1)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10.1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Lebanon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6.3 (0.5 – 44.3)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4.4 (0.6 – 25.9)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3.7 (0.7 – 15.7)</w:t>
            </w:r>
          </w:p>
        </w:tc>
        <w:tc>
          <w:tcPr>
            <w:tcW w:w="2446" w:type="dxa"/>
            <w:vAlign w:val="center"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6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Libya</w:t>
            </w:r>
          </w:p>
        </w:tc>
        <w:tc>
          <w:tcPr>
            <w:tcW w:w="233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3.4 (0.6 – 14.5)</w:t>
            </w:r>
          </w:p>
        </w:tc>
        <w:tc>
          <w:tcPr>
            <w:tcW w:w="244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5.0</w:t>
            </w:r>
            <w:r w:rsidR="00DE017D">
              <w:rPr>
                <w:rFonts w:ascii="Calibri" w:hAnsi="Calibri" w:cs="Calibri"/>
                <w:color w:val="000000"/>
              </w:rPr>
              <w:t xml:space="preserve"> (0.7 – 28.3)</w:t>
            </w:r>
          </w:p>
        </w:tc>
        <w:tc>
          <w:tcPr>
            <w:tcW w:w="244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4.5 (0.7 – 18.4)</w:t>
            </w:r>
          </w:p>
        </w:tc>
        <w:tc>
          <w:tcPr>
            <w:tcW w:w="2446" w:type="dxa"/>
            <w:tcBorders>
              <w:bottom w:val="single" w:sz="12" w:space="0" w:color="auto"/>
            </w:tcBorders>
            <w:vAlign w:val="center"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14.1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Bahrain</w:t>
            </w:r>
          </w:p>
        </w:tc>
        <w:tc>
          <w:tcPr>
            <w:tcW w:w="233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1.4 (0.5 – 3.4)</w:t>
            </w:r>
          </w:p>
        </w:tc>
        <w:tc>
          <w:tcPr>
            <w:tcW w:w="244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3.4 (1.1 – 8.7)</w:t>
            </w:r>
          </w:p>
        </w:tc>
        <w:tc>
          <w:tcPr>
            <w:tcW w:w="244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3.5 (1.3 – 7.6)</w:t>
            </w:r>
          </w:p>
        </w:tc>
        <w:tc>
          <w:tcPr>
            <w:tcW w:w="2446" w:type="dxa"/>
            <w:tcBorders>
              <w:top w:val="single" w:sz="12" w:space="0" w:color="auto"/>
            </w:tcBorders>
            <w:vAlign w:val="center"/>
          </w:tcPr>
          <w:p w:rsidR="00DE017D" w:rsidRPr="00DD0C3A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</w:rPr>
              <w:t>5.5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Kuwait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0.3 (0.1 – 0.8)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0.5 (0.1 – 1.5</w:t>
            </w:r>
            <w:r w:rsidR="00DE017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0.4 (0.1 – 1.0)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Oman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0.4 (0.2 – 0.9)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3.3 (1.8 – 5.5)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3.9 (1.6 – 7.7)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8.8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Qatar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1.0 (0.3 – 2.2)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533F8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1.3</w:t>
            </w:r>
            <w:r w:rsidR="00DE017D">
              <w:rPr>
                <w:rFonts w:ascii="Calibri" w:hAnsi="Calibri" w:cs="Calibri"/>
                <w:color w:val="000000"/>
              </w:rPr>
              <w:t xml:space="preserve"> (0.3 – 3.5)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0.7 (0.2 – 1.9)</w:t>
            </w:r>
          </w:p>
        </w:tc>
        <w:tc>
          <w:tcPr>
            <w:tcW w:w="2446" w:type="dxa"/>
            <w:vAlign w:val="center"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</w:tr>
      <w:tr w:rsidR="00DE017D" w:rsidRPr="00A6699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Saudi Arabia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2.2 (0.5 – 11.5)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3.8 (1.3 – 11.4)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3.8 (1.7 – 8.8)</w:t>
            </w:r>
          </w:p>
        </w:tc>
        <w:tc>
          <w:tcPr>
            <w:tcW w:w="2446" w:type="dxa"/>
            <w:vAlign w:val="center"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6.3</w:t>
            </w:r>
          </w:p>
        </w:tc>
      </w:tr>
      <w:tr w:rsidR="00DE017D" w:rsidRPr="00DD0C3A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A6699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lastRenderedPageBreak/>
              <w:t>United Arab Emirates</w:t>
            </w:r>
          </w:p>
        </w:tc>
        <w:tc>
          <w:tcPr>
            <w:tcW w:w="2334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3.8 (0.2 – 23.4)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A6699C" w:rsidRDefault="00DE017D" w:rsidP="00DF7566">
            <w:pPr>
              <w:jc w:val="right"/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5.8 (0.3 – 32.0)</w:t>
            </w:r>
          </w:p>
        </w:tc>
        <w:tc>
          <w:tcPr>
            <w:tcW w:w="2446" w:type="dxa"/>
            <w:noWrap/>
            <w:vAlign w:val="center"/>
            <w:hideMark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5.0 (0.3 – 22.7)</w:t>
            </w:r>
          </w:p>
        </w:tc>
        <w:tc>
          <w:tcPr>
            <w:tcW w:w="2446" w:type="dxa"/>
            <w:vAlign w:val="center"/>
          </w:tcPr>
          <w:p w:rsidR="00DE017D" w:rsidRPr="00DD0C3A" w:rsidRDefault="00DE017D" w:rsidP="00DF7566">
            <w:pPr>
              <w:jc w:val="right"/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2.9</w:t>
            </w:r>
          </w:p>
        </w:tc>
      </w:tr>
    </w:tbl>
    <w:p w:rsidR="00986E14" w:rsidRDefault="00986E14" w:rsidP="00DE47E1">
      <w:pPr>
        <w:pStyle w:val="Caption"/>
        <w:keepNext/>
      </w:pPr>
    </w:p>
    <w:p w:rsidR="00986E14" w:rsidRDefault="00986E14">
      <w:pPr>
        <w:rPr>
          <w:i/>
          <w:iCs/>
          <w:color w:val="44546A" w:themeColor="text2"/>
          <w:sz w:val="18"/>
          <w:szCs w:val="18"/>
        </w:rPr>
      </w:pPr>
      <w:r>
        <w:br w:type="page"/>
      </w:r>
    </w:p>
    <w:p w:rsidR="00DE47E1" w:rsidRPr="00986E14" w:rsidRDefault="00DE47E1" w:rsidP="00DE47E1">
      <w:pPr>
        <w:pStyle w:val="Caption"/>
        <w:keepNext/>
        <w:rPr>
          <w:sz w:val="24"/>
          <w:szCs w:val="24"/>
        </w:rPr>
      </w:pPr>
      <w:r w:rsidRPr="00986E14">
        <w:rPr>
          <w:sz w:val="24"/>
          <w:szCs w:val="24"/>
        </w:rPr>
        <w:lastRenderedPageBreak/>
        <w:t xml:space="preserve">e-Table 3: Rates and 95% uncertainty levels (UL) of </w:t>
      </w:r>
      <w:r w:rsidR="00BC7E1E">
        <w:rPr>
          <w:sz w:val="24"/>
          <w:szCs w:val="24"/>
        </w:rPr>
        <w:t xml:space="preserve">age-standardized </w:t>
      </w:r>
      <w:r w:rsidRPr="00986E14">
        <w:rPr>
          <w:sz w:val="24"/>
          <w:szCs w:val="24"/>
        </w:rPr>
        <w:t>years of disability-adjusted life years due to HIV/AIDS mortality per 100,000 population in Eastern Mediterranean Region countries observed in 1990, 2005, and 2015, and expected in 2015 based on Socio-demographic Index</w:t>
      </w:r>
      <w:r w:rsidR="00986E14">
        <w:rPr>
          <w:sz w:val="24"/>
          <w:szCs w:val="24"/>
        </w:rPr>
        <w:t>(SDI)</w:t>
      </w:r>
      <w:r w:rsidRPr="00986E14">
        <w:rPr>
          <w:sz w:val="24"/>
          <w:szCs w:val="24"/>
        </w:rPr>
        <w:t>. (Global Burden of Disease 2015</w:t>
      </w:r>
      <w:r w:rsidR="00B276E0" w:rsidRPr="00986E14">
        <w:rPr>
          <w:sz w:val="24"/>
          <w:szCs w:val="24"/>
        </w:rPr>
        <w:t xml:space="preserve"> study</w:t>
      </w:r>
      <w:r w:rsidRPr="00986E14">
        <w:rPr>
          <w:sz w:val="24"/>
          <w:szCs w:val="24"/>
        </w:rPr>
        <w:t>, Eastern Mediterranean Countries, 1990-2015).</w:t>
      </w:r>
    </w:p>
    <w:tbl>
      <w:tblPr>
        <w:tblStyle w:val="TableGrid"/>
        <w:tblW w:w="13279" w:type="dxa"/>
        <w:tblLook w:val="04A0" w:firstRow="1" w:lastRow="0" w:firstColumn="1" w:lastColumn="0" w:noHBand="0" w:noVBand="1"/>
      </w:tblPr>
      <w:tblGrid>
        <w:gridCol w:w="3066"/>
        <w:gridCol w:w="2334"/>
        <w:gridCol w:w="2557"/>
        <w:gridCol w:w="2557"/>
        <w:gridCol w:w="2765"/>
      </w:tblGrid>
      <w:tr w:rsidR="00DE017D" w:rsidRPr="0040054C" w:rsidTr="00DF7566">
        <w:trPr>
          <w:trHeight w:val="300"/>
        </w:trPr>
        <w:tc>
          <w:tcPr>
            <w:tcW w:w="3066" w:type="dxa"/>
            <w:noWrap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</w:p>
        </w:tc>
        <w:tc>
          <w:tcPr>
            <w:tcW w:w="2334" w:type="dxa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1990</w:t>
            </w:r>
          </w:p>
        </w:tc>
        <w:tc>
          <w:tcPr>
            <w:tcW w:w="2557" w:type="dxa"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2005</w:t>
            </w:r>
          </w:p>
        </w:tc>
        <w:tc>
          <w:tcPr>
            <w:tcW w:w="5322" w:type="dxa"/>
            <w:gridSpan w:val="2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2015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hideMark/>
          </w:tcPr>
          <w:p w:rsidR="00DE017D" w:rsidRPr="0041120A" w:rsidRDefault="00DE017D" w:rsidP="00DF7566">
            <w:pPr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Location</w:t>
            </w:r>
          </w:p>
        </w:tc>
        <w:tc>
          <w:tcPr>
            <w:tcW w:w="2334" w:type="dxa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Rate (</w:t>
            </w:r>
            <w:r w:rsidRPr="0041120A">
              <w:rPr>
                <w:b/>
              </w:rPr>
              <w:t xml:space="preserve">95% </w:t>
            </w:r>
            <w:r w:rsidRPr="0041120A">
              <w:rPr>
                <w:rFonts w:eastAsia="Times New Roman" w:cs="Times New Roman"/>
                <w:b/>
              </w:rPr>
              <w:t>UL)</w:t>
            </w:r>
          </w:p>
        </w:tc>
        <w:tc>
          <w:tcPr>
            <w:tcW w:w="2557" w:type="dxa"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Rate (</w:t>
            </w:r>
            <w:r w:rsidRPr="0041120A">
              <w:rPr>
                <w:b/>
              </w:rPr>
              <w:t xml:space="preserve">95% </w:t>
            </w:r>
            <w:r w:rsidRPr="0041120A">
              <w:rPr>
                <w:rFonts w:eastAsia="Times New Roman" w:cs="Times New Roman"/>
                <w:b/>
              </w:rPr>
              <w:t>UL)</w:t>
            </w:r>
          </w:p>
        </w:tc>
        <w:tc>
          <w:tcPr>
            <w:tcW w:w="2557" w:type="dxa"/>
            <w:noWrap/>
          </w:tcPr>
          <w:p w:rsidR="00DE017D" w:rsidRPr="0041120A" w:rsidRDefault="00DE017D" w:rsidP="00DF7566">
            <w:pPr>
              <w:jc w:val="center"/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Observed rate (</w:t>
            </w:r>
            <w:r w:rsidRPr="0041120A">
              <w:rPr>
                <w:b/>
              </w:rPr>
              <w:t xml:space="preserve">95% </w:t>
            </w:r>
            <w:r w:rsidRPr="0041120A">
              <w:rPr>
                <w:rFonts w:eastAsia="Times New Roman" w:cs="Times New Roman"/>
                <w:b/>
              </w:rPr>
              <w:t>UL)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:rsidR="00DE017D" w:rsidRPr="0041120A" w:rsidRDefault="00DE017D" w:rsidP="00DF7566">
            <w:pPr>
              <w:rPr>
                <w:rFonts w:eastAsia="Times New Roman" w:cs="Times New Roman"/>
                <w:b/>
              </w:rPr>
            </w:pPr>
            <w:r w:rsidRPr="0041120A">
              <w:rPr>
                <w:rFonts w:eastAsia="Times New Roman" w:cs="Times New Roman"/>
                <w:b/>
              </w:rPr>
              <w:t>Expected rate based on SDI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Eastern Mediterranean Region</w:t>
            </w:r>
          </w:p>
        </w:tc>
        <w:tc>
          <w:tcPr>
            <w:tcW w:w="2334" w:type="dxa"/>
            <w:noWrap/>
            <w:vAlign w:val="center"/>
          </w:tcPr>
          <w:p w:rsidR="00DE017D" w:rsidRPr="0040054C" w:rsidRDefault="00DE017D" w:rsidP="00DF7566">
            <w:pPr>
              <w:rPr>
                <w:rFonts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16.6 (8.4 – 38.8)</w:t>
            </w:r>
          </w:p>
        </w:tc>
        <w:tc>
          <w:tcPr>
            <w:tcW w:w="2557" w:type="dxa"/>
            <w:noWrap/>
            <w:vAlign w:val="center"/>
          </w:tcPr>
          <w:p w:rsidR="00DE017D" w:rsidRPr="0040054C" w:rsidRDefault="00DE017D" w:rsidP="00DF7566">
            <w:pPr>
              <w:rPr>
                <w:rFonts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75.9 (58.8 – 106.4)</w:t>
            </w:r>
          </w:p>
        </w:tc>
        <w:tc>
          <w:tcPr>
            <w:tcW w:w="2557" w:type="dxa"/>
            <w:noWrap/>
            <w:vAlign w:val="center"/>
          </w:tcPr>
          <w:p w:rsidR="00DE017D" w:rsidRPr="0040054C" w:rsidRDefault="00DE017D" w:rsidP="00DF7566">
            <w:pPr>
              <w:rPr>
                <w:rFonts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86.2 (69.2 – 120.6)</w:t>
            </w:r>
          </w:p>
        </w:tc>
        <w:tc>
          <w:tcPr>
            <w:tcW w:w="2765" w:type="dxa"/>
            <w:vAlign w:val="center"/>
          </w:tcPr>
          <w:p w:rsidR="00DE017D" w:rsidRPr="0040054C" w:rsidRDefault="00DE017D" w:rsidP="00DF7566">
            <w:pPr>
              <w:rPr>
                <w:rFonts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1701.6</w:t>
            </w:r>
          </w:p>
        </w:tc>
      </w:tr>
      <w:tr w:rsidR="00DE017D" w:rsidRPr="0040054C" w:rsidTr="00DF7566">
        <w:trPr>
          <w:trHeight w:val="300"/>
        </w:trPr>
        <w:tc>
          <w:tcPr>
            <w:tcW w:w="13279" w:type="dxa"/>
            <w:gridSpan w:val="5"/>
            <w:tcBorders>
              <w:right w:val="single" w:sz="4" w:space="0" w:color="auto"/>
            </w:tcBorders>
            <w:noWrap/>
            <w:vAlign w:val="center"/>
          </w:tcPr>
          <w:p w:rsidR="00DE017D" w:rsidRPr="0041120A" w:rsidRDefault="00DE017D" w:rsidP="00DF7566">
            <w:pPr>
              <w:rPr>
                <w:rFonts w:ascii="Calibri" w:hAnsi="Calibri" w:cs="Calibri"/>
                <w:b/>
                <w:color w:val="000000"/>
              </w:rPr>
            </w:pPr>
            <w:r w:rsidRPr="0041120A">
              <w:rPr>
                <w:rFonts w:ascii="Calibri" w:hAnsi="Calibri"/>
                <w:b/>
                <w:color w:val="000000"/>
              </w:rPr>
              <w:t>Low and lower middle income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Afghanistan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23.7 (0.6 – 128.8)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48.5 (5.7 – 264.4)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43.5 (8.9 – 156.5)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2299.7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Somalia</w:t>
            </w:r>
          </w:p>
        </w:tc>
        <w:tc>
          <w:tcPr>
            <w:tcW w:w="233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104.4 (39.0 – 222.5)</w:t>
            </w:r>
          </w:p>
        </w:tc>
        <w:tc>
          <w:tcPr>
            <w:tcW w:w="255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1021.3 (676.7 – 1420.8)</w:t>
            </w:r>
          </w:p>
        </w:tc>
        <w:tc>
          <w:tcPr>
            <w:tcW w:w="255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961.0 (708.4 – 1274.5)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2379.9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Djibouti</w:t>
            </w:r>
          </w:p>
        </w:tc>
        <w:tc>
          <w:tcPr>
            <w:tcW w:w="23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560.0 (157.4 – 1508.8)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4070.1 (2771.2 – 5695.5)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DD0C3A" w:rsidRDefault="00DE017D" w:rsidP="00DF7566">
            <w:pPr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2334.0 (1582.6 – 3125.5)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DD0C3A" w:rsidRDefault="00DE017D" w:rsidP="00DF7566">
            <w:pPr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2227.4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Egypt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1.8 (0.9 – 2.3)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8.4 (6.4 – 10.5)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12.2 (9.6 – 15.7)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1495.8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Morocco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3.4 (2.9 – 3.9)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25.0 (21.7 – 30.0)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49.8 (37.4 – 67.5)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2092.9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Pakistan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3.6 (0.3 – 26.7)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14.1 (1.9 – 75.8)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44.3 (7.8 – 155.2)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2229.3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Palestine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2.1 (0.9 – 4.0)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14.1 (11.8 – 17.3)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533F8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21.0</w:t>
            </w:r>
            <w:r w:rsidR="00DE017D">
              <w:rPr>
                <w:rFonts w:ascii="Calibri" w:hAnsi="Calibri" w:cs="Calibri"/>
                <w:color w:val="000000"/>
              </w:rPr>
              <w:t xml:space="preserve"> (15.1 – 31.9)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1718.7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Sudan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125.0 (36.7 – 267.8)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591.4 (416.6 – 778.4)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647.5 (492.3 – 785.3)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2226.8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Syria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8.8 (7.7 – 10.2)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4.0 (2.7 – 6.0)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8.3 (3.1 – 16.8)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1664.4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Tunisia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4.1 (2.0 – 5.8)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14.1 (11.8 – 16.8)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35.8 (25.8 – 47.5)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1337.9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Yemen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39.1 (1.7 – 232.1)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67.8 (7.8 – 399.6)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38.4 (8.0 – 148.1)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2230</w:t>
            </w:r>
          </w:p>
        </w:tc>
      </w:tr>
      <w:tr w:rsidR="00DE017D" w:rsidRPr="0040054C" w:rsidTr="00DF7566">
        <w:trPr>
          <w:trHeight w:val="300"/>
        </w:trPr>
        <w:tc>
          <w:tcPr>
            <w:tcW w:w="13279" w:type="dxa"/>
            <w:gridSpan w:val="5"/>
            <w:tcBorders>
              <w:right w:val="single" w:sz="4" w:space="0" w:color="auto"/>
            </w:tcBorders>
            <w:noWrap/>
            <w:vAlign w:val="center"/>
          </w:tcPr>
          <w:p w:rsidR="00DE017D" w:rsidRPr="0041120A" w:rsidRDefault="00DE017D" w:rsidP="00DF7566">
            <w:pPr>
              <w:rPr>
                <w:rFonts w:ascii="Calibri" w:hAnsi="Calibri" w:cs="Calibri"/>
                <w:b/>
                <w:color w:val="000000"/>
              </w:rPr>
            </w:pPr>
            <w:r w:rsidRPr="0041120A">
              <w:rPr>
                <w:rFonts w:ascii="Calibri" w:hAnsi="Calibri"/>
                <w:b/>
                <w:color w:val="000000"/>
              </w:rPr>
              <w:t>Upper middle and high income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Iran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2.9 (1.2 – 4.6)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20.3 (17.7 – 23.5)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29.7 (23.5 – 42.0)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533F8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1127.6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Iraq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1.5 (0.6 – 3.0)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10.1 (8.4 – 12.2)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18.3 (13.9 – 26.1)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1667.3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Jordan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1.7 (0.7 – 3.4)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8.5 (6.7 – 11.7)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533F8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8.3</w:t>
            </w:r>
            <w:r w:rsidR="00DE017D">
              <w:rPr>
                <w:rFonts w:ascii="Calibri" w:hAnsi="Calibri" w:cs="Calibri"/>
                <w:color w:val="000000"/>
              </w:rPr>
              <w:t xml:space="preserve"> (5.2 – 14.0)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1222.7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Lebanon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101.4 (5.3 – 785.3)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93.8 (9.6 – 573.5)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533F8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70.5 (12.5 – 334.5</w:t>
            </w:r>
            <w:r w:rsidR="00DE017D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809.2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Libya</w:t>
            </w:r>
          </w:p>
        </w:tc>
        <w:tc>
          <w:tcPr>
            <w:tcW w:w="233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533F8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44.0</w:t>
            </w:r>
            <w:r w:rsidR="00DE017D">
              <w:rPr>
                <w:rFonts w:ascii="Calibri" w:hAnsi="Calibri" w:cs="Calibri"/>
                <w:color w:val="000000"/>
              </w:rPr>
              <w:t xml:space="preserve"> (0.8 – 238.9)</w:t>
            </w:r>
          </w:p>
        </w:tc>
        <w:tc>
          <w:tcPr>
            <w:tcW w:w="255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99.0 (2.8 – 600.7)</w:t>
            </w:r>
          </w:p>
        </w:tc>
        <w:tc>
          <w:tcPr>
            <w:tcW w:w="255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81.3 (4.2 – 422.6)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1383.1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Bahrain</w:t>
            </w:r>
          </w:p>
        </w:tc>
        <w:tc>
          <w:tcPr>
            <w:tcW w:w="23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20.9 (8.3 – 37.3)</w:t>
            </w:r>
          </w:p>
        </w:tc>
        <w:tc>
          <w:tcPr>
            <w:tcW w:w="255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62.6 (45.5 – 93.5)</w:t>
            </w:r>
          </w:p>
        </w:tc>
        <w:tc>
          <w:tcPr>
            <w:tcW w:w="255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58.2 (38.0 – 97.3)</w:t>
            </w:r>
          </w:p>
        </w:tc>
        <w:tc>
          <w:tcPr>
            <w:tcW w:w="27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716.6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Kuwait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19.1 (17.1 – 21.2)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20.0 (18.1 – 22.2)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8.3 (7.4 – 9.4)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334.5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Oman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533F8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5.9</w:t>
            </w:r>
            <w:r w:rsidR="00DE017D">
              <w:rPr>
                <w:rFonts w:ascii="Calibri" w:hAnsi="Calibri" w:cs="Calibri"/>
                <w:color w:val="000000"/>
              </w:rPr>
              <w:t xml:space="preserve"> (5.1 – 6.9)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50.8 (43.0 – 63.7)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65.6 (49.9 – 87.1)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1038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Qatar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13.1 (4.7 – 22.6)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23.9 (14.8 – 40.6)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12.6 (6.8 – 25.5)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575.6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t>Saudi Arabia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533F8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30.0 (5.0</w:t>
            </w:r>
            <w:r w:rsidR="00DE017D">
              <w:rPr>
                <w:rFonts w:ascii="Calibri" w:hAnsi="Calibri" w:cs="Calibri"/>
                <w:color w:val="000000"/>
              </w:rPr>
              <w:t xml:space="preserve"> – 159.5)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73.4 (29.8 – 266.2)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</w:rPr>
              <w:t>68.5 (35.1 – 180.8)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  <w:color w:val="FF0000"/>
              </w:rPr>
            </w:pPr>
            <w:r>
              <w:rPr>
                <w:rFonts w:ascii="Calibri" w:hAnsi="Calibri" w:cs="Calibri"/>
                <w:color w:val="000000"/>
              </w:rPr>
              <w:t>798.9</w:t>
            </w:r>
          </w:p>
        </w:tc>
      </w:tr>
      <w:tr w:rsidR="00DE017D" w:rsidRPr="0040054C" w:rsidTr="00DF7566">
        <w:trPr>
          <w:trHeight w:val="300"/>
        </w:trPr>
        <w:tc>
          <w:tcPr>
            <w:tcW w:w="3066" w:type="dxa"/>
            <w:noWrap/>
            <w:vAlign w:val="center"/>
            <w:hideMark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/>
                <w:color w:val="000000"/>
              </w:rPr>
              <w:lastRenderedPageBreak/>
              <w:t>United Arab Emirates</w:t>
            </w:r>
          </w:p>
        </w:tc>
        <w:tc>
          <w:tcPr>
            <w:tcW w:w="2334" w:type="dxa"/>
            <w:shd w:val="clear" w:color="auto" w:fill="auto"/>
            <w:noWrap/>
            <w:vAlign w:val="center"/>
          </w:tcPr>
          <w:p w:rsidR="00DE017D" w:rsidRPr="0040054C" w:rsidRDefault="00DE017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  <w:color w:val="000000"/>
              </w:rPr>
              <w:t>46.1 (0.4 – 320.2)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DD0C3A" w:rsidRDefault="00533F8D" w:rsidP="00DF7566">
            <w:pPr>
              <w:rPr>
                <w:rFonts w:eastAsia="Times New Roman" w:cs="Times New Roman"/>
              </w:rPr>
            </w:pPr>
            <w:r>
              <w:rPr>
                <w:rFonts w:ascii="Calibri" w:hAnsi="Calibri" w:cs="Calibri"/>
              </w:rPr>
              <w:t>116.4 (2.9</w:t>
            </w:r>
            <w:r w:rsidR="00DE017D" w:rsidRPr="00DD0C3A">
              <w:rPr>
                <w:rFonts w:ascii="Calibri" w:hAnsi="Calibri" w:cs="Calibri"/>
              </w:rPr>
              <w:t xml:space="preserve"> – 732.7)</w:t>
            </w:r>
          </w:p>
        </w:tc>
        <w:tc>
          <w:tcPr>
            <w:tcW w:w="2557" w:type="dxa"/>
            <w:shd w:val="clear" w:color="auto" w:fill="auto"/>
            <w:noWrap/>
            <w:vAlign w:val="center"/>
          </w:tcPr>
          <w:p w:rsidR="00DE017D" w:rsidRPr="00DD0C3A" w:rsidRDefault="00DE017D" w:rsidP="00DF7566">
            <w:pPr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98.3 (4.7 – 522.2)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17D" w:rsidRPr="00DD0C3A" w:rsidRDefault="00DE017D" w:rsidP="00DF7566">
            <w:pPr>
              <w:rPr>
                <w:rFonts w:eastAsia="Times New Roman" w:cs="Times New Roman"/>
              </w:rPr>
            </w:pPr>
            <w:r w:rsidRPr="00DD0C3A">
              <w:rPr>
                <w:rFonts w:ascii="Calibri" w:hAnsi="Calibri" w:cs="Calibri"/>
              </w:rPr>
              <w:t>330.7</w:t>
            </w:r>
          </w:p>
        </w:tc>
      </w:tr>
    </w:tbl>
    <w:p w:rsidR="00986E14" w:rsidRDefault="00986E14" w:rsidP="00B17648">
      <w:pPr>
        <w:pStyle w:val="Caption"/>
        <w:rPr>
          <w:sz w:val="24"/>
          <w:szCs w:val="24"/>
        </w:rPr>
      </w:pPr>
    </w:p>
    <w:p w:rsidR="00986E14" w:rsidRDefault="00986E14">
      <w:pPr>
        <w:rPr>
          <w:i/>
          <w:iCs/>
          <w:color w:val="44546A" w:themeColor="text2"/>
          <w:sz w:val="24"/>
          <w:szCs w:val="24"/>
        </w:rPr>
      </w:pPr>
      <w:r>
        <w:rPr>
          <w:sz w:val="24"/>
          <w:szCs w:val="24"/>
        </w:rPr>
        <w:br w:type="page"/>
      </w:r>
    </w:p>
    <w:p w:rsidR="00B17648" w:rsidRPr="00986E14" w:rsidRDefault="00B17648" w:rsidP="00B17648">
      <w:pPr>
        <w:pStyle w:val="Caption"/>
        <w:rPr>
          <w:sz w:val="24"/>
          <w:szCs w:val="24"/>
        </w:rPr>
      </w:pPr>
      <w:r w:rsidRPr="00986E14">
        <w:rPr>
          <w:sz w:val="24"/>
          <w:szCs w:val="24"/>
        </w:rPr>
        <w:lastRenderedPageBreak/>
        <w:t xml:space="preserve">e-Figure 1: Distribution of </w:t>
      </w:r>
      <w:r w:rsidR="00BC7E1E">
        <w:rPr>
          <w:sz w:val="24"/>
          <w:szCs w:val="24"/>
        </w:rPr>
        <w:t xml:space="preserve">age-standardized </w:t>
      </w:r>
      <w:r w:rsidRPr="00986E14">
        <w:rPr>
          <w:sz w:val="24"/>
          <w:szCs w:val="24"/>
        </w:rPr>
        <w:t>years of life lost and years lived with disability</w:t>
      </w:r>
      <w:r w:rsidR="009F1C97">
        <w:rPr>
          <w:sz w:val="24"/>
          <w:szCs w:val="24"/>
        </w:rPr>
        <w:t xml:space="preserve"> </w:t>
      </w:r>
      <w:r w:rsidR="009F1C97" w:rsidRPr="00986E14">
        <w:rPr>
          <w:sz w:val="24"/>
          <w:szCs w:val="24"/>
        </w:rPr>
        <w:t>due to HIV/AIDS</w:t>
      </w:r>
      <w:r w:rsidRPr="00986E14">
        <w:rPr>
          <w:sz w:val="24"/>
          <w:szCs w:val="24"/>
        </w:rPr>
        <w:t>, Eastern Mediterranean Region countries, 1990–2015. (Global Burden of Disease 2015</w:t>
      </w:r>
      <w:r w:rsidR="00B276E0" w:rsidRPr="00986E14">
        <w:rPr>
          <w:sz w:val="24"/>
          <w:szCs w:val="24"/>
        </w:rPr>
        <w:t xml:space="preserve"> study</w:t>
      </w:r>
      <w:r w:rsidRPr="00986E14">
        <w:rPr>
          <w:sz w:val="24"/>
          <w:szCs w:val="24"/>
        </w:rPr>
        <w:t>, Eastern Mediterranean Region, 1990-2015</w:t>
      </w:r>
    </w:p>
    <w:p w:rsidR="00B17648" w:rsidRDefault="00B17648" w:rsidP="00B17648">
      <w:pPr>
        <w:pStyle w:val="Caption"/>
      </w:pPr>
      <w:r>
        <w:rPr>
          <w:noProof/>
        </w:rPr>
        <w:drawing>
          <wp:inline distT="0" distB="0" distL="0" distR="0" wp14:anchorId="1E1E2980" wp14:editId="062AE7F3">
            <wp:extent cx="7396163" cy="4852987"/>
            <wp:effectExtent l="0" t="0" r="14605" b="508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Pr="007265C0">
        <w:t>).</w:t>
      </w:r>
    </w:p>
    <w:p w:rsidR="00012B4B" w:rsidRDefault="00012B4B"/>
    <w:sectPr w:rsidR="00012B4B" w:rsidSect="00147FD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1B2"/>
    <w:rsid w:val="00012B4B"/>
    <w:rsid w:val="000F2D11"/>
    <w:rsid w:val="001431B2"/>
    <w:rsid w:val="00533F8D"/>
    <w:rsid w:val="006372AE"/>
    <w:rsid w:val="00986E14"/>
    <w:rsid w:val="009F1C97"/>
    <w:rsid w:val="00B17648"/>
    <w:rsid w:val="00B276E0"/>
    <w:rsid w:val="00B9524C"/>
    <w:rsid w:val="00BC7E1E"/>
    <w:rsid w:val="00CD56C5"/>
    <w:rsid w:val="00D10EE4"/>
    <w:rsid w:val="00DC164A"/>
    <w:rsid w:val="00DE017D"/>
    <w:rsid w:val="00DE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AADE2"/>
  <w15:chartTrackingRefBased/>
  <w15:docId w15:val="{4C584A35-CABC-4DEF-A776-319B3CF0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7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E47E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ihme.washington.edu\IHME\HOME\charbel\HIV-EMRO\Masnuscript%202016\Archive\Global%20vs%20EM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'[Global vs EMR.xlsx]Sheet1'!$A$18</c:f>
              <c:strCache>
                <c:ptCount val="1"/>
                <c:pt idx="0">
                  <c:v>Years of Life Lost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'[Global vs EMR.xlsx]Sheet1'!$B$17:$G$17</c:f>
              <c:numCache>
                <c:formatCode>General</c:formatCode>
                <c:ptCount val="6"/>
                <c:pt idx="0">
                  <c:v>1990</c:v>
                </c:pt>
                <c:pt idx="1">
                  <c:v>1995</c:v>
                </c:pt>
                <c:pt idx="2">
                  <c:v>2000</c:v>
                </c:pt>
                <c:pt idx="3">
                  <c:v>2005</c:v>
                </c:pt>
                <c:pt idx="4">
                  <c:v>2010</c:v>
                </c:pt>
                <c:pt idx="5">
                  <c:v>2015</c:v>
                </c:pt>
              </c:numCache>
            </c:numRef>
          </c:cat>
          <c:val>
            <c:numRef>
              <c:f>'[Global vs EMR.xlsx]Sheet1'!$B$18:$G$18</c:f>
              <c:numCache>
                <c:formatCode>General</c:formatCode>
                <c:ptCount val="6"/>
                <c:pt idx="0">
                  <c:v>49094.6</c:v>
                </c:pt>
                <c:pt idx="1">
                  <c:v>128314.3</c:v>
                </c:pt>
                <c:pt idx="2">
                  <c:v>228680.6</c:v>
                </c:pt>
                <c:pt idx="3">
                  <c:v>352145.5</c:v>
                </c:pt>
                <c:pt idx="4">
                  <c:v>443763.4</c:v>
                </c:pt>
                <c:pt idx="5">
                  <c:v>526030.30000000005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C0-4CB9-962F-EDAB3E71F14B}"/>
            </c:ext>
          </c:extLst>
        </c:ser>
        <c:ser>
          <c:idx val="1"/>
          <c:order val="1"/>
          <c:tx>
            <c:strRef>
              <c:f>'[Global vs EMR.xlsx]Sheet1'!$A$19</c:f>
              <c:strCache>
                <c:ptCount val="1"/>
                <c:pt idx="0">
                  <c:v>Years Lives with Disability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'[Global vs EMR.xlsx]Sheet1'!$B$17:$G$17</c:f>
              <c:numCache>
                <c:formatCode>General</c:formatCode>
                <c:ptCount val="6"/>
                <c:pt idx="0">
                  <c:v>1990</c:v>
                </c:pt>
                <c:pt idx="1">
                  <c:v>1995</c:v>
                </c:pt>
                <c:pt idx="2">
                  <c:v>2000</c:v>
                </c:pt>
                <c:pt idx="3">
                  <c:v>2005</c:v>
                </c:pt>
                <c:pt idx="4">
                  <c:v>2010</c:v>
                </c:pt>
                <c:pt idx="5">
                  <c:v>2015</c:v>
                </c:pt>
              </c:numCache>
            </c:numRef>
          </c:cat>
          <c:val>
            <c:numRef>
              <c:f>'[Global vs EMR.xlsx]Sheet1'!$B$19:$G$19</c:f>
              <c:numCache>
                <c:formatCode>General</c:formatCode>
                <c:ptCount val="6"/>
                <c:pt idx="0">
                  <c:v>3829</c:v>
                </c:pt>
                <c:pt idx="1">
                  <c:v>7431.2</c:v>
                </c:pt>
                <c:pt idx="2">
                  <c:v>11292.9</c:v>
                </c:pt>
                <c:pt idx="3">
                  <c:v>16295.1</c:v>
                </c:pt>
                <c:pt idx="4">
                  <c:v>21212.400000000001</c:v>
                </c:pt>
                <c:pt idx="5">
                  <c:v>26000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AC0-4CB9-962F-EDAB3E71F1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12124784"/>
        <c:axId val="312125872"/>
      </c:barChart>
      <c:catAx>
        <c:axId val="312124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2125872"/>
        <c:crosses val="autoZero"/>
        <c:auto val="1"/>
        <c:lblAlgn val="ctr"/>
        <c:lblOffset val="100"/>
        <c:noMultiLvlLbl val="0"/>
      </c:catAx>
      <c:valAx>
        <c:axId val="31212587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2124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Collison</dc:creator>
  <cp:keywords/>
  <dc:description/>
  <cp:lastModifiedBy>Kristopher Krohn</cp:lastModifiedBy>
  <cp:revision>6</cp:revision>
  <dcterms:created xsi:type="dcterms:W3CDTF">2017-07-19T19:48:00Z</dcterms:created>
  <dcterms:modified xsi:type="dcterms:W3CDTF">2017-07-20T00:02:00Z</dcterms:modified>
</cp:coreProperties>
</file>