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B98CC" w14:textId="77777777" w:rsidR="00B006A5" w:rsidRPr="00E177AB" w:rsidRDefault="00B006A5" w:rsidP="004D1274">
      <w:pPr>
        <w:spacing w:line="360" w:lineRule="auto"/>
        <w:jc w:val="center"/>
        <w:rPr>
          <w:rFonts w:ascii="Times New Roman" w:hAnsi="Times New Roman"/>
          <w:b/>
          <w:bCs/>
          <w:color w:val="000000" w:themeColor="text1"/>
          <w:sz w:val="32"/>
          <w:szCs w:val="32"/>
        </w:rPr>
      </w:pPr>
      <w:r w:rsidRPr="00E177AB">
        <w:rPr>
          <w:rFonts w:ascii="Times New Roman" w:hAnsi="Times New Roman"/>
          <w:b/>
          <w:bCs/>
          <w:color w:val="000000" w:themeColor="text1"/>
          <w:sz w:val="32"/>
          <w:szCs w:val="32"/>
        </w:rPr>
        <w:t>Supporting Information</w:t>
      </w:r>
    </w:p>
    <w:p w14:paraId="4F86C96B" w14:textId="77777777" w:rsidR="009130E4" w:rsidRDefault="009130E4" w:rsidP="007A27EF">
      <w:pPr>
        <w:pStyle w:val="Authors"/>
        <w:spacing w:before="0" w:after="0"/>
        <w:rPr>
          <w:b/>
          <w:bCs/>
        </w:rPr>
      </w:pPr>
      <w:r w:rsidRPr="009130E4">
        <w:rPr>
          <w:b/>
          <w:bCs/>
        </w:rPr>
        <w:t>Dynamic Tail Amine Interactions Drive Isoform Selectivity for Potent Human Neuronal Nitric Oxide Synthase Inhibitors</w:t>
      </w:r>
    </w:p>
    <w:p w14:paraId="131BBFE9" w14:textId="7B679331" w:rsidR="007A27EF" w:rsidRPr="008A3CE5" w:rsidRDefault="007A27EF" w:rsidP="007A27EF">
      <w:pPr>
        <w:pStyle w:val="Authors"/>
        <w:spacing w:before="0" w:after="0"/>
        <w:rPr>
          <w:bCs/>
          <w:vertAlign w:val="superscript"/>
        </w:rPr>
      </w:pPr>
      <w:r w:rsidRPr="008A3CE5">
        <w:rPr>
          <w:bCs/>
        </w:rPr>
        <w:t>Amardeep Awasthi</w:t>
      </w:r>
      <w:r>
        <w:rPr>
          <w:bCs/>
          <w:vertAlign w:val="superscript"/>
        </w:rPr>
        <w:t>1</w:t>
      </w:r>
      <w:r w:rsidRPr="008A3CE5">
        <w:rPr>
          <w:bCs/>
        </w:rPr>
        <w:t>, Koon Mook Kang</w:t>
      </w:r>
      <w:r>
        <w:rPr>
          <w:bCs/>
          <w:vertAlign w:val="superscript"/>
        </w:rPr>
        <w:t>1</w:t>
      </w:r>
      <w:r w:rsidRPr="008A3CE5">
        <w:rPr>
          <w:bCs/>
        </w:rPr>
        <w:t>, and Richard B. Silverman</w:t>
      </w:r>
      <w:r w:rsidRPr="008A3CE5">
        <w:rPr>
          <w:bCs/>
          <w:vertAlign w:val="superscript"/>
        </w:rPr>
        <w:t xml:space="preserve">*, </w:t>
      </w:r>
      <w:r>
        <w:rPr>
          <w:bCs/>
          <w:vertAlign w:val="superscript"/>
        </w:rPr>
        <w:t>1</w:t>
      </w:r>
      <w:r w:rsidRPr="008A3CE5">
        <w:rPr>
          <w:bCs/>
          <w:vertAlign w:val="superscript"/>
        </w:rPr>
        <w:t xml:space="preserve">, </w:t>
      </w:r>
      <w:r>
        <w:rPr>
          <w:bCs/>
          <w:vertAlign w:val="superscript"/>
        </w:rPr>
        <w:t>2</w:t>
      </w:r>
      <w:r w:rsidRPr="008A3CE5">
        <w:rPr>
          <w:bCs/>
          <w:vertAlign w:val="superscript"/>
        </w:rPr>
        <w:t>,</w:t>
      </w:r>
      <w:r>
        <w:rPr>
          <w:bCs/>
          <w:vertAlign w:val="superscript"/>
        </w:rPr>
        <w:t xml:space="preserve"> 3</w:t>
      </w:r>
    </w:p>
    <w:p w14:paraId="2A9E052B" w14:textId="77777777" w:rsidR="007A27EF" w:rsidRPr="008A3CE5" w:rsidRDefault="007A27EF" w:rsidP="007A27EF">
      <w:pPr>
        <w:pStyle w:val="Authors"/>
        <w:spacing w:before="0" w:after="0"/>
        <w:jc w:val="both"/>
        <w:rPr>
          <w:bCs/>
        </w:rPr>
      </w:pPr>
    </w:p>
    <w:p w14:paraId="0B390CF4" w14:textId="77777777" w:rsidR="007A27EF" w:rsidRPr="008A3CE5" w:rsidRDefault="007A27EF" w:rsidP="007A27EF">
      <w:pPr>
        <w:pStyle w:val="Authors"/>
        <w:spacing w:before="0" w:after="0" w:line="360" w:lineRule="auto"/>
        <w:jc w:val="both"/>
        <w:rPr>
          <w:bCs/>
        </w:rPr>
      </w:pPr>
      <w:r>
        <w:rPr>
          <w:bCs/>
          <w:vertAlign w:val="superscript"/>
        </w:rPr>
        <w:t xml:space="preserve">1 </w:t>
      </w:r>
      <w:r w:rsidRPr="008A3CE5">
        <w:rPr>
          <w:bCs/>
        </w:rPr>
        <w:t>Department of Chemistry, Chemistry of Life Processes Institute, Center for Developmental Therapeutics, Northwestern University, 2145 Sheridan Road, Evanston, Illinois 60208-3113, United States</w:t>
      </w:r>
    </w:p>
    <w:p w14:paraId="26B2A750" w14:textId="77777777" w:rsidR="007A27EF" w:rsidRPr="008A3CE5" w:rsidRDefault="007A27EF" w:rsidP="007A27EF">
      <w:pPr>
        <w:pStyle w:val="Authors"/>
        <w:spacing w:before="0" w:after="0" w:line="360" w:lineRule="auto"/>
        <w:jc w:val="both"/>
        <w:rPr>
          <w:bCs/>
        </w:rPr>
      </w:pPr>
      <w:r>
        <w:rPr>
          <w:bCs/>
          <w:vertAlign w:val="superscript"/>
        </w:rPr>
        <w:t>2</w:t>
      </w:r>
      <w:r w:rsidRPr="008A3CE5">
        <w:rPr>
          <w:bCs/>
        </w:rPr>
        <w:t xml:space="preserve"> Department of Molecular Biosciences, Northwestern University, Evanston, Illinois 60208</w:t>
      </w:r>
    </w:p>
    <w:p w14:paraId="2EC96428" w14:textId="77777777" w:rsidR="007A27EF" w:rsidRPr="008A3CE5" w:rsidRDefault="007A27EF" w:rsidP="007A27EF">
      <w:pPr>
        <w:pStyle w:val="Authors"/>
        <w:spacing w:before="0" w:after="0" w:line="360" w:lineRule="auto"/>
        <w:jc w:val="both"/>
        <w:rPr>
          <w:bCs/>
        </w:rPr>
      </w:pPr>
      <w:r>
        <w:rPr>
          <w:bCs/>
          <w:vertAlign w:val="superscript"/>
        </w:rPr>
        <w:t>3</w:t>
      </w:r>
      <w:r w:rsidRPr="008A3CE5">
        <w:rPr>
          <w:bCs/>
        </w:rPr>
        <w:t xml:space="preserve"> Department of Pharmacology, Feinberg School of Medicine, Northwestern University, Chicago, Illinois 60611, United States</w:t>
      </w:r>
    </w:p>
    <w:p w14:paraId="3325F17D" w14:textId="77777777" w:rsidR="00F9702A" w:rsidRPr="00E177AB" w:rsidRDefault="00F9702A" w:rsidP="00436D7D">
      <w:pPr>
        <w:pStyle w:val="Authors"/>
        <w:spacing w:before="0" w:after="0" w:line="360" w:lineRule="auto"/>
        <w:jc w:val="both"/>
        <w:rPr>
          <w:bCs/>
          <w:color w:val="000000" w:themeColor="text1"/>
        </w:rPr>
      </w:pPr>
    </w:p>
    <w:p w14:paraId="1D59C5F9" w14:textId="6AD31086" w:rsidR="00F9702A" w:rsidRPr="00E177AB" w:rsidRDefault="003C226C" w:rsidP="00436D7D">
      <w:pPr>
        <w:pStyle w:val="Authors"/>
        <w:spacing w:before="0" w:after="0" w:line="360" w:lineRule="auto"/>
        <w:jc w:val="both"/>
        <w:rPr>
          <w:bCs/>
          <w:color w:val="000000" w:themeColor="text1"/>
        </w:rPr>
      </w:pPr>
      <w:r w:rsidRPr="00E177AB">
        <w:rPr>
          <w:bCs/>
          <w:color w:val="000000" w:themeColor="text1"/>
        </w:rPr>
        <w:t>*</w:t>
      </w:r>
      <w:r w:rsidR="00390C9A" w:rsidRPr="00E177AB">
        <w:rPr>
          <w:bCs/>
          <w:color w:val="000000" w:themeColor="text1"/>
        </w:rPr>
        <w:t>Corresponding author:</w:t>
      </w:r>
    </w:p>
    <w:p w14:paraId="5162F8B6" w14:textId="7F120499" w:rsidR="009554D7" w:rsidRPr="00E177AB" w:rsidRDefault="009554D7" w:rsidP="009554D7">
      <w:pPr>
        <w:spacing w:line="360" w:lineRule="auto"/>
        <w:rPr>
          <w:rFonts w:ascii="Times New Roman" w:hAnsi="Times New Roman"/>
          <w:color w:val="000000" w:themeColor="text1"/>
          <w:sz w:val="24"/>
          <w:szCs w:val="24"/>
        </w:rPr>
      </w:pPr>
      <w:r w:rsidRPr="00E177AB">
        <w:rPr>
          <w:rFonts w:ascii="Times New Roman" w:hAnsi="Times New Roman"/>
          <w:b/>
          <w:bCs/>
          <w:sz w:val="24"/>
          <w:szCs w:val="24"/>
        </w:rPr>
        <w:t>Richard B. Silverman</w:t>
      </w:r>
      <w:r w:rsidRPr="00E177AB">
        <w:rPr>
          <w:rFonts w:ascii="Times New Roman" w:hAnsi="Times New Roman"/>
          <w:sz w:val="24"/>
          <w:szCs w:val="24"/>
        </w:rPr>
        <w:t xml:space="preserve"> - Department of Chemistry, Department of Molecular Biosciences, Chemistry of Life Processes Institute, Center for Developmental Therapeutics, Northwestern University, 2145 Sheridan Road, Evanston, Illinois 60208-3113, United States; </w:t>
      </w:r>
      <w:hyperlink r:id="rId8" w:history="1">
        <w:r w:rsidRPr="00E177AB">
          <w:rPr>
            <w:rStyle w:val="Hyperlink"/>
            <w:rFonts w:ascii="Times New Roman" w:hAnsi="Times New Roman"/>
            <w:sz w:val="24"/>
            <w:szCs w:val="24"/>
          </w:rPr>
          <w:t>http://orcid.org/0000-0001-9034-1084</w:t>
        </w:r>
      </w:hyperlink>
      <w:r w:rsidRPr="00E177AB">
        <w:rPr>
          <w:rFonts w:ascii="Times New Roman" w:hAnsi="Times New Roman"/>
          <w:sz w:val="24"/>
          <w:szCs w:val="24"/>
        </w:rPr>
        <w:t xml:space="preserve"> ;Email: </w:t>
      </w:r>
      <w:hyperlink r:id="rId9" w:history="1">
        <w:r w:rsidRPr="00E177AB">
          <w:rPr>
            <w:rStyle w:val="Hyperlink"/>
            <w:rFonts w:ascii="Times New Roman" w:hAnsi="Times New Roman"/>
            <w:sz w:val="24"/>
            <w:szCs w:val="24"/>
          </w:rPr>
          <w:t>Agman@chem.northwestern.edu</w:t>
        </w:r>
      </w:hyperlink>
      <w:r w:rsidRPr="00E177AB">
        <w:rPr>
          <w:rFonts w:ascii="Times New Roman" w:hAnsi="Times New Roman"/>
          <w:sz w:val="24"/>
          <w:szCs w:val="24"/>
        </w:rPr>
        <w:t xml:space="preserve"> </w:t>
      </w:r>
      <w:r w:rsidR="00E177AB" w:rsidRPr="00E177AB">
        <w:rPr>
          <w:rFonts w:ascii="Times New Roman" w:hAnsi="Times New Roman"/>
          <w:color w:val="000000" w:themeColor="text1"/>
          <w:sz w:val="24"/>
          <w:szCs w:val="24"/>
        </w:rPr>
        <w:t>Fax: +1 847 491 7713</w:t>
      </w:r>
    </w:p>
    <w:p w14:paraId="703E4B84" w14:textId="77777777" w:rsidR="00E177AB" w:rsidRPr="00E177AB" w:rsidRDefault="00E177AB" w:rsidP="009554D7">
      <w:pPr>
        <w:spacing w:line="360" w:lineRule="auto"/>
        <w:rPr>
          <w:rFonts w:ascii="Times New Roman" w:hAnsi="Times New Roman"/>
          <w:sz w:val="24"/>
          <w:szCs w:val="24"/>
        </w:rPr>
      </w:pPr>
    </w:p>
    <w:p w14:paraId="5CEC478A" w14:textId="3E2DD6CC" w:rsidR="009554D7" w:rsidRPr="00E177AB" w:rsidRDefault="009554D7" w:rsidP="009554D7">
      <w:pPr>
        <w:spacing w:line="360" w:lineRule="auto"/>
        <w:rPr>
          <w:rFonts w:ascii="Times New Roman" w:hAnsi="Times New Roman"/>
          <w:b/>
          <w:bCs/>
          <w:sz w:val="24"/>
          <w:szCs w:val="24"/>
        </w:rPr>
      </w:pPr>
      <w:r w:rsidRPr="00E177AB">
        <w:rPr>
          <w:rFonts w:ascii="Times New Roman" w:hAnsi="Times New Roman"/>
          <w:b/>
          <w:bCs/>
          <w:sz w:val="24"/>
          <w:szCs w:val="24"/>
        </w:rPr>
        <w:t>Authors</w:t>
      </w:r>
      <w:r w:rsidR="007A27EF">
        <w:rPr>
          <w:rFonts w:ascii="Times New Roman" w:hAnsi="Times New Roman"/>
          <w:b/>
          <w:bCs/>
          <w:sz w:val="24"/>
          <w:szCs w:val="24"/>
        </w:rPr>
        <w:t>:</w:t>
      </w:r>
    </w:p>
    <w:p w14:paraId="6F8168C6" w14:textId="77777777" w:rsidR="009554D7" w:rsidRPr="00E177AB" w:rsidRDefault="009554D7" w:rsidP="009554D7">
      <w:pPr>
        <w:spacing w:line="360" w:lineRule="auto"/>
        <w:rPr>
          <w:rFonts w:ascii="Times New Roman" w:hAnsi="Times New Roman"/>
          <w:sz w:val="24"/>
          <w:szCs w:val="24"/>
        </w:rPr>
      </w:pPr>
      <w:r w:rsidRPr="00E177AB">
        <w:rPr>
          <w:rFonts w:ascii="Times New Roman" w:hAnsi="Times New Roman"/>
          <w:b/>
          <w:bCs/>
          <w:sz w:val="24"/>
          <w:szCs w:val="24"/>
        </w:rPr>
        <w:t>Amardeep Awasthi -</w:t>
      </w:r>
      <w:r w:rsidRPr="00E177AB">
        <w:rPr>
          <w:rFonts w:ascii="Times New Roman" w:hAnsi="Times New Roman"/>
          <w:sz w:val="24"/>
          <w:szCs w:val="24"/>
        </w:rPr>
        <w:t>Department of Chemistry, Chemistry of Life Processes Institute, Center for Developmental Therapeutics, Northwestern University, Evanston, Illinois 60208-3113, United States</w:t>
      </w:r>
    </w:p>
    <w:p w14:paraId="63CE7F7D" w14:textId="77777777" w:rsidR="00E177AB" w:rsidRPr="00E177AB" w:rsidRDefault="00E177AB" w:rsidP="009554D7">
      <w:pPr>
        <w:spacing w:line="360" w:lineRule="auto"/>
        <w:rPr>
          <w:rFonts w:ascii="Times New Roman" w:hAnsi="Times New Roman"/>
          <w:b/>
          <w:bCs/>
          <w:sz w:val="24"/>
          <w:szCs w:val="24"/>
        </w:rPr>
      </w:pPr>
    </w:p>
    <w:p w14:paraId="529D667F" w14:textId="77777777" w:rsidR="009554D7" w:rsidRPr="00E177AB" w:rsidRDefault="009554D7" w:rsidP="009554D7">
      <w:pPr>
        <w:spacing w:line="360" w:lineRule="auto"/>
        <w:rPr>
          <w:rFonts w:ascii="Times New Roman" w:hAnsi="Times New Roman"/>
          <w:b/>
          <w:bCs/>
          <w:sz w:val="24"/>
          <w:szCs w:val="24"/>
        </w:rPr>
      </w:pPr>
      <w:r w:rsidRPr="00E177AB">
        <w:rPr>
          <w:rFonts w:ascii="Times New Roman" w:hAnsi="Times New Roman"/>
          <w:b/>
          <w:bCs/>
          <w:sz w:val="24"/>
          <w:szCs w:val="24"/>
        </w:rPr>
        <w:t>Koon Mook Kang-</w:t>
      </w:r>
      <w:r w:rsidRPr="00E177AB">
        <w:rPr>
          <w:rFonts w:ascii="Times New Roman" w:hAnsi="Times New Roman"/>
          <w:sz w:val="24"/>
          <w:szCs w:val="24"/>
        </w:rPr>
        <w:t>Department of Chemistry, Chemistry of Life Processes Institute, Center for Developmental Therapeutics, Northwestern University, Evanston, Illinois 60208-3113, United States</w:t>
      </w:r>
    </w:p>
    <w:p w14:paraId="56C46A24" w14:textId="033669B9" w:rsidR="005534B5" w:rsidRPr="002A00D1" w:rsidRDefault="005534B5">
      <w:pPr>
        <w:widowControl/>
        <w:jc w:val="left"/>
        <w:rPr>
          <w:rFonts w:ascii="Times New Roman" w:hAnsi="Times New Roman"/>
          <w:b/>
          <w:bCs/>
          <w:color w:val="000000" w:themeColor="text1"/>
          <w:sz w:val="24"/>
          <w:szCs w:val="24"/>
        </w:rPr>
      </w:pPr>
      <w:r w:rsidRPr="002A00D1">
        <w:rPr>
          <w:rFonts w:ascii="Times New Roman" w:hAnsi="Times New Roman"/>
          <w:b/>
          <w:bCs/>
          <w:color w:val="000000" w:themeColor="text1"/>
          <w:sz w:val="24"/>
          <w:szCs w:val="24"/>
        </w:rPr>
        <w:br w:type="page"/>
      </w:r>
    </w:p>
    <w:p w14:paraId="66A4EA9C" w14:textId="77777777" w:rsidR="00843D25" w:rsidRPr="002A00D1" w:rsidRDefault="00843D25" w:rsidP="00843D25">
      <w:pPr>
        <w:spacing w:line="261" w:lineRule="auto"/>
        <w:ind w:left="-5"/>
        <w:jc w:val="center"/>
        <w:rPr>
          <w:rFonts w:ascii="Times New Roman" w:eastAsia="Times New Roman" w:hAnsi="Times New Roman"/>
          <w:b/>
          <w:color w:val="000000" w:themeColor="text1"/>
          <w:sz w:val="24"/>
          <w:szCs w:val="24"/>
        </w:rPr>
      </w:pPr>
      <w:r w:rsidRPr="002A00D1">
        <w:rPr>
          <w:rFonts w:ascii="Times New Roman" w:eastAsia="Times New Roman" w:hAnsi="Times New Roman"/>
          <w:b/>
          <w:color w:val="000000" w:themeColor="text1"/>
          <w:sz w:val="24"/>
          <w:szCs w:val="24"/>
        </w:rPr>
        <w:lastRenderedPageBreak/>
        <w:t>Table of Contents:</w:t>
      </w:r>
    </w:p>
    <w:p w14:paraId="5FC941E7" w14:textId="77777777" w:rsidR="00843D25" w:rsidRPr="002A00D1" w:rsidRDefault="00843D25" w:rsidP="00843D25">
      <w:pPr>
        <w:spacing w:line="261" w:lineRule="auto"/>
        <w:ind w:left="-5"/>
        <w:jc w:val="center"/>
        <w:rPr>
          <w:rFonts w:ascii="Times New Roman" w:eastAsia="Times New Roman" w:hAnsi="Times New Roman"/>
          <w:b/>
          <w:color w:val="000000" w:themeColor="text1"/>
          <w:sz w:val="24"/>
          <w:szCs w:val="24"/>
        </w:rPr>
      </w:pPr>
    </w:p>
    <w:tbl>
      <w:tblPr>
        <w:tblStyle w:val="TableGrid"/>
        <w:tblW w:w="87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
        <w:gridCol w:w="6931"/>
        <w:gridCol w:w="930"/>
      </w:tblGrid>
      <w:tr w:rsidR="002A00D1" w:rsidRPr="002A00D1" w14:paraId="4213FD37" w14:textId="77777777" w:rsidTr="00B54C2F">
        <w:trPr>
          <w:trHeight w:val="316"/>
        </w:trPr>
        <w:tc>
          <w:tcPr>
            <w:tcW w:w="864" w:type="dxa"/>
          </w:tcPr>
          <w:p w14:paraId="46F235F3" w14:textId="77777777" w:rsidR="00843D25" w:rsidRPr="002A00D1" w:rsidRDefault="00843D25" w:rsidP="00781E00">
            <w:pPr>
              <w:spacing w:line="259" w:lineRule="auto"/>
              <w:jc w:val="center"/>
              <w:rPr>
                <w:rFonts w:ascii="Times New Roman" w:hAnsi="Times New Roman"/>
                <w:color w:val="000000" w:themeColor="text1"/>
                <w:sz w:val="24"/>
                <w:szCs w:val="24"/>
              </w:rPr>
            </w:pPr>
            <w:r w:rsidRPr="002A00D1">
              <w:rPr>
                <w:rFonts w:ascii="Times New Roman" w:hAnsi="Times New Roman"/>
                <w:color w:val="000000" w:themeColor="text1"/>
                <w:sz w:val="24"/>
                <w:szCs w:val="24"/>
              </w:rPr>
              <w:t>S. No</w:t>
            </w:r>
          </w:p>
        </w:tc>
        <w:tc>
          <w:tcPr>
            <w:tcW w:w="6931" w:type="dxa"/>
          </w:tcPr>
          <w:p w14:paraId="550C8EDB" w14:textId="77777777" w:rsidR="00843D25" w:rsidRPr="002A00D1" w:rsidRDefault="00843D25" w:rsidP="00781E00">
            <w:pPr>
              <w:spacing w:after="160" w:line="259" w:lineRule="auto"/>
              <w:jc w:val="center"/>
              <w:rPr>
                <w:rFonts w:ascii="Times New Roman" w:hAnsi="Times New Roman"/>
                <w:color w:val="000000" w:themeColor="text1"/>
                <w:sz w:val="24"/>
                <w:szCs w:val="24"/>
              </w:rPr>
            </w:pPr>
          </w:p>
        </w:tc>
        <w:tc>
          <w:tcPr>
            <w:tcW w:w="930" w:type="dxa"/>
          </w:tcPr>
          <w:p w14:paraId="5DD150C2" w14:textId="77777777" w:rsidR="00843D25" w:rsidRPr="002A00D1" w:rsidRDefault="00843D25" w:rsidP="00781E00">
            <w:pPr>
              <w:spacing w:line="259" w:lineRule="auto"/>
              <w:jc w:val="center"/>
              <w:rPr>
                <w:rFonts w:ascii="Times New Roman" w:hAnsi="Times New Roman"/>
                <w:color w:val="000000" w:themeColor="text1"/>
                <w:sz w:val="24"/>
                <w:szCs w:val="24"/>
              </w:rPr>
            </w:pPr>
            <w:r w:rsidRPr="002A00D1">
              <w:rPr>
                <w:rFonts w:ascii="Times New Roman" w:hAnsi="Times New Roman"/>
                <w:color w:val="000000" w:themeColor="text1"/>
                <w:sz w:val="24"/>
                <w:szCs w:val="24"/>
              </w:rPr>
              <w:t>Pages</w:t>
            </w:r>
          </w:p>
        </w:tc>
      </w:tr>
      <w:tr w:rsidR="002A00D1" w:rsidRPr="002A00D1" w14:paraId="3753FC41" w14:textId="77777777" w:rsidTr="00B54C2F">
        <w:trPr>
          <w:trHeight w:val="414"/>
        </w:trPr>
        <w:tc>
          <w:tcPr>
            <w:tcW w:w="864" w:type="dxa"/>
          </w:tcPr>
          <w:p w14:paraId="13E5FF8C" w14:textId="77777777" w:rsidR="00843D25" w:rsidRPr="002A00D1" w:rsidRDefault="00843D25" w:rsidP="00781E00">
            <w:pPr>
              <w:spacing w:line="259" w:lineRule="auto"/>
              <w:jc w:val="center"/>
              <w:rPr>
                <w:rFonts w:ascii="Times New Roman" w:hAnsi="Times New Roman"/>
                <w:color w:val="000000" w:themeColor="text1"/>
                <w:sz w:val="24"/>
                <w:szCs w:val="24"/>
              </w:rPr>
            </w:pPr>
            <w:r w:rsidRPr="002A00D1">
              <w:rPr>
                <w:rFonts w:ascii="Times New Roman" w:hAnsi="Times New Roman"/>
                <w:color w:val="000000" w:themeColor="text1"/>
                <w:sz w:val="24"/>
                <w:szCs w:val="24"/>
              </w:rPr>
              <w:t>1</w:t>
            </w:r>
          </w:p>
        </w:tc>
        <w:tc>
          <w:tcPr>
            <w:tcW w:w="6931" w:type="dxa"/>
          </w:tcPr>
          <w:p w14:paraId="79896C28" w14:textId="3C8D2BE5" w:rsidR="00843D25" w:rsidRPr="00FD22DD" w:rsidRDefault="00843D25" w:rsidP="00781E00">
            <w:pPr>
              <w:spacing w:line="259" w:lineRule="auto"/>
              <w:rPr>
                <w:rFonts w:ascii="Times New Roman" w:hAnsi="Times New Roman"/>
                <w:color w:val="000000" w:themeColor="text1"/>
                <w:sz w:val="24"/>
                <w:szCs w:val="24"/>
              </w:rPr>
            </w:pPr>
            <w:r w:rsidRPr="00FD22DD">
              <w:rPr>
                <w:rFonts w:ascii="Times New Roman" w:hAnsi="Times New Roman"/>
                <w:color w:val="000000" w:themeColor="text1"/>
                <w:sz w:val="24"/>
                <w:szCs w:val="24"/>
              </w:rPr>
              <w:t>NOS Enzyme Inhibition Assay</w:t>
            </w:r>
            <w:r w:rsidR="00FD22DD" w:rsidRPr="00FD22DD">
              <w:rPr>
                <w:rFonts w:ascii="Times New Roman" w:hAnsi="Times New Roman"/>
                <w:color w:val="000000" w:themeColor="text1"/>
                <w:sz w:val="24"/>
                <w:szCs w:val="24"/>
              </w:rPr>
              <w:t xml:space="preserve"> Pro</w:t>
            </w:r>
            <w:r w:rsidR="00FD22DD">
              <w:rPr>
                <w:rFonts w:ascii="Times New Roman" w:hAnsi="Times New Roman"/>
                <w:color w:val="000000" w:themeColor="text1"/>
                <w:sz w:val="24"/>
                <w:szCs w:val="24"/>
              </w:rPr>
              <w:t>tocol</w:t>
            </w:r>
          </w:p>
        </w:tc>
        <w:tc>
          <w:tcPr>
            <w:tcW w:w="930" w:type="dxa"/>
          </w:tcPr>
          <w:p w14:paraId="2807339E" w14:textId="21CDEE4E" w:rsidR="00843D25" w:rsidRPr="002A00D1" w:rsidRDefault="00781E00" w:rsidP="00781E00">
            <w:pPr>
              <w:spacing w:line="259"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S</w:t>
            </w:r>
            <w:r w:rsidR="00843D25" w:rsidRPr="002A00D1">
              <w:rPr>
                <w:rFonts w:ascii="Times New Roman" w:hAnsi="Times New Roman"/>
                <w:color w:val="000000" w:themeColor="text1"/>
                <w:sz w:val="24"/>
                <w:szCs w:val="24"/>
              </w:rPr>
              <w:t>3</w:t>
            </w:r>
          </w:p>
        </w:tc>
      </w:tr>
      <w:tr w:rsidR="002A00D1" w:rsidRPr="002A00D1" w14:paraId="050490F2" w14:textId="77777777" w:rsidTr="00B54C2F">
        <w:trPr>
          <w:trHeight w:val="414"/>
        </w:trPr>
        <w:tc>
          <w:tcPr>
            <w:tcW w:w="864" w:type="dxa"/>
          </w:tcPr>
          <w:p w14:paraId="2C012ADF" w14:textId="77777777" w:rsidR="00843D25" w:rsidRPr="002A00D1" w:rsidRDefault="00843D25" w:rsidP="00781E00">
            <w:pPr>
              <w:spacing w:line="259" w:lineRule="auto"/>
              <w:jc w:val="center"/>
              <w:rPr>
                <w:rFonts w:ascii="Times New Roman" w:hAnsi="Times New Roman"/>
                <w:color w:val="000000" w:themeColor="text1"/>
                <w:sz w:val="24"/>
                <w:szCs w:val="24"/>
              </w:rPr>
            </w:pPr>
            <w:r w:rsidRPr="002A00D1">
              <w:rPr>
                <w:rFonts w:ascii="Times New Roman" w:hAnsi="Times New Roman"/>
                <w:color w:val="000000" w:themeColor="text1"/>
                <w:sz w:val="24"/>
                <w:szCs w:val="24"/>
              </w:rPr>
              <w:t>2</w:t>
            </w:r>
          </w:p>
        </w:tc>
        <w:tc>
          <w:tcPr>
            <w:tcW w:w="6931" w:type="dxa"/>
          </w:tcPr>
          <w:p w14:paraId="43D67E02" w14:textId="1B314C18" w:rsidR="00843D25" w:rsidRPr="002A00D1" w:rsidRDefault="00843D25" w:rsidP="00781E00">
            <w:pPr>
              <w:spacing w:line="259" w:lineRule="auto"/>
              <w:rPr>
                <w:rFonts w:ascii="Times New Roman" w:hAnsi="Times New Roman"/>
                <w:color w:val="000000" w:themeColor="text1"/>
                <w:sz w:val="24"/>
                <w:szCs w:val="24"/>
              </w:rPr>
            </w:pPr>
            <w:r w:rsidRPr="002A00D1">
              <w:rPr>
                <w:rFonts w:ascii="Times New Roman" w:hAnsi="Times New Roman"/>
                <w:color w:val="000000" w:themeColor="text1"/>
                <w:sz w:val="24"/>
                <w:szCs w:val="24"/>
              </w:rPr>
              <w:t>PAMPA BBB assay</w:t>
            </w:r>
            <w:r w:rsidR="00FD22DD">
              <w:rPr>
                <w:rFonts w:ascii="Times New Roman" w:hAnsi="Times New Roman"/>
                <w:color w:val="000000" w:themeColor="text1"/>
                <w:sz w:val="24"/>
                <w:szCs w:val="24"/>
              </w:rPr>
              <w:t xml:space="preserve"> Protocol</w:t>
            </w:r>
          </w:p>
        </w:tc>
        <w:tc>
          <w:tcPr>
            <w:tcW w:w="930" w:type="dxa"/>
          </w:tcPr>
          <w:p w14:paraId="16ACFA21" w14:textId="2E0A409D" w:rsidR="00843D25" w:rsidRPr="002A00D1" w:rsidRDefault="00781E00" w:rsidP="00781E00">
            <w:pPr>
              <w:spacing w:line="259"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S</w:t>
            </w:r>
            <w:r w:rsidR="00843D25" w:rsidRPr="002A00D1">
              <w:rPr>
                <w:rFonts w:ascii="Times New Roman" w:hAnsi="Times New Roman"/>
                <w:color w:val="000000" w:themeColor="text1"/>
                <w:sz w:val="24"/>
                <w:szCs w:val="24"/>
              </w:rPr>
              <w:t>3-</w:t>
            </w:r>
            <w:r w:rsidR="00797A84">
              <w:rPr>
                <w:rFonts w:ascii="Times New Roman" w:hAnsi="Times New Roman"/>
                <w:color w:val="000000" w:themeColor="text1"/>
                <w:sz w:val="24"/>
                <w:szCs w:val="24"/>
              </w:rPr>
              <w:t>5</w:t>
            </w:r>
          </w:p>
        </w:tc>
      </w:tr>
      <w:tr w:rsidR="00BE5F4E" w:rsidRPr="002A00D1" w14:paraId="23ED69CE" w14:textId="77777777" w:rsidTr="00B54C2F">
        <w:trPr>
          <w:trHeight w:val="414"/>
        </w:trPr>
        <w:tc>
          <w:tcPr>
            <w:tcW w:w="864" w:type="dxa"/>
          </w:tcPr>
          <w:p w14:paraId="465DB99F" w14:textId="6600BD74" w:rsidR="00BE5F4E" w:rsidRPr="002A00D1" w:rsidRDefault="00BE5F4E" w:rsidP="00781E00">
            <w:pPr>
              <w:spacing w:line="259"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3</w:t>
            </w:r>
          </w:p>
        </w:tc>
        <w:tc>
          <w:tcPr>
            <w:tcW w:w="6931" w:type="dxa"/>
          </w:tcPr>
          <w:p w14:paraId="14A6DE7C" w14:textId="6A03A858" w:rsidR="00BE5F4E" w:rsidRPr="002A00D1" w:rsidRDefault="00BE5F4E" w:rsidP="00781E00">
            <w:pPr>
              <w:spacing w:line="259" w:lineRule="auto"/>
              <w:rPr>
                <w:rFonts w:ascii="Times New Roman" w:hAnsi="Times New Roman"/>
                <w:color w:val="000000" w:themeColor="text1"/>
                <w:sz w:val="24"/>
                <w:szCs w:val="24"/>
              </w:rPr>
            </w:pPr>
            <w:r>
              <w:rPr>
                <w:rFonts w:ascii="Times New Roman" w:hAnsi="Times New Roman"/>
                <w:color w:val="000000" w:themeColor="text1"/>
                <w:sz w:val="24"/>
                <w:szCs w:val="24"/>
              </w:rPr>
              <w:t>Dose response curves</w:t>
            </w:r>
          </w:p>
        </w:tc>
        <w:tc>
          <w:tcPr>
            <w:tcW w:w="930" w:type="dxa"/>
          </w:tcPr>
          <w:p w14:paraId="60B1E6BA" w14:textId="23A05782" w:rsidR="00BE5F4E" w:rsidRDefault="00FA7652" w:rsidP="00781E00">
            <w:pPr>
              <w:spacing w:line="259"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S5</w:t>
            </w:r>
            <w:r w:rsidRPr="002A00D1">
              <w:rPr>
                <w:rFonts w:ascii="Times New Roman" w:hAnsi="Times New Roman"/>
                <w:color w:val="000000" w:themeColor="text1"/>
                <w:sz w:val="24"/>
                <w:szCs w:val="24"/>
              </w:rPr>
              <w:t>-</w:t>
            </w:r>
            <w:r>
              <w:rPr>
                <w:rFonts w:ascii="Times New Roman" w:hAnsi="Times New Roman"/>
                <w:color w:val="000000" w:themeColor="text1"/>
                <w:sz w:val="24"/>
                <w:szCs w:val="24"/>
              </w:rPr>
              <w:t>6</w:t>
            </w:r>
          </w:p>
        </w:tc>
      </w:tr>
      <w:tr w:rsidR="002A00D1" w:rsidRPr="002A00D1" w14:paraId="5BEB5961" w14:textId="77777777" w:rsidTr="00B54C2F">
        <w:trPr>
          <w:trHeight w:val="414"/>
        </w:trPr>
        <w:tc>
          <w:tcPr>
            <w:tcW w:w="864" w:type="dxa"/>
          </w:tcPr>
          <w:p w14:paraId="75511A8E" w14:textId="1AF875B9" w:rsidR="00843D25" w:rsidRPr="002A00D1" w:rsidRDefault="00BE5F4E" w:rsidP="00781E00">
            <w:pPr>
              <w:spacing w:line="259"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6931" w:type="dxa"/>
          </w:tcPr>
          <w:p w14:paraId="4374BFEF" w14:textId="748B63CD" w:rsidR="00843D25" w:rsidRPr="002A00D1" w:rsidRDefault="00843D25" w:rsidP="00781E00">
            <w:pPr>
              <w:spacing w:line="259" w:lineRule="auto"/>
              <w:rPr>
                <w:rFonts w:ascii="Times New Roman" w:hAnsi="Times New Roman"/>
                <w:color w:val="000000" w:themeColor="text1"/>
                <w:sz w:val="24"/>
                <w:szCs w:val="24"/>
              </w:rPr>
            </w:pPr>
            <w:r w:rsidRPr="002A00D1">
              <w:rPr>
                <w:rFonts w:ascii="Times New Roman" w:hAnsi="Times New Roman"/>
                <w:color w:val="000000" w:themeColor="text1"/>
                <w:sz w:val="24"/>
                <w:szCs w:val="24"/>
              </w:rPr>
              <w:t>Computational Details</w:t>
            </w:r>
          </w:p>
        </w:tc>
        <w:tc>
          <w:tcPr>
            <w:tcW w:w="930" w:type="dxa"/>
          </w:tcPr>
          <w:p w14:paraId="70F40186" w14:textId="03C61514" w:rsidR="00843D25" w:rsidRPr="002A00D1" w:rsidRDefault="00781E00" w:rsidP="00781E00">
            <w:pPr>
              <w:spacing w:line="259"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S</w:t>
            </w:r>
            <w:r w:rsidR="00FA7652">
              <w:rPr>
                <w:rFonts w:ascii="Times New Roman" w:hAnsi="Times New Roman"/>
                <w:color w:val="000000" w:themeColor="text1"/>
                <w:sz w:val="24"/>
                <w:szCs w:val="24"/>
              </w:rPr>
              <w:t>6</w:t>
            </w:r>
            <w:r w:rsidR="00843D25" w:rsidRPr="002A00D1">
              <w:rPr>
                <w:rFonts w:ascii="Times New Roman" w:hAnsi="Times New Roman"/>
                <w:color w:val="000000" w:themeColor="text1"/>
                <w:sz w:val="24"/>
                <w:szCs w:val="24"/>
              </w:rPr>
              <w:t>-</w:t>
            </w:r>
            <w:r w:rsidR="00FA7652">
              <w:rPr>
                <w:rFonts w:ascii="Times New Roman" w:hAnsi="Times New Roman"/>
                <w:color w:val="000000" w:themeColor="text1"/>
                <w:sz w:val="24"/>
                <w:szCs w:val="24"/>
              </w:rPr>
              <w:t>7</w:t>
            </w:r>
          </w:p>
        </w:tc>
      </w:tr>
      <w:tr w:rsidR="002A00D1" w:rsidRPr="002A00D1" w14:paraId="4CE9117B" w14:textId="77777777" w:rsidTr="00B54C2F">
        <w:trPr>
          <w:trHeight w:val="414"/>
        </w:trPr>
        <w:tc>
          <w:tcPr>
            <w:tcW w:w="864" w:type="dxa"/>
          </w:tcPr>
          <w:p w14:paraId="097FB89C" w14:textId="200B7BBA" w:rsidR="00843D25" w:rsidRPr="002A00D1" w:rsidRDefault="00BE5F4E" w:rsidP="00781E00">
            <w:pPr>
              <w:spacing w:line="259"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5</w:t>
            </w:r>
          </w:p>
        </w:tc>
        <w:tc>
          <w:tcPr>
            <w:tcW w:w="6931" w:type="dxa"/>
          </w:tcPr>
          <w:p w14:paraId="03D9F538" w14:textId="6641A05F" w:rsidR="00843D25" w:rsidRPr="002A00D1" w:rsidRDefault="00843D25" w:rsidP="00781E00">
            <w:pPr>
              <w:spacing w:line="259" w:lineRule="auto"/>
              <w:rPr>
                <w:rFonts w:ascii="Times New Roman" w:hAnsi="Times New Roman"/>
                <w:color w:val="000000" w:themeColor="text1"/>
                <w:sz w:val="24"/>
                <w:szCs w:val="24"/>
              </w:rPr>
            </w:pPr>
            <w:r w:rsidRPr="002A00D1">
              <w:rPr>
                <w:rFonts w:ascii="Times New Roman" w:hAnsi="Times New Roman"/>
                <w:color w:val="000000" w:themeColor="text1"/>
                <w:sz w:val="24"/>
                <w:szCs w:val="24"/>
              </w:rPr>
              <w:t>Experimental procedures</w:t>
            </w:r>
          </w:p>
        </w:tc>
        <w:tc>
          <w:tcPr>
            <w:tcW w:w="930" w:type="dxa"/>
          </w:tcPr>
          <w:p w14:paraId="5BA10FD4" w14:textId="487615D2" w:rsidR="00843D25" w:rsidRPr="002A00D1" w:rsidRDefault="00781E00" w:rsidP="00781E00">
            <w:pPr>
              <w:spacing w:line="259"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S</w:t>
            </w:r>
            <w:r w:rsidR="001D50A7">
              <w:rPr>
                <w:rFonts w:ascii="Times New Roman" w:hAnsi="Times New Roman"/>
                <w:color w:val="000000" w:themeColor="text1"/>
                <w:sz w:val="24"/>
                <w:szCs w:val="24"/>
              </w:rPr>
              <w:t>7</w:t>
            </w:r>
            <w:r w:rsidR="00843D25" w:rsidRPr="002A00D1">
              <w:rPr>
                <w:rFonts w:ascii="Times New Roman" w:hAnsi="Times New Roman"/>
                <w:color w:val="000000" w:themeColor="text1"/>
                <w:sz w:val="24"/>
                <w:szCs w:val="24"/>
              </w:rPr>
              <w:t>-</w:t>
            </w:r>
            <w:r w:rsidR="001D50A7">
              <w:rPr>
                <w:rFonts w:ascii="Times New Roman" w:hAnsi="Times New Roman"/>
                <w:color w:val="000000" w:themeColor="text1"/>
                <w:sz w:val="24"/>
                <w:szCs w:val="24"/>
              </w:rPr>
              <w:t>10</w:t>
            </w:r>
          </w:p>
        </w:tc>
      </w:tr>
      <w:tr w:rsidR="002A00D1" w:rsidRPr="002A00D1" w14:paraId="4086CAA5" w14:textId="77777777" w:rsidTr="00B54C2F">
        <w:trPr>
          <w:trHeight w:val="316"/>
        </w:trPr>
        <w:tc>
          <w:tcPr>
            <w:tcW w:w="864" w:type="dxa"/>
          </w:tcPr>
          <w:p w14:paraId="245070E1" w14:textId="67BE0907" w:rsidR="00843D25" w:rsidRPr="002A00D1" w:rsidRDefault="00BE5F4E" w:rsidP="00781E00">
            <w:pPr>
              <w:spacing w:line="259"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6</w:t>
            </w:r>
          </w:p>
        </w:tc>
        <w:tc>
          <w:tcPr>
            <w:tcW w:w="6931" w:type="dxa"/>
          </w:tcPr>
          <w:p w14:paraId="3D072F5F" w14:textId="77777777" w:rsidR="00843D25" w:rsidRPr="002A00D1" w:rsidRDefault="00843D25" w:rsidP="00781E00">
            <w:pPr>
              <w:spacing w:line="259" w:lineRule="auto"/>
              <w:rPr>
                <w:rFonts w:ascii="Times New Roman" w:hAnsi="Times New Roman"/>
                <w:color w:val="000000" w:themeColor="text1"/>
                <w:sz w:val="24"/>
                <w:szCs w:val="24"/>
              </w:rPr>
            </w:pPr>
            <w:r w:rsidRPr="002A00D1">
              <w:rPr>
                <w:rFonts w:ascii="Times New Roman" w:hAnsi="Times New Roman"/>
                <w:color w:val="000000" w:themeColor="text1"/>
                <w:sz w:val="24"/>
                <w:szCs w:val="24"/>
              </w:rPr>
              <w:t xml:space="preserve">Copies of </w:t>
            </w:r>
            <w:r w:rsidRPr="002A00D1">
              <w:rPr>
                <w:rFonts w:ascii="Times New Roman" w:hAnsi="Times New Roman"/>
                <w:color w:val="000000" w:themeColor="text1"/>
                <w:sz w:val="24"/>
                <w:szCs w:val="24"/>
                <w:vertAlign w:val="superscript"/>
              </w:rPr>
              <w:t>1</w:t>
            </w:r>
            <w:r w:rsidRPr="002A00D1">
              <w:rPr>
                <w:rFonts w:ascii="Times New Roman" w:hAnsi="Times New Roman"/>
                <w:color w:val="000000" w:themeColor="text1"/>
                <w:sz w:val="24"/>
                <w:szCs w:val="24"/>
              </w:rPr>
              <w:t xml:space="preserve">H NMR and </w:t>
            </w:r>
            <w:r w:rsidRPr="002A00D1">
              <w:rPr>
                <w:rFonts w:ascii="Times New Roman" w:hAnsi="Times New Roman"/>
                <w:color w:val="000000" w:themeColor="text1"/>
                <w:sz w:val="24"/>
                <w:szCs w:val="24"/>
                <w:vertAlign w:val="superscript"/>
              </w:rPr>
              <w:t>13</w:t>
            </w:r>
            <w:r w:rsidRPr="002A00D1">
              <w:rPr>
                <w:rFonts w:ascii="Times New Roman" w:hAnsi="Times New Roman"/>
                <w:color w:val="000000" w:themeColor="text1"/>
                <w:sz w:val="24"/>
                <w:szCs w:val="24"/>
              </w:rPr>
              <w:t>C NMR</w:t>
            </w:r>
          </w:p>
        </w:tc>
        <w:tc>
          <w:tcPr>
            <w:tcW w:w="930" w:type="dxa"/>
          </w:tcPr>
          <w:p w14:paraId="57B11BDD" w14:textId="23556B2B" w:rsidR="00843D25" w:rsidRPr="002A00D1" w:rsidRDefault="00781E00" w:rsidP="00781E00">
            <w:pPr>
              <w:spacing w:line="259"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S</w:t>
            </w:r>
            <w:r w:rsidR="001D50A7">
              <w:rPr>
                <w:rFonts w:ascii="Times New Roman" w:hAnsi="Times New Roman"/>
                <w:color w:val="000000" w:themeColor="text1"/>
                <w:sz w:val="24"/>
                <w:szCs w:val="24"/>
              </w:rPr>
              <w:t>11</w:t>
            </w:r>
            <w:r w:rsidR="00843D25" w:rsidRPr="002A00D1">
              <w:rPr>
                <w:rFonts w:ascii="Times New Roman" w:hAnsi="Times New Roman"/>
                <w:color w:val="000000" w:themeColor="text1"/>
                <w:sz w:val="24"/>
                <w:szCs w:val="24"/>
              </w:rPr>
              <w:t>-</w:t>
            </w:r>
            <w:r w:rsidR="00797A84">
              <w:rPr>
                <w:rFonts w:ascii="Times New Roman" w:hAnsi="Times New Roman"/>
                <w:color w:val="000000" w:themeColor="text1"/>
                <w:sz w:val="24"/>
                <w:szCs w:val="24"/>
              </w:rPr>
              <w:t>1</w:t>
            </w:r>
            <w:r w:rsidR="00BD4282">
              <w:rPr>
                <w:rFonts w:ascii="Times New Roman" w:hAnsi="Times New Roman"/>
                <w:color w:val="000000" w:themeColor="text1"/>
                <w:sz w:val="24"/>
                <w:szCs w:val="24"/>
              </w:rPr>
              <w:t>2</w:t>
            </w:r>
          </w:p>
        </w:tc>
      </w:tr>
      <w:tr w:rsidR="00781E00" w:rsidRPr="002A00D1" w14:paraId="54A0076A" w14:textId="77777777" w:rsidTr="00B54C2F">
        <w:trPr>
          <w:trHeight w:val="316"/>
        </w:trPr>
        <w:tc>
          <w:tcPr>
            <w:tcW w:w="864" w:type="dxa"/>
          </w:tcPr>
          <w:p w14:paraId="56E6F61A" w14:textId="7A33FD18" w:rsidR="00843D25" w:rsidRPr="002A00D1" w:rsidRDefault="00BE5F4E" w:rsidP="00781E00">
            <w:pPr>
              <w:spacing w:line="259"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7</w:t>
            </w:r>
          </w:p>
        </w:tc>
        <w:tc>
          <w:tcPr>
            <w:tcW w:w="6931" w:type="dxa"/>
          </w:tcPr>
          <w:p w14:paraId="757C2B85" w14:textId="77777777" w:rsidR="00843D25" w:rsidRPr="002A00D1" w:rsidRDefault="00843D25" w:rsidP="00781E00">
            <w:pPr>
              <w:spacing w:line="259" w:lineRule="auto"/>
              <w:rPr>
                <w:rFonts w:ascii="Times New Roman" w:hAnsi="Times New Roman"/>
                <w:color w:val="000000" w:themeColor="text1"/>
                <w:sz w:val="24"/>
                <w:szCs w:val="24"/>
              </w:rPr>
            </w:pPr>
            <w:r w:rsidRPr="002A00D1">
              <w:rPr>
                <w:rFonts w:ascii="Times New Roman" w:hAnsi="Times New Roman"/>
                <w:color w:val="000000" w:themeColor="text1"/>
                <w:sz w:val="24"/>
                <w:szCs w:val="24"/>
              </w:rPr>
              <w:t>References</w:t>
            </w:r>
          </w:p>
        </w:tc>
        <w:tc>
          <w:tcPr>
            <w:tcW w:w="930" w:type="dxa"/>
          </w:tcPr>
          <w:p w14:paraId="379E729F" w14:textId="0906ED4B" w:rsidR="00843D25" w:rsidRPr="002A00D1" w:rsidRDefault="00781E00" w:rsidP="00781E00">
            <w:pPr>
              <w:spacing w:line="259"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S</w:t>
            </w:r>
            <w:r w:rsidR="00797A84">
              <w:rPr>
                <w:rFonts w:ascii="Times New Roman" w:hAnsi="Times New Roman"/>
                <w:color w:val="000000" w:themeColor="text1"/>
                <w:sz w:val="24"/>
                <w:szCs w:val="24"/>
              </w:rPr>
              <w:t>1</w:t>
            </w:r>
            <w:r w:rsidR="00BD4282">
              <w:rPr>
                <w:rFonts w:ascii="Times New Roman" w:hAnsi="Times New Roman"/>
                <w:color w:val="000000" w:themeColor="text1"/>
                <w:sz w:val="24"/>
                <w:szCs w:val="24"/>
              </w:rPr>
              <w:t>3</w:t>
            </w:r>
            <w:r w:rsidR="000F3C89">
              <w:rPr>
                <w:rFonts w:ascii="Times New Roman" w:hAnsi="Times New Roman"/>
                <w:color w:val="000000" w:themeColor="text1"/>
                <w:sz w:val="24"/>
                <w:szCs w:val="24"/>
              </w:rPr>
              <w:t>-1</w:t>
            </w:r>
            <w:r w:rsidR="00BD4282">
              <w:rPr>
                <w:rFonts w:ascii="Times New Roman" w:hAnsi="Times New Roman"/>
                <w:color w:val="000000" w:themeColor="text1"/>
                <w:sz w:val="24"/>
                <w:szCs w:val="24"/>
              </w:rPr>
              <w:t>5</w:t>
            </w:r>
          </w:p>
        </w:tc>
      </w:tr>
    </w:tbl>
    <w:p w14:paraId="1A495C8E" w14:textId="77777777" w:rsidR="00843D25" w:rsidRPr="002A00D1" w:rsidRDefault="00843D25" w:rsidP="00843D25">
      <w:pPr>
        <w:spacing w:line="261" w:lineRule="auto"/>
        <w:ind w:left="-5"/>
        <w:jc w:val="center"/>
        <w:rPr>
          <w:rFonts w:ascii="Times New Roman" w:eastAsia="Times New Roman" w:hAnsi="Times New Roman"/>
          <w:b/>
          <w:color w:val="000000" w:themeColor="text1"/>
          <w:sz w:val="24"/>
          <w:szCs w:val="24"/>
        </w:rPr>
      </w:pPr>
    </w:p>
    <w:p w14:paraId="0B706E68" w14:textId="77777777" w:rsidR="00843D25" w:rsidRPr="002A00D1" w:rsidRDefault="00843D25" w:rsidP="00843D25">
      <w:pPr>
        <w:widowControl/>
        <w:jc w:val="left"/>
        <w:rPr>
          <w:color w:val="000000" w:themeColor="text1"/>
        </w:rPr>
      </w:pPr>
      <w:r w:rsidRPr="002A00D1">
        <w:rPr>
          <w:color w:val="000000" w:themeColor="text1"/>
        </w:rPr>
        <w:br w:type="page"/>
      </w:r>
    </w:p>
    <w:p w14:paraId="16D67F7C" w14:textId="082B9834" w:rsidR="0079546B" w:rsidRPr="00FA0AEC" w:rsidRDefault="0079546B" w:rsidP="0079546B">
      <w:pPr>
        <w:pStyle w:val="ListParagraph"/>
        <w:numPr>
          <w:ilvl w:val="0"/>
          <w:numId w:val="1"/>
        </w:numPr>
        <w:spacing w:after="34" w:line="360" w:lineRule="auto"/>
        <w:ind w:right="3"/>
        <w:rPr>
          <w:rFonts w:ascii="Times New Roman" w:hAnsi="Times New Roman"/>
          <w:b/>
          <w:bCs/>
          <w:color w:val="000000" w:themeColor="text1"/>
          <w:sz w:val="24"/>
          <w:szCs w:val="24"/>
        </w:rPr>
      </w:pPr>
      <w:r w:rsidRPr="00FA0AEC">
        <w:rPr>
          <w:rFonts w:ascii="Times New Roman" w:hAnsi="Times New Roman"/>
          <w:b/>
          <w:bCs/>
          <w:color w:val="000000" w:themeColor="text1"/>
          <w:sz w:val="24"/>
          <w:szCs w:val="24"/>
        </w:rPr>
        <w:lastRenderedPageBreak/>
        <w:t xml:space="preserve">NOS Enzyme Inhibition Assay </w:t>
      </w:r>
      <w:r w:rsidR="00FD22DD" w:rsidRPr="00FA0AEC">
        <w:rPr>
          <w:rFonts w:ascii="Times New Roman" w:hAnsi="Times New Roman"/>
          <w:b/>
          <w:bCs/>
          <w:color w:val="000000" w:themeColor="text1"/>
          <w:sz w:val="24"/>
          <w:szCs w:val="24"/>
        </w:rPr>
        <w:t>Protocol</w:t>
      </w:r>
    </w:p>
    <w:p w14:paraId="290826F8" w14:textId="20990B01" w:rsidR="0079546B" w:rsidRPr="00FA0AEC" w:rsidRDefault="0079546B" w:rsidP="0079546B">
      <w:pPr>
        <w:spacing w:after="34" w:line="360" w:lineRule="auto"/>
        <w:ind w:left="-5" w:right="3"/>
        <w:rPr>
          <w:rFonts w:ascii="Times New Roman" w:hAnsi="Times New Roman"/>
          <w:color w:val="000000" w:themeColor="text1"/>
          <w:sz w:val="24"/>
          <w:szCs w:val="24"/>
        </w:rPr>
      </w:pPr>
      <w:r w:rsidRPr="00FA0AEC">
        <w:rPr>
          <w:rFonts w:ascii="Times New Roman" w:hAnsi="Times New Roman"/>
          <w:color w:val="000000" w:themeColor="text1"/>
          <w:sz w:val="24"/>
          <w:szCs w:val="24"/>
        </w:rPr>
        <w:t xml:space="preserve">The NOS inhibitory activity of </w:t>
      </w:r>
      <w:r w:rsidR="00F53F4A" w:rsidRPr="00FA0AEC">
        <w:rPr>
          <w:rFonts w:ascii="Times New Roman" w:eastAsia="Times New Roman" w:hAnsi="Times New Roman"/>
          <w:b/>
          <w:color w:val="000000" w:themeColor="text1"/>
          <w:sz w:val="24"/>
          <w:szCs w:val="24"/>
        </w:rPr>
        <w:t>1-21</w:t>
      </w:r>
      <w:r w:rsidRPr="00FA0AEC">
        <w:rPr>
          <w:rFonts w:ascii="Times New Roman" w:hAnsi="Times New Roman"/>
          <w:color w:val="000000" w:themeColor="text1"/>
          <w:sz w:val="24"/>
          <w:szCs w:val="24"/>
        </w:rPr>
        <w:t xml:space="preserve"> was measured by the hemoglobin (Hb) NO capture assay following a protocol described previously.</w:t>
      </w:r>
      <w:r w:rsidRPr="00FA0AEC">
        <w:rPr>
          <w:rFonts w:ascii="Times New Roman" w:hAnsi="Times New Roman"/>
          <w:color w:val="000000" w:themeColor="text1"/>
          <w:sz w:val="24"/>
          <w:szCs w:val="24"/>
          <w:vertAlign w:val="superscript"/>
        </w:rPr>
        <w:t>1-2</w:t>
      </w:r>
      <w:r w:rsidRPr="00FA0AEC">
        <w:rPr>
          <w:rFonts w:ascii="Times New Roman" w:eastAsia="Calibri" w:hAnsi="Times New Roman"/>
          <w:color w:val="000000" w:themeColor="text1"/>
          <w:sz w:val="24"/>
          <w:szCs w:val="24"/>
        </w:rPr>
        <w:t xml:space="preserve"> </w:t>
      </w:r>
      <w:r w:rsidRPr="00FA0AEC">
        <w:rPr>
          <w:rFonts w:ascii="Times New Roman" w:hAnsi="Times New Roman"/>
          <w:color w:val="000000" w:themeColor="text1"/>
          <w:sz w:val="24"/>
          <w:szCs w:val="24"/>
        </w:rPr>
        <w:t xml:space="preserve">The production of NO was monitored by </w:t>
      </w:r>
      <w:r w:rsidR="00145478" w:rsidRPr="00FA0AEC">
        <w:rPr>
          <w:rFonts w:ascii="Times New Roman" w:hAnsi="Times New Roman"/>
          <w:color w:val="000000" w:themeColor="text1"/>
          <w:sz w:val="24"/>
          <w:szCs w:val="24"/>
        </w:rPr>
        <w:t>the</w:t>
      </w:r>
      <w:r w:rsidRPr="00FA0AEC">
        <w:rPr>
          <w:rFonts w:ascii="Times New Roman" w:hAnsi="Times New Roman"/>
          <w:color w:val="000000" w:themeColor="text1"/>
          <w:sz w:val="24"/>
          <w:szCs w:val="24"/>
        </w:rPr>
        <w:t xml:space="preserve"> rapid oxidation of oxyhemoglobin (oxyHb) to methemoglobin (metHb) by NO.</w:t>
      </w:r>
      <w:r w:rsidRPr="00FA0AEC">
        <w:rPr>
          <w:rFonts w:ascii="Times New Roman" w:hAnsi="Times New Roman"/>
          <w:color w:val="000000" w:themeColor="text1"/>
          <w:sz w:val="24"/>
          <w:szCs w:val="24"/>
          <w:vertAlign w:val="superscript"/>
        </w:rPr>
        <w:t xml:space="preserve">1 </w:t>
      </w:r>
    </w:p>
    <w:p w14:paraId="38CBB05E" w14:textId="42DEFAD2" w:rsidR="0079546B" w:rsidRPr="00FA0AEC" w:rsidRDefault="00D304A3" w:rsidP="0079546B">
      <w:pPr>
        <w:spacing w:after="33" w:line="360" w:lineRule="auto"/>
        <w:ind w:left="-5" w:right="3"/>
        <w:rPr>
          <w:rFonts w:ascii="Times New Roman" w:hAnsi="Times New Roman"/>
          <w:color w:val="000000" w:themeColor="text1"/>
          <w:sz w:val="24"/>
          <w:szCs w:val="24"/>
          <w:vertAlign w:val="superscript"/>
        </w:rPr>
      </w:pPr>
      <w:r w:rsidRPr="00D304A3">
        <w:rPr>
          <w:rFonts w:ascii="Arial" w:eastAsia="Arial" w:hAnsi="Arial" w:cs="Arial"/>
          <w:noProof/>
          <w:color w:val="000000" w:themeColor="text1"/>
          <w:sz w:val="20"/>
        </w:rPr>
        <w:drawing>
          <wp:anchor distT="0" distB="0" distL="114300" distR="114300" simplePos="0" relativeHeight="251658240" behindDoc="0" locked="0" layoutInCell="1" allowOverlap="1" wp14:anchorId="00A5A3A3" wp14:editId="465CE097">
            <wp:simplePos x="0" y="0"/>
            <wp:positionH relativeFrom="column">
              <wp:posOffset>2886075</wp:posOffset>
            </wp:positionH>
            <wp:positionV relativeFrom="paragraph">
              <wp:posOffset>3620135</wp:posOffset>
            </wp:positionV>
            <wp:extent cx="1165860" cy="571500"/>
            <wp:effectExtent l="0" t="0" r="0" b="0"/>
            <wp:wrapThrough wrapText="bothSides">
              <wp:wrapPolygon edited="0">
                <wp:start x="0" y="0"/>
                <wp:lineTo x="0" y="20880"/>
                <wp:lineTo x="21176" y="20880"/>
                <wp:lineTo x="21176" y="0"/>
                <wp:lineTo x="0" y="0"/>
              </wp:wrapPolygon>
            </wp:wrapThrough>
            <wp:docPr id="7794836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483622" name=""/>
                    <pic:cNvPicPr/>
                  </pic:nvPicPr>
                  <pic:blipFill>
                    <a:blip r:embed="rId10"/>
                    <a:stretch>
                      <a:fillRect/>
                    </a:stretch>
                  </pic:blipFill>
                  <pic:spPr>
                    <a:xfrm>
                      <a:off x="0" y="0"/>
                      <a:ext cx="1165860" cy="571500"/>
                    </a:xfrm>
                    <a:prstGeom prst="rect">
                      <a:avLst/>
                    </a:prstGeom>
                  </pic:spPr>
                </pic:pic>
              </a:graphicData>
            </a:graphic>
          </wp:anchor>
        </w:drawing>
      </w:r>
      <w:r w:rsidR="0079546B" w:rsidRPr="00FA0AEC">
        <w:rPr>
          <w:rFonts w:ascii="Times New Roman" w:hAnsi="Times New Roman"/>
          <w:color w:val="000000" w:themeColor="text1"/>
          <w:sz w:val="24"/>
          <w:szCs w:val="24"/>
        </w:rPr>
        <w:t>Purified recombinant full-length NOSs, including rat nNOS (rnNOS),</w:t>
      </w:r>
      <w:r w:rsidR="0079546B" w:rsidRPr="00FA0AEC">
        <w:rPr>
          <w:rFonts w:ascii="Times New Roman" w:hAnsi="Times New Roman"/>
          <w:color w:val="000000" w:themeColor="text1"/>
          <w:sz w:val="24"/>
          <w:szCs w:val="24"/>
          <w:vertAlign w:val="superscript"/>
        </w:rPr>
        <w:t>3-4</w:t>
      </w:r>
      <w:r w:rsidR="0079546B" w:rsidRPr="00FA0AEC">
        <w:rPr>
          <w:rFonts w:ascii="Times New Roman" w:hAnsi="Times New Roman"/>
          <w:color w:val="000000" w:themeColor="text1"/>
          <w:sz w:val="24"/>
          <w:szCs w:val="24"/>
        </w:rPr>
        <w:t xml:space="preserve"> human nNOS (hnNOS),</w:t>
      </w:r>
      <w:r w:rsidR="0079546B" w:rsidRPr="00FA0AEC">
        <w:rPr>
          <w:rFonts w:ascii="Times New Roman" w:hAnsi="Times New Roman"/>
          <w:color w:val="000000" w:themeColor="text1"/>
          <w:sz w:val="24"/>
          <w:szCs w:val="24"/>
          <w:vertAlign w:val="superscript"/>
        </w:rPr>
        <w:t>5</w:t>
      </w:r>
      <w:r w:rsidR="0079546B" w:rsidRPr="00FA0AEC">
        <w:rPr>
          <w:rFonts w:ascii="Times New Roman" w:hAnsi="Times New Roman"/>
          <w:color w:val="000000" w:themeColor="text1"/>
          <w:sz w:val="24"/>
          <w:szCs w:val="24"/>
        </w:rPr>
        <w:t xml:space="preserve"> human iNOS (hiNOS),</w:t>
      </w:r>
      <w:r w:rsidR="0079546B" w:rsidRPr="00FA0AEC">
        <w:rPr>
          <w:rFonts w:ascii="Times New Roman" w:hAnsi="Times New Roman"/>
          <w:color w:val="000000" w:themeColor="text1"/>
          <w:sz w:val="24"/>
          <w:szCs w:val="24"/>
          <w:vertAlign w:val="superscript"/>
        </w:rPr>
        <w:t>6</w:t>
      </w:r>
      <w:r w:rsidR="0079546B" w:rsidRPr="00FA0AEC">
        <w:rPr>
          <w:rFonts w:ascii="Times New Roman" w:hAnsi="Times New Roman"/>
          <w:color w:val="000000" w:themeColor="text1"/>
          <w:sz w:val="24"/>
          <w:szCs w:val="24"/>
        </w:rPr>
        <w:t xml:space="preserve"> and human eNOS (heNOS),</w:t>
      </w:r>
      <w:r w:rsidR="0079546B" w:rsidRPr="00FA0AEC">
        <w:rPr>
          <w:rFonts w:ascii="Times New Roman" w:hAnsi="Times New Roman"/>
          <w:color w:val="000000" w:themeColor="text1"/>
          <w:sz w:val="24"/>
          <w:szCs w:val="24"/>
          <w:vertAlign w:val="superscript"/>
        </w:rPr>
        <w:t>5</w:t>
      </w:r>
      <w:r w:rsidR="0079546B" w:rsidRPr="00FA0AEC">
        <w:rPr>
          <w:rFonts w:ascii="Times New Roman" w:hAnsi="Times New Roman"/>
          <w:color w:val="000000" w:themeColor="text1"/>
          <w:sz w:val="24"/>
          <w:szCs w:val="24"/>
        </w:rPr>
        <w:t xml:space="preserve"> were used in activity assays. These proteins were expressed in </w:t>
      </w:r>
      <w:r w:rsidR="0079546B" w:rsidRPr="00FA0AEC">
        <w:rPr>
          <w:rFonts w:ascii="Times New Roman" w:eastAsia="Times New Roman" w:hAnsi="Times New Roman"/>
          <w:i/>
          <w:color w:val="000000" w:themeColor="text1"/>
          <w:sz w:val="24"/>
          <w:szCs w:val="24"/>
        </w:rPr>
        <w:t>Escherichia coli</w:t>
      </w:r>
      <w:r w:rsidR="0079546B" w:rsidRPr="00FA0AEC">
        <w:rPr>
          <w:rFonts w:ascii="Times New Roman" w:hAnsi="Times New Roman"/>
          <w:color w:val="000000" w:themeColor="text1"/>
          <w:sz w:val="24"/>
          <w:szCs w:val="24"/>
        </w:rPr>
        <w:t xml:space="preserve"> and purified as described previously.</w:t>
      </w:r>
      <w:r w:rsidR="0079546B" w:rsidRPr="00FA0AEC">
        <w:rPr>
          <w:rFonts w:ascii="Times New Roman" w:hAnsi="Times New Roman"/>
          <w:color w:val="000000" w:themeColor="text1"/>
          <w:sz w:val="24"/>
          <w:szCs w:val="24"/>
          <w:vertAlign w:val="superscript"/>
        </w:rPr>
        <w:t>3-6</w:t>
      </w:r>
      <w:r w:rsidR="0079546B" w:rsidRPr="00FA0AEC">
        <w:rPr>
          <w:rFonts w:ascii="Times New Roman" w:hAnsi="Times New Roman"/>
          <w:color w:val="000000" w:themeColor="text1"/>
          <w:sz w:val="24"/>
          <w:szCs w:val="24"/>
        </w:rPr>
        <w:t xml:space="preserve"> Activity assays were performed in 100 mM HEPES (4-(2-hydroxyethyl)-1</w:t>
      </w:r>
      <w:r w:rsidR="00145478" w:rsidRPr="00FA0AEC">
        <w:rPr>
          <w:rFonts w:ascii="Times New Roman" w:hAnsi="Times New Roman"/>
          <w:color w:val="000000" w:themeColor="text1"/>
          <w:sz w:val="24"/>
          <w:szCs w:val="24"/>
        </w:rPr>
        <w:t>-</w:t>
      </w:r>
      <w:r w:rsidR="0079546B" w:rsidRPr="00FA0AEC">
        <w:rPr>
          <w:rFonts w:ascii="Times New Roman" w:hAnsi="Times New Roman"/>
          <w:color w:val="000000" w:themeColor="text1"/>
          <w:sz w:val="24"/>
          <w:szCs w:val="24"/>
        </w:rPr>
        <w:t xml:space="preserve">piperazine-ethanesulfonic acid) buffer with 10% glycerol (pH 7.4-7.5) at 37 °C in the presence of 10 </w:t>
      </w:r>
      <w:r w:rsidR="0079546B" w:rsidRPr="00FA0AEC">
        <w:rPr>
          <w:rFonts w:ascii="Times New Roman" w:eastAsia="Times New Roman" w:hAnsi="Times New Roman"/>
          <w:i/>
          <w:color w:val="000000" w:themeColor="text1"/>
          <w:sz w:val="24"/>
          <w:szCs w:val="24"/>
        </w:rPr>
        <w:t>μ</w:t>
      </w:r>
      <w:r w:rsidR="0079546B" w:rsidRPr="00FA0AEC">
        <w:rPr>
          <w:rFonts w:ascii="Times New Roman" w:hAnsi="Times New Roman"/>
          <w:color w:val="000000" w:themeColor="text1"/>
          <w:sz w:val="24"/>
          <w:szCs w:val="24"/>
        </w:rPr>
        <w:t xml:space="preserve">M L-Arg, 10 </w:t>
      </w:r>
      <w:r w:rsidR="0079546B" w:rsidRPr="00FA0AEC">
        <w:rPr>
          <w:rFonts w:ascii="Times New Roman" w:eastAsia="Times New Roman" w:hAnsi="Times New Roman"/>
          <w:i/>
          <w:color w:val="000000" w:themeColor="text1"/>
          <w:sz w:val="24"/>
          <w:szCs w:val="24"/>
        </w:rPr>
        <w:t>μ</w:t>
      </w:r>
      <w:r w:rsidR="0079546B" w:rsidRPr="00FA0AEC">
        <w:rPr>
          <w:rFonts w:ascii="Times New Roman" w:hAnsi="Times New Roman"/>
          <w:color w:val="000000" w:themeColor="text1"/>
          <w:sz w:val="24"/>
          <w:szCs w:val="24"/>
        </w:rPr>
        <w:t>M H</w:t>
      </w:r>
      <w:r w:rsidR="0079546B" w:rsidRPr="00FA0AEC">
        <w:rPr>
          <w:rFonts w:ascii="Times New Roman" w:hAnsi="Times New Roman"/>
          <w:color w:val="000000" w:themeColor="text1"/>
          <w:sz w:val="24"/>
          <w:szCs w:val="24"/>
          <w:vertAlign w:val="subscript"/>
        </w:rPr>
        <w:t>4</w:t>
      </w:r>
      <w:r w:rsidR="0079546B" w:rsidRPr="00FA0AEC">
        <w:rPr>
          <w:rFonts w:ascii="Times New Roman" w:hAnsi="Times New Roman"/>
          <w:color w:val="000000" w:themeColor="text1"/>
          <w:sz w:val="24"/>
          <w:szCs w:val="24"/>
        </w:rPr>
        <w:t xml:space="preserve">B, 100 </w:t>
      </w:r>
      <w:r w:rsidR="0079546B" w:rsidRPr="00FA0AEC">
        <w:rPr>
          <w:rFonts w:ascii="Times New Roman" w:eastAsia="Times New Roman" w:hAnsi="Times New Roman"/>
          <w:i/>
          <w:color w:val="000000" w:themeColor="text1"/>
          <w:sz w:val="24"/>
          <w:szCs w:val="24"/>
        </w:rPr>
        <w:t>μ</w:t>
      </w:r>
      <w:r w:rsidR="0079546B" w:rsidRPr="00FA0AEC">
        <w:rPr>
          <w:rFonts w:ascii="Times New Roman" w:hAnsi="Times New Roman"/>
          <w:color w:val="000000" w:themeColor="text1"/>
          <w:sz w:val="24"/>
          <w:szCs w:val="24"/>
        </w:rPr>
        <w:t>M NADPH, 0.83 mM CaCl</w:t>
      </w:r>
      <w:r w:rsidR="0079546B" w:rsidRPr="00FA0AEC">
        <w:rPr>
          <w:rFonts w:ascii="Times New Roman" w:hAnsi="Times New Roman"/>
          <w:color w:val="000000" w:themeColor="text1"/>
          <w:sz w:val="24"/>
          <w:szCs w:val="24"/>
          <w:vertAlign w:val="subscript"/>
        </w:rPr>
        <w:t>2</w:t>
      </w:r>
      <w:r w:rsidR="0079546B" w:rsidRPr="00FA0AEC">
        <w:rPr>
          <w:rFonts w:ascii="Times New Roman" w:hAnsi="Times New Roman"/>
          <w:color w:val="000000" w:themeColor="text1"/>
          <w:sz w:val="24"/>
          <w:szCs w:val="24"/>
        </w:rPr>
        <w:t xml:space="preserve">, 320 units/mL calmodulin, and 3 </w:t>
      </w:r>
      <w:r w:rsidR="0079546B" w:rsidRPr="00FA0AEC">
        <w:rPr>
          <w:rFonts w:ascii="Times New Roman" w:eastAsia="Times New Roman" w:hAnsi="Times New Roman"/>
          <w:i/>
          <w:color w:val="000000" w:themeColor="text1"/>
          <w:sz w:val="24"/>
          <w:szCs w:val="24"/>
        </w:rPr>
        <w:t>μ</w:t>
      </w:r>
      <w:r w:rsidR="0079546B" w:rsidRPr="00FA0AEC">
        <w:rPr>
          <w:rFonts w:ascii="Times New Roman" w:hAnsi="Times New Roman"/>
          <w:color w:val="000000" w:themeColor="text1"/>
          <w:sz w:val="24"/>
          <w:szCs w:val="24"/>
        </w:rPr>
        <w:t xml:space="preserve">M human oxyhemoglobin. A concentration of L-Arg of 10 </w:t>
      </w:r>
      <w:r w:rsidR="0079546B" w:rsidRPr="00FA0AEC">
        <w:rPr>
          <w:rFonts w:ascii="Times New Roman" w:eastAsia="Times New Roman" w:hAnsi="Times New Roman"/>
          <w:i/>
          <w:color w:val="000000" w:themeColor="text1"/>
          <w:sz w:val="24"/>
          <w:szCs w:val="24"/>
        </w:rPr>
        <w:t>μ</w:t>
      </w:r>
      <w:r w:rsidR="0079546B" w:rsidRPr="00FA0AEC">
        <w:rPr>
          <w:rFonts w:ascii="Times New Roman" w:hAnsi="Times New Roman"/>
          <w:color w:val="000000" w:themeColor="text1"/>
          <w:sz w:val="24"/>
          <w:szCs w:val="24"/>
        </w:rPr>
        <w:t xml:space="preserve">M was used as it does not cause NOS uncoupling and is close to the </w:t>
      </w:r>
      <w:r w:rsidR="0079546B" w:rsidRPr="00FA0AEC">
        <w:rPr>
          <w:rFonts w:ascii="Times New Roman" w:eastAsia="Times New Roman" w:hAnsi="Times New Roman"/>
          <w:i/>
          <w:color w:val="000000" w:themeColor="text1"/>
          <w:sz w:val="24"/>
          <w:szCs w:val="24"/>
        </w:rPr>
        <w:t>K</w:t>
      </w:r>
      <w:r w:rsidR="0079546B" w:rsidRPr="00FA0AEC">
        <w:rPr>
          <w:rFonts w:ascii="Times New Roman" w:hAnsi="Times New Roman"/>
          <w:color w:val="000000" w:themeColor="text1"/>
          <w:sz w:val="24"/>
          <w:szCs w:val="24"/>
          <w:vertAlign w:val="subscript"/>
        </w:rPr>
        <w:t>m</w:t>
      </w:r>
      <w:r w:rsidR="0079546B" w:rsidRPr="00FA0AEC">
        <w:rPr>
          <w:rFonts w:ascii="Times New Roman" w:hAnsi="Times New Roman"/>
          <w:color w:val="000000" w:themeColor="text1"/>
          <w:sz w:val="24"/>
          <w:szCs w:val="24"/>
        </w:rPr>
        <w:t xml:space="preserve"> values of all three NOS isoforms so that competitive inhibitors can be detected effectively. In the case of iNOS, CaCl</w:t>
      </w:r>
      <w:r w:rsidR="0079546B" w:rsidRPr="00FA0AEC">
        <w:rPr>
          <w:rFonts w:ascii="Times New Roman" w:hAnsi="Times New Roman"/>
          <w:color w:val="000000" w:themeColor="text1"/>
          <w:sz w:val="24"/>
          <w:szCs w:val="24"/>
          <w:vertAlign w:val="subscript"/>
        </w:rPr>
        <w:t xml:space="preserve">2 </w:t>
      </w:r>
      <w:r w:rsidR="0079546B" w:rsidRPr="00FA0AEC">
        <w:rPr>
          <w:rFonts w:ascii="Times New Roman" w:hAnsi="Times New Roman"/>
          <w:color w:val="000000" w:themeColor="text1"/>
          <w:sz w:val="24"/>
          <w:szCs w:val="24"/>
        </w:rPr>
        <w:t>and calmodulin were omitted and replaced by HEPES buffer (100 mM, 10 % glycerol, pH 7.4-7.5) because iNOS activation is calcium-independent. The assay was performed in 96-well plates using a Biotek Gen5 microplate reader, with NOS enzymes and hemoglobin dispensed automatically by the plate reader. NO production was kinetically monitored at 401 nm for 6 min. The inhibition constants (</w:t>
      </w:r>
      <w:r w:rsidR="0079546B" w:rsidRPr="00FA0AEC">
        <w:rPr>
          <w:rFonts w:ascii="Times New Roman" w:eastAsia="Times New Roman" w:hAnsi="Times New Roman"/>
          <w:i/>
          <w:color w:val="000000" w:themeColor="text1"/>
          <w:sz w:val="24"/>
          <w:szCs w:val="24"/>
        </w:rPr>
        <w:t>K</w:t>
      </w:r>
      <w:r w:rsidR="0079546B" w:rsidRPr="00FA0AEC">
        <w:rPr>
          <w:rFonts w:ascii="Times New Roman" w:hAnsi="Times New Roman"/>
          <w:color w:val="000000" w:themeColor="text1"/>
          <w:sz w:val="24"/>
          <w:szCs w:val="24"/>
          <w:vertAlign w:val="subscript"/>
        </w:rPr>
        <w:t>i</w:t>
      </w:r>
      <w:r w:rsidR="0079546B" w:rsidRPr="00FA0AEC">
        <w:rPr>
          <w:rFonts w:ascii="Times New Roman" w:hAnsi="Times New Roman"/>
          <w:color w:val="000000" w:themeColor="text1"/>
          <w:sz w:val="24"/>
          <w:szCs w:val="24"/>
        </w:rPr>
        <w:t>) for all NOSs were calculated from the IC</w:t>
      </w:r>
      <w:r w:rsidR="0079546B" w:rsidRPr="00FA0AEC">
        <w:rPr>
          <w:rFonts w:ascii="Times New Roman" w:hAnsi="Times New Roman"/>
          <w:color w:val="000000" w:themeColor="text1"/>
          <w:sz w:val="24"/>
          <w:szCs w:val="24"/>
          <w:vertAlign w:val="subscript"/>
        </w:rPr>
        <w:t>50</w:t>
      </w:r>
      <w:r w:rsidR="0079546B" w:rsidRPr="00FA0AEC">
        <w:rPr>
          <w:rFonts w:ascii="Times New Roman" w:hAnsi="Times New Roman"/>
          <w:color w:val="000000" w:themeColor="text1"/>
          <w:sz w:val="24"/>
          <w:szCs w:val="24"/>
        </w:rPr>
        <w:t xml:space="preserve"> values of the dose-response curves using the Cheng-Prusoff equation,</w:t>
      </w:r>
      <w:r w:rsidR="0079546B" w:rsidRPr="00FA0AEC">
        <w:rPr>
          <w:rFonts w:ascii="Times New Roman" w:hAnsi="Times New Roman"/>
          <w:color w:val="000000" w:themeColor="text1"/>
          <w:sz w:val="24"/>
          <w:szCs w:val="24"/>
          <w:vertAlign w:val="superscript"/>
        </w:rPr>
        <w:t>7</w:t>
      </w:r>
    </w:p>
    <w:p w14:paraId="5D0F862C" w14:textId="036E8B34" w:rsidR="0079546B" w:rsidRPr="00FA0AEC" w:rsidRDefault="0079546B" w:rsidP="0079546B">
      <w:pPr>
        <w:spacing w:after="730" w:line="226" w:lineRule="auto"/>
        <w:ind w:left="3588" w:right="3938" w:firstLine="751"/>
        <w:jc w:val="left"/>
        <w:rPr>
          <w:rFonts w:ascii="Arial" w:eastAsia="Arial" w:hAnsi="Arial" w:cs="Arial"/>
          <w:color w:val="000000" w:themeColor="text1"/>
          <w:sz w:val="20"/>
        </w:rPr>
      </w:pPr>
    </w:p>
    <w:p w14:paraId="4832D34E" w14:textId="6409E47D" w:rsidR="00601D3C" w:rsidRPr="00FA0AEC" w:rsidRDefault="0079546B" w:rsidP="00D304A3">
      <w:pPr>
        <w:spacing w:after="403" w:line="360" w:lineRule="auto"/>
        <w:ind w:right="3"/>
        <w:rPr>
          <w:rFonts w:ascii="Times New Roman" w:hAnsi="Times New Roman"/>
          <w:color w:val="000000" w:themeColor="text1"/>
          <w:sz w:val="24"/>
          <w:szCs w:val="24"/>
        </w:rPr>
      </w:pPr>
      <w:bookmarkStart w:id="0" w:name="_Hlk187158534"/>
      <w:r w:rsidRPr="00FA0AEC">
        <w:rPr>
          <w:rFonts w:ascii="Times New Roman" w:hAnsi="Times New Roman"/>
          <w:color w:val="000000" w:themeColor="text1"/>
          <w:sz w:val="24"/>
          <w:szCs w:val="24"/>
        </w:rPr>
        <w:t xml:space="preserve">where </w:t>
      </w:r>
      <w:r w:rsidRPr="00FA0AEC">
        <w:rPr>
          <w:rFonts w:ascii="Times New Roman" w:eastAsia="Times New Roman" w:hAnsi="Times New Roman"/>
          <w:i/>
          <w:color w:val="000000" w:themeColor="text1"/>
          <w:sz w:val="24"/>
          <w:szCs w:val="24"/>
        </w:rPr>
        <w:t>K</w:t>
      </w:r>
      <w:r w:rsidRPr="00FA0AEC">
        <w:rPr>
          <w:rFonts w:ascii="Times New Roman" w:hAnsi="Times New Roman"/>
          <w:color w:val="000000" w:themeColor="text1"/>
          <w:sz w:val="24"/>
          <w:szCs w:val="24"/>
          <w:vertAlign w:val="subscript"/>
        </w:rPr>
        <w:t>m</w:t>
      </w:r>
      <w:r w:rsidRPr="00FA0AEC">
        <w:rPr>
          <w:rFonts w:ascii="Times New Roman" w:hAnsi="Times New Roman"/>
          <w:color w:val="000000" w:themeColor="text1"/>
          <w:sz w:val="24"/>
          <w:szCs w:val="24"/>
        </w:rPr>
        <w:t xml:space="preserve"> is the</w:t>
      </w:r>
      <w:r w:rsidRPr="00FA0AEC">
        <w:rPr>
          <w:rFonts w:ascii="Times New Roman" w:eastAsia="Calibri" w:hAnsi="Times New Roman"/>
          <w:color w:val="000000" w:themeColor="text1"/>
          <w:sz w:val="24"/>
          <w:szCs w:val="24"/>
        </w:rPr>
        <w:t xml:space="preserve"> </w:t>
      </w:r>
      <w:r w:rsidRPr="00FA0AEC">
        <w:rPr>
          <w:rFonts w:ascii="Times New Roman" w:hAnsi="Times New Roman"/>
          <w:color w:val="000000" w:themeColor="text1"/>
          <w:sz w:val="24"/>
          <w:szCs w:val="24"/>
        </w:rPr>
        <w:t xml:space="preserve">Michaelis constant: </w:t>
      </w:r>
      <w:r w:rsidRPr="00FA0AEC">
        <w:rPr>
          <w:rFonts w:ascii="Times New Roman" w:eastAsia="Times New Roman" w:hAnsi="Times New Roman"/>
          <w:i/>
          <w:color w:val="000000" w:themeColor="text1"/>
          <w:sz w:val="24"/>
          <w:szCs w:val="24"/>
        </w:rPr>
        <w:t>K</w:t>
      </w:r>
      <w:r w:rsidRPr="00FA0AEC">
        <w:rPr>
          <w:rFonts w:ascii="Times New Roman" w:hAnsi="Times New Roman"/>
          <w:color w:val="000000" w:themeColor="text1"/>
          <w:sz w:val="24"/>
          <w:szCs w:val="24"/>
          <w:vertAlign w:val="subscript"/>
        </w:rPr>
        <w:t>m</w:t>
      </w:r>
      <w:r w:rsidRPr="00FA0AEC">
        <w:rPr>
          <w:rFonts w:ascii="Times New Roman" w:hAnsi="Times New Roman"/>
          <w:color w:val="000000" w:themeColor="text1"/>
          <w:sz w:val="24"/>
          <w:szCs w:val="24"/>
        </w:rPr>
        <w:t xml:space="preserve"> </w:t>
      </w:r>
      <w:r w:rsidRPr="00FA0AEC">
        <w:rPr>
          <w:rFonts w:ascii="Times New Roman" w:hAnsi="Times New Roman"/>
          <w:color w:val="000000" w:themeColor="text1"/>
          <w:sz w:val="24"/>
          <w:szCs w:val="24"/>
          <w:vertAlign w:val="subscript"/>
        </w:rPr>
        <w:t>(hnNOS)</w:t>
      </w:r>
      <w:r w:rsidRPr="00FA0AEC">
        <w:rPr>
          <w:rFonts w:ascii="Times New Roman" w:hAnsi="Times New Roman"/>
          <w:color w:val="000000" w:themeColor="text1"/>
          <w:sz w:val="24"/>
          <w:szCs w:val="24"/>
        </w:rPr>
        <w:t xml:space="preserve"> = 1.6 </w:t>
      </w:r>
      <w:r w:rsidRPr="00FA0AEC">
        <w:rPr>
          <w:rFonts w:ascii="Times New Roman" w:eastAsia="Times New Roman" w:hAnsi="Times New Roman"/>
          <w:i/>
          <w:color w:val="000000" w:themeColor="text1"/>
          <w:sz w:val="24"/>
          <w:szCs w:val="24"/>
        </w:rPr>
        <w:t>μ</w:t>
      </w:r>
      <w:r w:rsidRPr="00FA0AEC">
        <w:rPr>
          <w:rFonts w:ascii="Times New Roman" w:hAnsi="Times New Roman"/>
          <w:color w:val="000000" w:themeColor="text1"/>
          <w:sz w:val="24"/>
          <w:szCs w:val="24"/>
        </w:rPr>
        <w:t xml:space="preserve">M; </w:t>
      </w:r>
      <w:r w:rsidRPr="00FA0AEC">
        <w:rPr>
          <w:rFonts w:ascii="Times New Roman" w:eastAsia="Times New Roman" w:hAnsi="Times New Roman"/>
          <w:i/>
          <w:color w:val="000000" w:themeColor="text1"/>
          <w:sz w:val="24"/>
          <w:szCs w:val="24"/>
        </w:rPr>
        <w:t>K</w:t>
      </w:r>
      <w:r w:rsidRPr="00FA0AEC">
        <w:rPr>
          <w:rFonts w:ascii="Times New Roman" w:hAnsi="Times New Roman"/>
          <w:color w:val="000000" w:themeColor="text1"/>
          <w:sz w:val="24"/>
          <w:szCs w:val="24"/>
          <w:vertAlign w:val="subscript"/>
        </w:rPr>
        <w:t>m</w:t>
      </w:r>
      <w:r w:rsidRPr="00FA0AEC">
        <w:rPr>
          <w:rFonts w:ascii="Times New Roman" w:hAnsi="Times New Roman"/>
          <w:color w:val="000000" w:themeColor="text1"/>
          <w:sz w:val="24"/>
          <w:szCs w:val="24"/>
        </w:rPr>
        <w:t xml:space="preserve"> </w:t>
      </w:r>
      <w:r w:rsidRPr="00FA0AEC">
        <w:rPr>
          <w:rFonts w:ascii="Times New Roman" w:hAnsi="Times New Roman"/>
          <w:color w:val="000000" w:themeColor="text1"/>
          <w:sz w:val="24"/>
          <w:szCs w:val="24"/>
          <w:vertAlign w:val="subscript"/>
        </w:rPr>
        <w:t>(rnNOS)</w:t>
      </w:r>
      <w:r w:rsidRPr="00FA0AEC">
        <w:rPr>
          <w:rFonts w:ascii="Times New Roman" w:hAnsi="Times New Roman"/>
          <w:color w:val="000000" w:themeColor="text1"/>
          <w:sz w:val="24"/>
          <w:szCs w:val="24"/>
        </w:rPr>
        <w:t xml:space="preserve"> = 1.3 </w:t>
      </w:r>
      <w:r w:rsidRPr="00FA0AEC">
        <w:rPr>
          <w:rFonts w:ascii="Times New Roman" w:eastAsia="Times New Roman" w:hAnsi="Times New Roman"/>
          <w:i/>
          <w:color w:val="000000" w:themeColor="text1"/>
          <w:sz w:val="24"/>
          <w:szCs w:val="24"/>
        </w:rPr>
        <w:t>μ</w:t>
      </w:r>
      <w:r w:rsidRPr="00FA0AEC">
        <w:rPr>
          <w:rFonts w:ascii="Times New Roman" w:hAnsi="Times New Roman"/>
          <w:color w:val="000000" w:themeColor="text1"/>
          <w:sz w:val="24"/>
          <w:szCs w:val="24"/>
        </w:rPr>
        <w:t xml:space="preserve">M; </w:t>
      </w:r>
      <w:r w:rsidRPr="00FA0AEC">
        <w:rPr>
          <w:rFonts w:ascii="Times New Roman" w:eastAsia="Times New Roman" w:hAnsi="Times New Roman"/>
          <w:i/>
          <w:color w:val="000000" w:themeColor="text1"/>
          <w:sz w:val="24"/>
          <w:szCs w:val="24"/>
        </w:rPr>
        <w:t>K</w:t>
      </w:r>
      <w:r w:rsidRPr="00FA0AEC">
        <w:rPr>
          <w:rFonts w:ascii="Times New Roman" w:hAnsi="Times New Roman"/>
          <w:color w:val="000000" w:themeColor="text1"/>
          <w:sz w:val="24"/>
          <w:szCs w:val="24"/>
          <w:vertAlign w:val="subscript"/>
        </w:rPr>
        <w:t>m</w:t>
      </w:r>
      <w:r w:rsidRPr="00FA0AEC">
        <w:rPr>
          <w:rFonts w:ascii="Times New Roman" w:hAnsi="Times New Roman"/>
          <w:color w:val="000000" w:themeColor="text1"/>
          <w:sz w:val="24"/>
          <w:szCs w:val="24"/>
        </w:rPr>
        <w:t xml:space="preserve"> </w:t>
      </w:r>
      <w:r w:rsidRPr="00FA0AEC">
        <w:rPr>
          <w:rFonts w:ascii="Times New Roman" w:hAnsi="Times New Roman"/>
          <w:color w:val="000000" w:themeColor="text1"/>
          <w:sz w:val="24"/>
          <w:szCs w:val="24"/>
          <w:vertAlign w:val="subscript"/>
        </w:rPr>
        <w:t>(hiNOS)</w:t>
      </w:r>
      <w:r w:rsidRPr="00FA0AEC">
        <w:rPr>
          <w:rFonts w:ascii="Times New Roman" w:hAnsi="Times New Roman"/>
          <w:color w:val="000000" w:themeColor="text1"/>
          <w:sz w:val="24"/>
          <w:szCs w:val="24"/>
        </w:rPr>
        <w:t xml:space="preserve"> = 8 </w:t>
      </w:r>
      <w:r w:rsidRPr="00FA0AEC">
        <w:rPr>
          <w:rFonts w:ascii="Times New Roman" w:eastAsia="Times New Roman" w:hAnsi="Times New Roman"/>
          <w:i/>
          <w:color w:val="000000" w:themeColor="text1"/>
          <w:sz w:val="24"/>
          <w:szCs w:val="24"/>
        </w:rPr>
        <w:t>μ</w:t>
      </w:r>
      <w:r w:rsidRPr="00FA0AEC">
        <w:rPr>
          <w:rFonts w:ascii="Times New Roman" w:hAnsi="Times New Roman"/>
          <w:color w:val="000000" w:themeColor="text1"/>
          <w:sz w:val="24"/>
          <w:szCs w:val="24"/>
        </w:rPr>
        <w:t xml:space="preserve">M; </w:t>
      </w:r>
      <w:r w:rsidRPr="00FA0AEC">
        <w:rPr>
          <w:rFonts w:ascii="Times New Roman" w:eastAsia="Times New Roman" w:hAnsi="Times New Roman"/>
          <w:i/>
          <w:color w:val="000000" w:themeColor="text1"/>
          <w:sz w:val="24"/>
          <w:szCs w:val="24"/>
        </w:rPr>
        <w:t>K</w:t>
      </w:r>
      <w:r w:rsidRPr="00FA0AEC">
        <w:rPr>
          <w:rFonts w:ascii="Times New Roman" w:hAnsi="Times New Roman"/>
          <w:color w:val="000000" w:themeColor="text1"/>
          <w:sz w:val="24"/>
          <w:szCs w:val="24"/>
          <w:vertAlign w:val="subscript"/>
        </w:rPr>
        <w:t>m</w:t>
      </w:r>
      <w:r w:rsidRPr="00FA0AEC">
        <w:rPr>
          <w:rFonts w:ascii="Times New Roman" w:hAnsi="Times New Roman"/>
          <w:color w:val="000000" w:themeColor="text1"/>
          <w:sz w:val="24"/>
          <w:szCs w:val="24"/>
        </w:rPr>
        <w:t xml:space="preserve"> </w:t>
      </w:r>
      <w:r w:rsidRPr="00FA0AEC">
        <w:rPr>
          <w:rFonts w:ascii="Times New Roman" w:hAnsi="Times New Roman"/>
          <w:color w:val="000000" w:themeColor="text1"/>
          <w:sz w:val="24"/>
          <w:szCs w:val="24"/>
          <w:vertAlign w:val="subscript"/>
        </w:rPr>
        <w:t>(heNOS)</w:t>
      </w:r>
      <w:r w:rsidRPr="00FA0AEC">
        <w:rPr>
          <w:rFonts w:ascii="Times New Roman" w:hAnsi="Times New Roman"/>
          <w:color w:val="000000" w:themeColor="text1"/>
          <w:sz w:val="24"/>
          <w:szCs w:val="24"/>
        </w:rPr>
        <w:t xml:space="preserve"> = 3.9 </w:t>
      </w:r>
      <w:r w:rsidRPr="00FA0AEC">
        <w:rPr>
          <w:rFonts w:ascii="Times New Roman" w:eastAsia="Times New Roman" w:hAnsi="Times New Roman"/>
          <w:i/>
          <w:color w:val="000000" w:themeColor="text1"/>
          <w:sz w:val="24"/>
          <w:szCs w:val="24"/>
        </w:rPr>
        <w:t>μ</w:t>
      </w:r>
      <w:r w:rsidRPr="00FA0AEC">
        <w:rPr>
          <w:rFonts w:ascii="Times New Roman" w:hAnsi="Times New Roman"/>
          <w:color w:val="000000" w:themeColor="text1"/>
          <w:sz w:val="24"/>
          <w:szCs w:val="24"/>
        </w:rPr>
        <w:t>M.</w:t>
      </w:r>
      <w:r w:rsidRPr="00FA0AEC">
        <w:rPr>
          <w:rFonts w:ascii="Times New Roman" w:hAnsi="Times New Roman"/>
          <w:color w:val="000000" w:themeColor="text1"/>
          <w:sz w:val="24"/>
          <w:szCs w:val="24"/>
          <w:vertAlign w:val="superscript"/>
        </w:rPr>
        <w:t>8</w:t>
      </w:r>
      <w:r w:rsidRPr="00FA0AEC">
        <w:rPr>
          <w:rFonts w:ascii="Times New Roman" w:hAnsi="Times New Roman"/>
          <w:color w:val="000000" w:themeColor="text1"/>
          <w:sz w:val="24"/>
          <w:szCs w:val="24"/>
        </w:rPr>
        <w:t xml:space="preserve"> </w:t>
      </w:r>
      <w:r w:rsidRPr="00FA0AEC">
        <w:rPr>
          <w:rFonts w:ascii="Times New Roman" w:eastAsia="Times New Roman" w:hAnsi="Times New Roman"/>
          <w:color w:val="000000" w:themeColor="text1"/>
          <w:sz w:val="24"/>
          <w:szCs w:val="24"/>
        </w:rPr>
        <w:t>Dose−response</w:t>
      </w:r>
      <w:r w:rsidRPr="00FA0AEC">
        <w:rPr>
          <w:rFonts w:ascii="Times New Roman" w:hAnsi="Times New Roman"/>
          <w:color w:val="000000" w:themeColor="text1"/>
          <w:sz w:val="24"/>
          <w:szCs w:val="24"/>
        </w:rPr>
        <w:t xml:space="preserve"> curves were constructed from ten to eleven test concentrations (10 mM to 10 nM), and IC</w:t>
      </w:r>
      <w:r w:rsidRPr="00FA0AEC">
        <w:rPr>
          <w:rFonts w:ascii="Times New Roman" w:hAnsi="Times New Roman"/>
          <w:color w:val="000000" w:themeColor="text1"/>
          <w:sz w:val="24"/>
          <w:szCs w:val="24"/>
          <w:vertAlign w:val="subscript"/>
        </w:rPr>
        <w:t>50</w:t>
      </w:r>
      <w:r w:rsidRPr="00FA0AEC">
        <w:rPr>
          <w:rFonts w:ascii="Times New Roman" w:hAnsi="Times New Roman"/>
          <w:color w:val="000000" w:themeColor="text1"/>
          <w:sz w:val="24"/>
          <w:szCs w:val="24"/>
        </w:rPr>
        <w:t xml:space="preserve"> values were calculated by nonlinear regression using GraphPad Prism software. The calculated standard deviations from </w:t>
      </w:r>
      <w:r w:rsidRPr="00FA0AEC">
        <w:rPr>
          <w:rFonts w:ascii="Times New Roman" w:eastAsia="Times New Roman" w:hAnsi="Times New Roman"/>
          <w:color w:val="000000" w:themeColor="text1"/>
          <w:sz w:val="24"/>
          <w:szCs w:val="24"/>
        </w:rPr>
        <w:t>dose−response</w:t>
      </w:r>
      <w:r w:rsidRPr="00FA0AEC">
        <w:rPr>
          <w:rFonts w:ascii="Times New Roman" w:hAnsi="Times New Roman"/>
          <w:color w:val="000000" w:themeColor="text1"/>
          <w:sz w:val="24"/>
          <w:szCs w:val="24"/>
        </w:rPr>
        <w:t xml:space="preserve"> curves of the assays were less than 10% with all NOSs</w:t>
      </w:r>
      <w:bookmarkEnd w:id="0"/>
      <w:r w:rsidRPr="00FA0AEC">
        <w:rPr>
          <w:rFonts w:ascii="Times New Roman" w:hAnsi="Times New Roman"/>
          <w:color w:val="000000" w:themeColor="text1"/>
          <w:sz w:val="24"/>
          <w:szCs w:val="24"/>
        </w:rPr>
        <w:t xml:space="preserve">. </w:t>
      </w:r>
    </w:p>
    <w:p w14:paraId="1C61A5FF" w14:textId="7A9900FD" w:rsidR="005530BB" w:rsidRPr="00FA0AEC" w:rsidRDefault="00722D0B" w:rsidP="0079546B">
      <w:pPr>
        <w:spacing w:after="403" w:line="360" w:lineRule="auto"/>
        <w:ind w:left="-5" w:right="3"/>
        <w:rPr>
          <w:rFonts w:ascii="Times New Roman" w:hAnsi="Times New Roman"/>
          <w:b/>
          <w:bCs/>
          <w:color w:val="000000" w:themeColor="text1"/>
          <w:sz w:val="24"/>
          <w:szCs w:val="24"/>
        </w:rPr>
      </w:pPr>
      <w:r w:rsidRPr="00FA0AEC">
        <w:rPr>
          <w:rFonts w:ascii="Times New Roman" w:hAnsi="Times New Roman"/>
          <w:b/>
          <w:bCs/>
          <w:color w:val="000000" w:themeColor="text1"/>
          <w:sz w:val="24"/>
          <w:szCs w:val="24"/>
        </w:rPr>
        <w:t xml:space="preserve">2.  </w:t>
      </w:r>
      <w:r w:rsidR="005530BB" w:rsidRPr="00FA0AEC">
        <w:rPr>
          <w:rFonts w:ascii="Times New Roman" w:hAnsi="Times New Roman"/>
          <w:b/>
          <w:bCs/>
          <w:color w:val="000000" w:themeColor="text1"/>
          <w:sz w:val="24"/>
          <w:szCs w:val="24"/>
        </w:rPr>
        <w:t xml:space="preserve">PAMPA-BBB Assay </w:t>
      </w:r>
      <w:r w:rsidR="009A4BDC" w:rsidRPr="00FA0AEC">
        <w:rPr>
          <w:rFonts w:ascii="Times New Roman" w:hAnsi="Times New Roman"/>
          <w:b/>
          <w:bCs/>
          <w:color w:val="000000" w:themeColor="text1"/>
          <w:sz w:val="24"/>
          <w:szCs w:val="24"/>
        </w:rPr>
        <w:t>Pro</w:t>
      </w:r>
      <w:r w:rsidR="00FD22DD" w:rsidRPr="00FA0AEC">
        <w:rPr>
          <w:rFonts w:ascii="Times New Roman" w:hAnsi="Times New Roman"/>
          <w:b/>
          <w:bCs/>
          <w:color w:val="000000" w:themeColor="text1"/>
          <w:sz w:val="24"/>
          <w:szCs w:val="24"/>
        </w:rPr>
        <w:t>tocol</w:t>
      </w:r>
    </w:p>
    <w:p w14:paraId="0AB5A070" w14:textId="7E56A71C" w:rsidR="005530BB" w:rsidRPr="00FA0AEC" w:rsidRDefault="005530BB" w:rsidP="0079546B">
      <w:pPr>
        <w:spacing w:after="403" w:line="360" w:lineRule="auto"/>
        <w:ind w:left="-5" w:right="3"/>
        <w:rPr>
          <w:rFonts w:ascii="Times New Roman" w:hAnsi="Times New Roman"/>
          <w:color w:val="000000" w:themeColor="text1"/>
          <w:sz w:val="24"/>
          <w:szCs w:val="24"/>
        </w:rPr>
      </w:pPr>
      <w:r w:rsidRPr="00FA0AEC">
        <w:rPr>
          <w:rFonts w:ascii="Times New Roman" w:hAnsi="Times New Roman"/>
          <w:color w:val="000000" w:themeColor="text1"/>
          <w:sz w:val="24"/>
          <w:szCs w:val="24"/>
        </w:rPr>
        <w:t>Blood-brain barrier penetration was estimated using the PAMPA−BBB assay, in which a porcine brain lipid (PBL) was used as an artificial membrane.</w:t>
      </w:r>
      <w:r w:rsidRPr="00FA0AEC">
        <w:rPr>
          <w:rFonts w:ascii="Times New Roman" w:hAnsi="Times New Roman"/>
          <w:color w:val="000000" w:themeColor="text1"/>
          <w:sz w:val="24"/>
          <w:szCs w:val="24"/>
          <w:vertAlign w:val="superscript"/>
        </w:rPr>
        <w:t>9-11</w:t>
      </w:r>
      <w:r w:rsidRPr="00FA0AEC">
        <w:rPr>
          <w:rFonts w:ascii="Times New Roman" w:hAnsi="Times New Roman"/>
          <w:color w:val="000000" w:themeColor="text1"/>
          <w:sz w:val="24"/>
          <w:szCs w:val="24"/>
        </w:rPr>
        <w:t xml:space="preserve"> The five commercial drugs, (±)-verapamil, desipramine, chlorpromazine, dopamine, and theophylline; phosphate buffer saline (PBS, 10 mM); </w:t>
      </w:r>
      <w:r w:rsidRPr="00FA0AEC">
        <w:rPr>
          <w:rFonts w:ascii="Times New Roman" w:hAnsi="Times New Roman"/>
          <w:color w:val="000000" w:themeColor="text1"/>
          <w:sz w:val="24"/>
          <w:szCs w:val="24"/>
        </w:rPr>
        <w:lastRenderedPageBreak/>
        <w:t>DMSO (for biology); and dodecane (analytical standard) were purchased from Sigma-Aldrich. The porcine brain lipid (PBL) was obtained from Avanti Polar Lipids (100 mg, powder, catalogue no. 141101P). The donor plate used in the assay is a 96-well filter plate with a hydrophobic polyvinylidene fluoride (PVDF) membrane (pore size 0.45 μm, nonsterile, catalogue no. MAIPNTR10), and the acceptor plate is a 96-well transport receiver plate (catalogue no. MATRNPS50), both from Millipore Sigma. A 96-well UV plate with a flat bottom obtained from Greiner Bio- One was used for UV measurements (catalogue no. 655801). Test compounds were first dissolved in DMSO to make a 10 mM stock solution. Then 40 μL of the stock solution was diluted with 1960 μL of 10 mM PBS buffer (pH 7.5) to generate a final concentration of 200 μM (2% DMSO). The acceptor plate was filled with 250 μL of 10 mM PBS (2% DMSO, pH 7.5). The donor plate was first coated with 4 μL of PBL (20 mg/mL in dodecane), then 250 μL of a test compound (200 μM) was added to the donor plate. Each test compound was measured in triplicate. The donor plate was then carefully placed on top of the acceptor plate to make a “sandwich”, which was incubated at 25 °C for 17 h in a saturated humidity atmosphere with an orbital agitation at 100 rpm. During this time, compounds diffuse from the donor plate to the acceptor plate. After incubation, 150 μL of test solution was taken from each well from both donor and acceptor plates and transferred to the UV plate for measurement. The concentration of a compound in each donor and acceptor well was determined by using a standard curve, which was built from its UV absorbance at λmax of various concentrations (1−200 μM). The effective permeability (</w:t>
      </w:r>
      <w:r w:rsidRPr="00FA0AEC">
        <w:rPr>
          <w:rFonts w:ascii="Times New Roman" w:hAnsi="Times New Roman"/>
          <w:i/>
          <w:color w:val="000000" w:themeColor="text1"/>
          <w:sz w:val="24"/>
          <w:szCs w:val="24"/>
        </w:rPr>
        <w:t>P</w:t>
      </w:r>
      <w:r w:rsidRPr="00FA0AEC">
        <w:rPr>
          <w:rFonts w:ascii="Times New Roman" w:hAnsi="Times New Roman"/>
          <w:color w:val="000000" w:themeColor="text1"/>
          <w:sz w:val="24"/>
          <w:szCs w:val="24"/>
          <w:vertAlign w:val="subscript"/>
        </w:rPr>
        <w:t>e</w:t>
      </w:r>
      <w:r w:rsidRPr="00FA0AEC">
        <w:rPr>
          <w:rFonts w:ascii="Times New Roman" w:hAnsi="Times New Roman"/>
          <w:color w:val="000000" w:themeColor="text1"/>
          <w:sz w:val="24"/>
          <w:szCs w:val="24"/>
        </w:rPr>
        <w:t>) was calculated using the following equation</w:t>
      </w:r>
      <w:r w:rsidR="00A84B7B" w:rsidRPr="00FA0AEC">
        <w:rPr>
          <w:rFonts w:ascii="Times New Roman" w:hAnsi="Times New Roman"/>
          <w:color w:val="000000" w:themeColor="text1"/>
          <w:sz w:val="24"/>
          <w:szCs w:val="24"/>
          <w:vertAlign w:val="superscript"/>
        </w:rPr>
        <w:t>12</w:t>
      </w:r>
      <w:r w:rsidRPr="00FA0AEC">
        <w:rPr>
          <w:rFonts w:ascii="Times New Roman" w:hAnsi="Times New Roman"/>
          <w:color w:val="000000" w:themeColor="text1"/>
          <w:sz w:val="24"/>
          <w:szCs w:val="24"/>
        </w:rPr>
        <w:t>,</w:t>
      </w:r>
    </w:p>
    <w:p w14:paraId="1CA187FB" w14:textId="77777777" w:rsidR="005530BB" w:rsidRPr="00FA0AEC" w:rsidRDefault="005530BB" w:rsidP="005530BB">
      <w:pPr>
        <w:spacing w:after="403" w:line="360" w:lineRule="auto"/>
        <w:ind w:left="-5" w:right="3"/>
        <w:jc w:val="center"/>
        <w:rPr>
          <w:rFonts w:ascii="Times New Roman" w:hAnsi="Times New Roman"/>
          <w:color w:val="000000" w:themeColor="text1"/>
          <w:sz w:val="24"/>
          <w:szCs w:val="24"/>
        </w:rPr>
      </w:pPr>
      <w:r w:rsidRPr="00FA0AEC">
        <w:rPr>
          <w:rFonts w:ascii="Times New Roman" w:hAnsi="Times New Roman"/>
          <w:noProof/>
          <w:color w:val="000000" w:themeColor="text1"/>
          <w:sz w:val="24"/>
          <w:szCs w:val="24"/>
          <w:lang w:eastAsia="en-US"/>
        </w:rPr>
        <w:drawing>
          <wp:inline distT="0" distB="0" distL="0" distR="0" wp14:anchorId="6A90DC53" wp14:editId="52614D4B">
            <wp:extent cx="4333907" cy="542929"/>
            <wp:effectExtent l="0" t="0" r="9525" b="9525"/>
            <wp:docPr id="5724875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487582" name=""/>
                    <pic:cNvPicPr/>
                  </pic:nvPicPr>
                  <pic:blipFill>
                    <a:blip r:embed="rId11"/>
                    <a:stretch>
                      <a:fillRect/>
                    </a:stretch>
                  </pic:blipFill>
                  <pic:spPr>
                    <a:xfrm>
                      <a:off x="0" y="0"/>
                      <a:ext cx="4333907" cy="542929"/>
                    </a:xfrm>
                    <a:prstGeom prst="rect">
                      <a:avLst/>
                    </a:prstGeom>
                  </pic:spPr>
                </pic:pic>
              </a:graphicData>
            </a:graphic>
          </wp:inline>
        </w:drawing>
      </w:r>
    </w:p>
    <w:p w14:paraId="69860BA8" w14:textId="792B5159" w:rsidR="005530BB" w:rsidRPr="00FA0AEC" w:rsidRDefault="005530BB" w:rsidP="005530BB">
      <w:pPr>
        <w:spacing w:after="403" w:line="360" w:lineRule="auto"/>
        <w:ind w:left="-5" w:right="3"/>
        <w:rPr>
          <w:rFonts w:ascii="Times New Roman" w:hAnsi="Times New Roman"/>
          <w:color w:val="000000" w:themeColor="text1"/>
          <w:sz w:val="24"/>
          <w:szCs w:val="24"/>
        </w:rPr>
      </w:pPr>
      <w:r w:rsidRPr="00FA0AEC">
        <w:rPr>
          <w:rFonts w:ascii="Times New Roman" w:hAnsi="Times New Roman"/>
          <w:color w:val="000000" w:themeColor="text1"/>
          <w:sz w:val="24"/>
          <w:szCs w:val="24"/>
        </w:rPr>
        <w:t xml:space="preserve">where </w:t>
      </w:r>
      <w:r w:rsidRPr="00FA0AEC">
        <w:rPr>
          <w:rFonts w:ascii="Times New Roman" w:hAnsi="Times New Roman"/>
          <w:i/>
          <w:color w:val="000000" w:themeColor="text1"/>
          <w:sz w:val="24"/>
          <w:szCs w:val="24"/>
        </w:rPr>
        <w:t>P</w:t>
      </w:r>
      <w:r w:rsidRPr="00FA0AEC">
        <w:rPr>
          <w:rFonts w:ascii="Times New Roman" w:hAnsi="Times New Roman"/>
          <w:color w:val="000000" w:themeColor="text1"/>
          <w:sz w:val="24"/>
          <w:szCs w:val="24"/>
          <w:vertAlign w:val="subscript"/>
        </w:rPr>
        <w:t>e</w:t>
      </w:r>
      <w:r w:rsidRPr="00FA0AEC">
        <w:rPr>
          <w:rFonts w:ascii="Times New Roman" w:hAnsi="Times New Roman"/>
          <w:color w:val="000000" w:themeColor="text1"/>
          <w:sz w:val="24"/>
          <w:szCs w:val="24"/>
        </w:rPr>
        <w:t xml:space="preserve"> is the effective permeability (cm s−1); VA and VD are the volume of the acceptor and donor wells (0.25 cm</w:t>
      </w:r>
      <w:r w:rsidRPr="00FA0AEC">
        <w:rPr>
          <w:rFonts w:ascii="Times New Roman" w:hAnsi="Times New Roman"/>
          <w:color w:val="000000" w:themeColor="text1"/>
          <w:sz w:val="24"/>
          <w:szCs w:val="24"/>
          <w:vertAlign w:val="superscript"/>
        </w:rPr>
        <w:t>3</w:t>
      </w:r>
      <w:r w:rsidRPr="00FA0AEC">
        <w:rPr>
          <w:rFonts w:ascii="Times New Roman" w:hAnsi="Times New Roman"/>
          <w:color w:val="000000" w:themeColor="text1"/>
          <w:sz w:val="24"/>
          <w:szCs w:val="24"/>
        </w:rPr>
        <w:t>), respectively; CA (t) is the concentration of the acceptor well at time t; CD(0) and CD(t) are the concentrations of the donor well at t0 and t, respectively; A is the filter well area (0.21 cm2); t is the incubation time (s); τss is the time to reach a S4</w:t>
      </w:r>
      <w:r w:rsidR="00EB748C" w:rsidRPr="00FA0AEC">
        <w:rPr>
          <w:rFonts w:ascii="Times New Roman" w:hAnsi="Times New Roman"/>
          <w:color w:val="000000" w:themeColor="text1"/>
          <w:sz w:val="24"/>
          <w:szCs w:val="24"/>
        </w:rPr>
        <w:t xml:space="preserve"> </w:t>
      </w:r>
      <w:r w:rsidRPr="00FA0AEC">
        <w:rPr>
          <w:rFonts w:ascii="Times New Roman" w:hAnsi="Times New Roman"/>
          <w:color w:val="000000" w:themeColor="text1"/>
          <w:sz w:val="24"/>
          <w:szCs w:val="24"/>
        </w:rPr>
        <w:t xml:space="preserve">steady state (usually very short compared with the incubation time); and R is the retention membrane factor, which was calculated using the following equation: </w:t>
      </w:r>
    </w:p>
    <w:p w14:paraId="6B64497E" w14:textId="77777777" w:rsidR="005530BB" w:rsidRPr="00FA0AEC" w:rsidRDefault="005530BB" w:rsidP="005530BB">
      <w:pPr>
        <w:spacing w:after="403" w:line="360" w:lineRule="auto"/>
        <w:ind w:left="-5" w:right="3"/>
        <w:jc w:val="center"/>
        <w:rPr>
          <w:rFonts w:ascii="Times New Roman" w:hAnsi="Times New Roman"/>
          <w:color w:val="000000" w:themeColor="text1"/>
          <w:sz w:val="24"/>
          <w:szCs w:val="24"/>
        </w:rPr>
      </w:pPr>
      <w:r w:rsidRPr="00FA0AEC">
        <w:rPr>
          <w:rFonts w:ascii="Times New Roman" w:hAnsi="Times New Roman"/>
          <w:noProof/>
          <w:color w:val="000000" w:themeColor="text1"/>
          <w:sz w:val="24"/>
          <w:szCs w:val="24"/>
          <w:lang w:eastAsia="en-US"/>
        </w:rPr>
        <w:lastRenderedPageBreak/>
        <w:drawing>
          <wp:inline distT="0" distB="0" distL="0" distR="0" wp14:anchorId="1129C7A0" wp14:editId="0ADBF11D">
            <wp:extent cx="2486043" cy="638180"/>
            <wp:effectExtent l="0" t="0" r="0" b="9525"/>
            <wp:docPr id="10547170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717052" name=""/>
                    <pic:cNvPicPr/>
                  </pic:nvPicPr>
                  <pic:blipFill>
                    <a:blip r:embed="rId12"/>
                    <a:stretch>
                      <a:fillRect/>
                    </a:stretch>
                  </pic:blipFill>
                  <pic:spPr>
                    <a:xfrm>
                      <a:off x="0" y="0"/>
                      <a:ext cx="2486043" cy="638180"/>
                    </a:xfrm>
                    <a:prstGeom prst="rect">
                      <a:avLst/>
                    </a:prstGeom>
                  </pic:spPr>
                </pic:pic>
              </a:graphicData>
            </a:graphic>
          </wp:inline>
        </w:drawing>
      </w:r>
    </w:p>
    <w:p w14:paraId="5C53B1DD" w14:textId="77777777" w:rsidR="00CE477C" w:rsidRDefault="005530BB" w:rsidP="00CE477C">
      <w:pPr>
        <w:spacing w:after="403" w:line="360" w:lineRule="auto"/>
        <w:ind w:left="-5" w:right="3"/>
        <w:rPr>
          <w:rFonts w:ascii="Times New Roman" w:hAnsi="Times New Roman"/>
          <w:color w:val="000000" w:themeColor="text1"/>
          <w:sz w:val="24"/>
          <w:szCs w:val="24"/>
        </w:rPr>
      </w:pPr>
      <w:r w:rsidRPr="00FA0AEC">
        <w:rPr>
          <w:rFonts w:ascii="Times New Roman" w:hAnsi="Times New Roman"/>
          <w:color w:val="000000" w:themeColor="text1"/>
          <w:sz w:val="24"/>
          <w:szCs w:val="24"/>
        </w:rPr>
        <w:t xml:space="preserve"> </w:t>
      </w:r>
      <w:r w:rsidRPr="00FA0AEC">
        <w:rPr>
          <w:rFonts w:ascii="Times New Roman" w:hAnsi="Times New Roman"/>
          <w:i/>
          <w:color w:val="000000" w:themeColor="text1"/>
          <w:sz w:val="24"/>
          <w:szCs w:val="24"/>
        </w:rPr>
        <w:t>P</w:t>
      </w:r>
      <w:r w:rsidRPr="00FA0AEC">
        <w:rPr>
          <w:rFonts w:ascii="Times New Roman" w:hAnsi="Times New Roman"/>
          <w:color w:val="000000" w:themeColor="text1"/>
          <w:sz w:val="24"/>
          <w:szCs w:val="24"/>
          <w:vertAlign w:val="subscript"/>
        </w:rPr>
        <w:t>e</w:t>
      </w:r>
      <w:r w:rsidRPr="00FA0AEC">
        <w:rPr>
          <w:rFonts w:ascii="Times New Roman" w:hAnsi="Times New Roman"/>
          <w:color w:val="000000" w:themeColor="text1"/>
          <w:sz w:val="24"/>
          <w:szCs w:val="24"/>
        </w:rPr>
        <w:t xml:space="preserve"> is reported as an average of triplicates with a standard deviation.</w:t>
      </w:r>
    </w:p>
    <w:p w14:paraId="585E798A" w14:textId="726B4B50" w:rsidR="00063189" w:rsidRPr="00EF7278" w:rsidRDefault="00063189" w:rsidP="00EF7278">
      <w:pPr>
        <w:pStyle w:val="ListParagraph"/>
        <w:numPr>
          <w:ilvl w:val="0"/>
          <w:numId w:val="26"/>
        </w:numPr>
        <w:spacing w:after="403" w:line="360" w:lineRule="auto"/>
        <w:ind w:right="3"/>
        <w:rPr>
          <w:rFonts w:ascii="Times New Roman" w:hAnsi="Times New Roman"/>
          <w:b/>
          <w:bCs/>
          <w:iCs/>
          <w:color w:val="000000" w:themeColor="text1"/>
          <w:sz w:val="24"/>
          <w:szCs w:val="24"/>
        </w:rPr>
      </w:pPr>
      <w:r w:rsidRPr="00EF7278">
        <w:rPr>
          <w:rFonts w:ascii="Times New Roman" w:hAnsi="Times New Roman"/>
          <w:b/>
          <w:bCs/>
          <w:iCs/>
          <w:color w:val="000000" w:themeColor="text1"/>
          <w:sz w:val="24"/>
          <w:szCs w:val="24"/>
        </w:rPr>
        <w:t xml:space="preserve">Dose </w:t>
      </w:r>
      <w:r w:rsidR="002E2AAD">
        <w:rPr>
          <w:rFonts w:ascii="Times New Roman" w:hAnsi="Times New Roman"/>
          <w:b/>
          <w:bCs/>
          <w:iCs/>
          <w:color w:val="000000" w:themeColor="text1"/>
          <w:sz w:val="24"/>
          <w:szCs w:val="24"/>
        </w:rPr>
        <w:t>R</w:t>
      </w:r>
      <w:r w:rsidRPr="00EF7278">
        <w:rPr>
          <w:rFonts w:ascii="Times New Roman" w:hAnsi="Times New Roman"/>
          <w:b/>
          <w:bCs/>
          <w:iCs/>
          <w:color w:val="000000" w:themeColor="text1"/>
          <w:sz w:val="24"/>
          <w:szCs w:val="24"/>
        </w:rPr>
        <w:t xml:space="preserve">esponse </w:t>
      </w:r>
      <w:r w:rsidR="002E2AAD">
        <w:rPr>
          <w:rFonts w:ascii="Times New Roman" w:hAnsi="Times New Roman"/>
          <w:b/>
          <w:bCs/>
          <w:iCs/>
          <w:color w:val="000000" w:themeColor="text1"/>
          <w:sz w:val="24"/>
          <w:szCs w:val="24"/>
        </w:rPr>
        <w:t>C</w:t>
      </w:r>
      <w:r w:rsidRPr="00EF7278">
        <w:rPr>
          <w:rFonts w:ascii="Times New Roman" w:hAnsi="Times New Roman"/>
          <w:b/>
          <w:bCs/>
          <w:iCs/>
          <w:color w:val="000000" w:themeColor="text1"/>
          <w:sz w:val="24"/>
          <w:szCs w:val="24"/>
        </w:rPr>
        <w:t>urves</w:t>
      </w:r>
    </w:p>
    <w:tbl>
      <w:tblPr>
        <w:tblStyle w:val="TableGrid0"/>
        <w:tblW w:w="0" w:type="auto"/>
        <w:tblInd w:w="-5" w:type="dxa"/>
        <w:tblBorders>
          <w:insideH w:val="none" w:sz="0" w:space="0" w:color="auto"/>
        </w:tblBorders>
        <w:tblLook w:val="04A0" w:firstRow="1" w:lastRow="0" w:firstColumn="1" w:lastColumn="0" w:noHBand="0" w:noVBand="1"/>
      </w:tblPr>
      <w:tblGrid>
        <w:gridCol w:w="4575"/>
        <w:gridCol w:w="4780"/>
      </w:tblGrid>
      <w:tr w:rsidR="00A43A34" w14:paraId="7AA48E72" w14:textId="77777777" w:rsidTr="004F1451">
        <w:trPr>
          <w:trHeight w:val="4184"/>
        </w:trPr>
        <w:tc>
          <w:tcPr>
            <w:tcW w:w="4680" w:type="dxa"/>
          </w:tcPr>
          <w:p w14:paraId="48A3387E" w14:textId="6D4ED933" w:rsidR="00A43A34" w:rsidRDefault="00C2250D" w:rsidP="00CE477C">
            <w:pPr>
              <w:spacing w:after="403" w:line="360" w:lineRule="auto"/>
              <w:ind w:right="3"/>
              <w:rPr>
                <w:rFonts w:ascii="Times New Roman" w:hAnsi="Times New Roman"/>
                <w:b/>
                <w:bCs/>
                <w:iCs/>
                <w:color w:val="000000" w:themeColor="text1"/>
                <w:sz w:val="24"/>
                <w:szCs w:val="24"/>
              </w:rPr>
            </w:pPr>
            <w:r>
              <w:rPr>
                <w:noProof/>
              </w:rPr>
              <w:object w:dxaOrig="6091" w:dyaOrig="5638" w14:anchorId="7A67BC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97.65pt;height:183.4pt;mso-width-percent:0;mso-height-percent:0;mso-width-percent:0;mso-height-percent:0" o:ole="">
                  <v:imagedata r:id="rId13" o:title=""/>
                </v:shape>
                <o:OLEObject Type="Embed" ProgID="Prism8.Document" ShapeID="_x0000_i1025" DrawAspect="Content" ObjectID="_1835441361" r:id="rId14"/>
              </w:object>
            </w:r>
          </w:p>
        </w:tc>
        <w:tc>
          <w:tcPr>
            <w:tcW w:w="4675" w:type="dxa"/>
          </w:tcPr>
          <w:p w14:paraId="38BB0B12" w14:textId="6FA848ED" w:rsidR="00A43A34" w:rsidRDefault="00C2250D" w:rsidP="00CE477C">
            <w:pPr>
              <w:spacing w:after="403" w:line="360" w:lineRule="auto"/>
              <w:ind w:right="3"/>
              <w:rPr>
                <w:rFonts w:ascii="Times New Roman" w:hAnsi="Times New Roman"/>
                <w:b/>
                <w:bCs/>
                <w:iCs/>
                <w:color w:val="000000" w:themeColor="text1"/>
                <w:sz w:val="24"/>
                <w:szCs w:val="24"/>
              </w:rPr>
            </w:pPr>
            <w:r>
              <w:rPr>
                <w:noProof/>
              </w:rPr>
              <w:object w:dxaOrig="6091" w:dyaOrig="4918" w14:anchorId="294F8F56">
                <v:shape id="_x0000_i1026" type="#_x0000_t75" alt="" style="width:211.15pt;height:170.65pt;mso-width-percent:0;mso-height-percent:0;mso-width-percent:0;mso-height-percent:0" o:ole="">
                  <v:imagedata r:id="rId15" o:title=""/>
                </v:shape>
                <o:OLEObject Type="Embed" ProgID="Prism8.Document" ShapeID="_x0000_i1026" DrawAspect="Content" ObjectID="_1835441362" r:id="rId16"/>
              </w:object>
            </w:r>
          </w:p>
        </w:tc>
      </w:tr>
      <w:tr w:rsidR="00A43A34" w14:paraId="3C7674AE" w14:textId="77777777" w:rsidTr="004F1451">
        <w:tc>
          <w:tcPr>
            <w:tcW w:w="4680" w:type="dxa"/>
          </w:tcPr>
          <w:p w14:paraId="15F9B49C" w14:textId="02AEC272" w:rsidR="00A43A34" w:rsidRDefault="00C2250D" w:rsidP="00CE477C">
            <w:pPr>
              <w:spacing w:after="403" w:line="360" w:lineRule="auto"/>
              <w:ind w:right="3"/>
              <w:rPr>
                <w:rFonts w:ascii="Times New Roman" w:hAnsi="Times New Roman"/>
                <w:b/>
                <w:bCs/>
                <w:iCs/>
                <w:color w:val="000000" w:themeColor="text1"/>
                <w:sz w:val="24"/>
                <w:szCs w:val="24"/>
              </w:rPr>
            </w:pPr>
            <w:r>
              <w:rPr>
                <w:noProof/>
              </w:rPr>
              <w:object w:dxaOrig="6091" w:dyaOrig="4918" w14:anchorId="5B44476F">
                <v:shape id="_x0000_i1027" type="#_x0000_t75" alt="" style="width:210pt;height:168.75pt;mso-width-percent:0;mso-height-percent:0;mso-width-percent:0;mso-height-percent:0" o:ole="">
                  <v:imagedata r:id="rId17" o:title=""/>
                </v:shape>
                <o:OLEObject Type="Embed" ProgID="Prism8.Document" ShapeID="_x0000_i1027" DrawAspect="Content" ObjectID="_1835441363" r:id="rId18"/>
              </w:object>
            </w:r>
          </w:p>
        </w:tc>
        <w:tc>
          <w:tcPr>
            <w:tcW w:w="4675" w:type="dxa"/>
          </w:tcPr>
          <w:p w14:paraId="27928EA1" w14:textId="16E983B5" w:rsidR="00A43A34" w:rsidRDefault="00C2250D" w:rsidP="00CE477C">
            <w:pPr>
              <w:spacing w:after="403" w:line="360" w:lineRule="auto"/>
              <w:ind w:right="3"/>
              <w:rPr>
                <w:rFonts w:ascii="Times New Roman" w:hAnsi="Times New Roman"/>
                <w:b/>
                <w:bCs/>
                <w:iCs/>
                <w:color w:val="000000" w:themeColor="text1"/>
                <w:sz w:val="24"/>
                <w:szCs w:val="24"/>
              </w:rPr>
            </w:pPr>
            <w:r>
              <w:rPr>
                <w:noProof/>
              </w:rPr>
              <w:object w:dxaOrig="6091" w:dyaOrig="4918" w14:anchorId="758E3B50">
                <v:shape id="_x0000_i1028" type="#_x0000_t75" alt="" style="width:196.9pt;height:160.15pt;mso-width-percent:0;mso-height-percent:0;mso-width-percent:0;mso-height-percent:0" o:ole="">
                  <v:imagedata r:id="rId19" o:title=""/>
                </v:shape>
                <o:OLEObject Type="Embed" ProgID="Prism8.Document" ShapeID="_x0000_i1028" DrawAspect="Content" ObjectID="_1835441364" r:id="rId20"/>
              </w:object>
            </w:r>
          </w:p>
        </w:tc>
      </w:tr>
      <w:tr w:rsidR="00A43A34" w14:paraId="497C126B" w14:textId="77777777" w:rsidTr="004F1451">
        <w:tc>
          <w:tcPr>
            <w:tcW w:w="4680" w:type="dxa"/>
          </w:tcPr>
          <w:p w14:paraId="276707E9" w14:textId="70FC43F9" w:rsidR="00A43A34" w:rsidRDefault="00C2250D" w:rsidP="00CE477C">
            <w:pPr>
              <w:spacing w:after="403" w:line="360" w:lineRule="auto"/>
              <w:ind w:right="3"/>
              <w:rPr>
                <w:rFonts w:ascii="Times New Roman" w:hAnsi="Times New Roman"/>
                <w:b/>
                <w:bCs/>
                <w:iCs/>
                <w:color w:val="000000" w:themeColor="text1"/>
                <w:sz w:val="24"/>
                <w:szCs w:val="24"/>
              </w:rPr>
            </w:pPr>
            <w:r>
              <w:rPr>
                <w:noProof/>
              </w:rPr>
              <w:object w:dxaOrig="6091" w:dyaOrig="4918" w14:anchorId="09A3936A">
                <v:shape id="_x0000_i1029" type="#_x0000_t75" alt="" style="width:239.25pt;height:192.75pt;mso-width-percent:0;mso-height-percent:0;mso-width-percent:0;mso-height-percent:0" o:ole="">
                  <v:imagedata r:id="rId21" o:title=""/>
                </v:shape>
                <o:OLEObject Type="Embed" ProgID="Prism8.Document" ShapeID="_x0000_i1029" DrawAspect="Content" ObjectID="_1835441365" r:id="rId22"/>
              </w:object>
            </w:r>
          </w:p>
        </w:tc>
        <w:tc>
          <w:tcPr>
            <w:tcW w:w="4675" w:type="dxa"/>
          </w:tcPr>
          <w:p w14:paraId="36A7412C" w14:textId="5849A0CF" w:rsidR="00A43A34" w:rsidRDefault="00C2250D" w:rsidP="00CE477C">
            <w:pPr>
              <w:spacing w:after="403" w:line="360" w:lineRule="auto"/>
              <w:ind w:right="3"/>
              <w:rPr>
                <w:rFonts w:ascii="Times New Roman" w:hAnsi="Times New Roman"/>
                <w:b/>
                <w:bCs/>
                <w:iCs/>
                <w:color w:val="000000" w:themeColor="text1"/>
                <w:sz w:val="24"/>
                <w:szCs w:val="24"/>
              </w:rPr>
            </w:pPr>
            <w:r>
              <w:rPr>
                <w:noProof/>
              </w:rPr>
              <w:object w:dxaOrig="6091" w:dyaOrig="4918" w14:anchorId="506AA997">
                <v:shape id="_x0000_i1030" type="#_x0000_t75" alt="" style="width:247.5pt;height:199.9pt;mso-width-percent:0;mso-height-percent:0;mso-width-percent:0;mso-height-percent:0" o:ole="">
                  <v:imagedata r:id="rId23" o:title=""/>
                </v:shape>
                <o:OLEObject Type="Embed" ProgID="Prism8.Document" ShapeID="_x0000_i1030" DrawAspect="Content" ObjectID="_1835441366" r:id="rId24"/>
              </w:object>
            </w:r>
          </w:p>
        </w:tc>
      </w:tr>
      <w:tr w:rsidR="00A43A34" w14:paraId="6B666774" w14:textId="77777777" w:rsidTr="004F1451">
        <w:tc>
          <w:tcPr>
            <w:tcW w:w="4680" w:type="dxa"/>
          </w:tcPr>
          <w:p w14:paraId="37DB801E" w14:textId="071F399F" w:rsidR="00A43A34" w:rsidRDefault="00C2250D" w:rsidP="00CE477C">
            <w:pPr>
              <w:spacing w:after="403" w:line="360" w:lineRule="auto"/>
              <w:ind w:right="3"/>
              <w:rPr>
                <w:rFonts w:ascii="Times New Roman" w:hAnsi="Times New Roman"/>
                <w:b/>
                <w:bCs/>
                <w:iCs/>
                <w:color w:val="000000" w:themeColor="text1"/>
                <w:sz w:val="24"/>
                <w:szCs w:val="24"/>
              </w:rPr>
            </w:pPr>
            <w:r>
              <w:rPr>
                <w:noProof/>
              </w:rPr>
              <w:object w:dxaOrig="6091" w:dyaOrig="4678" w14:anchorId="4C523629">
                <v:shape id="_x0000_i1031" type="#_x0000_t75" alt="" style="width:237.4pt;height:182.25pt;mso-width-percent:0;mso-height-percent:0;mso-width-percent:0;mso-height-percent:0" o:ole="">
                  <v:imagedata r:id="rId25" o:title=""/>
                </v:shape>
                <o:OLEObject Type="Embed" ProgID="Prism8.Document" ShapeID="_x0000_i1031" DrawAspect="Content" ObjectID="_1835441367" r:id="rId26"/>
              </w:object>
            </w:r>
          </w:p>
        </w:tc>
        <w:tc>
          <w:tcPr>
            <w:tcW w:w="4675" w:type="dxa"/>
          </w:tcPr>
          <w:p w14:paraId="7ACED24A" w14:textId="5DBB3D5E" w:rsidR="00A43A34" w:rsidRDefault="00C2250D" w:rsidP="00CE477C">
            <w:pPr>
              <w:spacing w:after="403" w:line="360" w:lineRule="auto"/>
              <w:ind w:right="3"/>
              <w:rPr>
                <w:rFonts w:ascii="Times New Roman" w:hAnsi="Times New Roman"/>
                <w:b/>
                <w:bCs/>
                <w:iCs/>
                <w:color w:val="000000" w:themeColor="text1"/>
                <w:sz w:val="24"/>
                <w:szCs w:val="24"/>
              </w:rPr>
            </w:pPr>
            <w:r>
              <w:rPr>
                <w:noProof/>
              </w:rPr>
              <w:object w:dxaOrig="6091" w:dyaOrig="4918" w14:anchorId="6EF2FEE1">
                <v:shape id="_x0000_i1032" type="#_x0000_t75" alt="" style="width:250.5pt;height:202.15pt;mso-width-percent:0;mso-height-percent:0;mso-width-percent:0;mso-height-percent:0" o:ole="">
                  <v:imagedata r:id="rId27" o:title=""/>
                </v:shape>
                <o:OLEObject Type="Embed" ProgID="Prism8.Document" ShapeID="_x0000_i1032" DrawAspect="Content" ObjectID="_1835441368" r:id="rId28"/>
              </w:object>
            </w:r>
          </w:p>
        </w:tc>
      </w:tr>
    </w:tbl>
    <w:p w14:paraId="4890B285" w14:textId="77777777" w:rsidR="00156763" w:rsidRPr="00063189" w:rsidRDefault="00156763" w:rsidP="00CE477C">
      <w:pPr>
        <w:spacing w:after="403" w:line="360" w:lineRule="auto"/>
        <w:ind w:left="-5" w:right="3"/>
        <w:rPr>
          <w:rFonts w:ascii="Times New Roman" w:hAnsi="Times New Roman"/>
          <w:b/>
          <w:bCs/>
          <w:iCs/>
          <w:color w:val="000000" w:themeColor="text1"/>
          <w:sz w:val="24"/>
          <w:szCs w:val="24"/>
        </w:rPr>
      </w:pPr>
    </w:p>
    <w:p w14:paraId="24BCF8A5" w14:textId="1F1C6A98" w:rsidR="00CE477C" w:rsidRPr="00EF7278" w:rsidRDefault="00784D24" w:rsidP="00EF7278">
      <w:pPr>
        <w:pStyle w:val="ListParagraph"/>
        <w:numPr>
          <w:ilvl w:val="0"/>
          <w:numId w:val="26"/>
        </w:numPr>
        <w:spacing w:line="360" w:lineRule="auto"/>
        <w:ind w:right="3"/>
        <w:rPr>
          <w:rFonts w:ascii="Times New Roman" w:hAnsi="Times New Roman"/>
          <w:b/>
          <w:bCs/>
          <w:color w:val="000000" w:themeColor="text1"/>
          <w:sz w:val="24"/>
          <w:szCs w:val="24"/>
        </w:rPr>
      </w:pPr>
      <w:r w:rsidRPr="00EF7278">
        <w:rPr>
          <w:rFonts w:ascii="Times New Roman" w:hAnsi="Times New Roman"/>
          <w:b/>
          <w:bCs/>
          <w:color w:val="000000" w:themeColor="text1"/>
          <w:sz w:val="24"/>
          <w:szCs w:val="24"/>
        </w:rPr>
        <w:t xml:space="preserve">Computational </w:t>
      </w:r>
      <w:r w:rsidR="002E2AAD">
        <w:rPr>
          <w:rFonts w:ascii="Times New Roman" w:hAnsi="Times New Roman"/>
          <w:b/>
          <w:bCs/>
          <w:color w:val="000000" w:themeColor="text1"/>
          <w:sz w:val="24"/>
          <w:szCs w:val="24"/>
        </w:rPr>
        <w:t>D</w:t>
      </w:r>
      <w:r w:rsidRPr="00EF7278">
        <w:rPr>
          <w:rFonts w:ascii="Times New Roman" w:hAnsi="Times New Roman"/>
          <w:b/>
          <w:bCs/>
          <w:color w:val="000000" w:themeColor="text1"/>
          <w:sz w:val="24"/>
          <w:szCs w:val="24"/>
        </w:rPr>
        <w:t>etails</w:t>
      </w:r>
    </w:p>
    <w:p w14:paraId="684A364F" w14:textId="3D255883" w:rsidR="003E6A8D" w:rsidRPr="00513405" w:rsidRDefault="003E6A8D" w:rsidP="00CE477C">
      <w:pPr>
        <w:spacing w:line="360" w:lineRule="auto"/>
        <w:ind w:left="-5" w:right="3"/>
        <w:rPr>
          <w:rFonts w:ascii="Times New Roman" w:hAnsi="Times New Roman"/>
          <w:b/>
          <w:bCs/>
          <w:sz w:val="24"/>
          <w:szCs w:val="24"/>
        </w:rPr>
      </w:pPr>
      <w:r w:rsidRPr="00513405">
        <w:rPr>
          <w:rFonts w:ascii="Times New Roman" w:hAnsi="Times New Roman"/>
          <w:sz w:val="24"/>
          <w:szCs w:val="24"/>
        </w:rPr>
        <w:t xml:space="preserve">To model the complexes of </w:t>
      </w:r>
      <w:r w:rsidR="00513405" w:rsidRPr="00513405">
        <w:rPr>
          <w:rFonts w:ascii="Times New Roman" w:hAnsi="Times New Roman"/>
          <w:b/>
          <w:bCs/>
          <w:sz w:val="24"/>
          <w:szCs w:val="24"/>
        </w:rPr>
        <w:t>4</w:t>
      </w:r>
      <w:r w:rsidRPr="00513405">
        <w:rPr>
          <w:rFonts w:ascii="Times New Roman" w:hAnsi="Times New Roman"/>
          <w:sz w:val="24"/>
          <w:szCs w:val="24"/>
        </w:rPr>
        <w:t xml:space="preserve"> with hnNOS and heNOS, molecular docking was conducted using Glide XP</w:t>
      </w:r>
      <w:r w:rsidRPr="00513405">
        <w:rPr>
          <w:rFonts w:ascii="Times New Roman" w:hAnsi="Times New Roman"/>
          <w:noProof/>
          <w:sz w:val="24"/>
          <w:szCs w:val="24"/>
          <w:vertAlign w:val="superscript"/>
        </w:rPr>
        <w:t>1</w:t>
      </w:r>
      <w:r w:rsidR="003750AC" w:rsidRPr="00513405">
        <w:rPr>
          <w:rFonts w:ascii="Times New Roman" w:hAnsi="Times New Roman"/>
          <w:noProof/>
          <w:sz w:val="24"/>
          <w:szCs w:val="24"/>
          <w:vertAlign w:val="superscript"/>
        </w:rPr>
        <w:t>3</w:t>
      </w:r>
      <w:r w:rsidRPr="00513405">
        <w:rPr>
          <w:rFonts w:ascii="Times New Roman" w:hAnsi="Times New Roman"/>
          <w:noProof/>
          <w:sz w:val="24"/>
          <w:szCs w:val="24"/>
          <w:vertAlign w:val="superscript"/>
        </w:rPr>
        <w:t>,</w:t>
      </w:r>
      <w:r w:rsidR="003750AC" w:rsidRPr="00513405">
        <w:rPr>
          <w:rFonts w:ascii="Times New Roman" w:hAnsi="Times New Roman"/>
          <w:noProof/>
          <w:sz w:val="24"/>
          <w:szCs w:val="24"/>
          <w:vertAlign w:val="superscript"/>
        </w:rPr>
        <w:t>14</w:t>
      </w:r>
      <w:r w:rsidRPr="00513405">
        <w:rPr>
          <w:rFonts w:ascii="Times New Roman" w:hAnsi="Times New Roman"/>
          <w:sz w:val="24"/>
          <w:szCs w:val="24"/>
        </w:rPr>
        <w:t xml:space="preserve"> in the Schrödinger Release 2024-4 suite. The crystal structures of hnNOS (PDB 9MWA) and heNOS (PDB 9MWN) were retrieved from the RCSB Protein Data Bank (https://www.rcsb.org).</w:t>
      </w:r>
      <w:r w:rsidR="003750AC" w:rsidRPr="00513405">
        <w:rPr>
          <w:rFonts w:ascii="Times New Roman" w:hAnsi="Times New Roman"/>
          <w:noProof/>
          <w:sz w:val="24"/>
          <w:szCs w:val="24"/>
          <w:vertAlign w:val="superscript"/>
        </w:rPr>
        <w:t>15</w:t>
      </w:r>
      <w:r w:rsidRPr="00513405">
        <w:rPr>
          <w:rFonts w:ascii="Times New Roman" w:hAnsi="Times New Roman"/>
          <w:sz w:val="24"/>
          <w:szCs w:val="24"/>
        </w:rPr>
        <w:t xml:space="preserve"> The structures were prepared using the Protein Preparation Wizard</w:t>
      </w:r>
      <w:r w:rsidR="003750AC" w:rsidRPr="00513405">
        <w:rPr>
          <w:rFonts w:ascii="Times New Roman" w:hAnsi="Times New Roman"/>
          <w:noProof/>
          <w:sz w:val="24"/>
          <w:szCs w:val="24"/>
          <w:vertAlign w:val="superscript"/>
        </w:rPr>
        <w:t>16</w:t>
      </w:r>
      <w:r w:rsidRPr="00513405">
        <w:rPr>
          <w:rFonts w:ascii="Times New Roman" w:hAnsi="Times New Roman"/>
          <w:sz w:val="24"/>
          <w:szCs w:val="24"/>
        </w:rPr>
        <w:t>. Missing loops were modeled using Prime</w:t>
      </w:r>
      <w:r w:rsidR="003750AC" w:rsidRPr="00513405">
        <w:rPr>
          <w:rFonts w:ascii="Times New Roman" w:hAnsi="Times New Roman"/>
          <w:noProof/>
          <w:sz w:val="24"/>
          <w:szCs w:val="24"/>
          <w:vertAlign w:val="superscript"/>
        </w:rPr>
        <w:t>17</w:t>
      </w:r>
      <w:r w:rsidRPr="00513405">
        <w:rPr>
          <w:rFonts w:ascii="Times New Roman" w:hAnsi="Times New Roman"/>
          <w:sz w:val="24"/>
          <w:szCs w:val="24"/>
        </w:rPr>
        <w:t xml:space="preserve"> as follows: residues 345–351 of 9MWA chain B were filled with QHARRPE; residues 107–121 of 9MWN chain A with RKLQGRPSPGPPAP; and </w:t>
      </w:r>
      <w:r w:rsidRPr="00513405">
        <w:rPr>
          <w:rFonts w:ascii="Times New Roman" w:hAnsi="Times New Roman"/>
          <w:sz w:val="24"/>
          <w:szCs w:val="24"/>
        </w:rPr>
        <w:lastRenderedPageBreak/>
        <w:t>residues 107–118 of 9MWN chain B with RKLQGRPSPGPP. Each structure was subsequently minimized in Prime to relieve steric clashes and unfavorable interactions using the ‘Automatic’ option, which combines conjugate gradient and truncated Newton methods, with an RMS gradient convergence threshold of 0.01 kcal/mol/Å. The preprocessed structures were then used to generate grids in Glide after removing residual solvent and ion atoms. All structures were parametrized with the OPLS4 force field.</w:t>
      </w:r>
      <w:r w:rsidR="003750AC" w:rsidRPr="00513405">
        <w:rPr>
          <w:rFonts w:ascii="Times New Roman" w:hAnsi="Times New Roman"/>
          <w:noProof/>
          <w:sz w:val="24"/>
          <w:szCs w:val="24"/>
          <w:vertAlign w:val="superscript"/>
        </w:rPr>
        <w:t>18</w:t>
      </w:r>
      <w:r w:rsidRPr="00513405">
        <w:rPr>
          <w:rFonts w:ascii="Times New Roman" w:hAnsi="Times New Roman"/>
          <w:sz w:val="24"/>
          <w:szCs w:val="24"/>
        </w:rPr>
        <w:t xml:space="preserve"> The ligand structure was drawn in ChemDraw 25.5 (Revvity; Waltham, MA, USA) and imported into Maestro 2024-4 (Schrödinger; New York, NY, USA). The ligand preparation included manual assignment of cationic charges to the carboximidamide imine, linker amine, and terminal amine groups, followed by LigPrep processing. During docking, the coordinates of the head group atoms from the minimized crystal structures were applied as the core constraint to retain the head group binding mode. The resulting </w:t>
      </w:r>
      <w:r w:rsidR="00513405" w:rsidRPr="00513405">
        <w:rPr>
          <w:rFonts w:ascii="Times New Roman" w:hAnsi="Times New Roman"/>
          <w:b/>
          <w:bCs/>
          <w:sz w:val="24"/>
          <w:szCs w:val="24"/>
        </w:rPr>
        <w:t>4</w:t>
      </w:r>
      <w:r w:rsidRPr="00513405">
        <w:rPr>
          <w:rFonts w:ascii="Times New Roman" w:hAnsi="Times New Roman"/>
          <w:sz w:val="24"/>
          <w:szCs w:val="24"/>
        </w:rPr>
        <w:t>-binding complexes were then minimized as described above, then solvated in an orthorhombic box of SPC water with a minimum 10 Å buffer between the complex and the box boundary. Na</w:t>
      </w:r>
      <w:r w:rsidRPr="00513405">
        <w:rPr>
          <w:rFonts w:ascii="Times New Roman" w:hAnsi="Times New Roman"/>
          <w:sz w:val="24"/>
          <w:szCs w:val="24"/>
          <w:vertAlign w:val="superscript"/>
        </w:rPr>
        <w:t>+</w:t>
      </w:r>
      <w:r w:rsidRPr="00513405">
        <w:rPr>
          <w:rFonts w:ascii="Times New Roman" w:hAnsi="Times New Roman"/>
          <w:sz w:val="24"/>
          <w:szCs w:val="24"/>
        </w:rPr>
        <w:t xml:space="preserve"> and Cl</w:t>
      </w:r>
      <w:r w:rsidRPr="00513405">
        <w:rPr>
          <w:rFonts w:ascii="Times New Roman" w:hAnsi="Times New Roman"/>
          <w:sz w:val="24"/>
          <w:szCs w:val="24"/>
          <w:vertAlign w:val="superscript"/>
        </w:rPr>
        <w:t>–</w:t>
      </w:r>
      <w:r w:rsidRPr="00513405">
        <w:rPr>
          <w:rFonts w:ascii="Times New Roman" w:hAnsi="Times New Roman"/>
          <w:sz w:val="24"/>
          <w:szCs w:val="24"/>
        </w:rPr>
        <w:t xml:space="preserve"> ions were added to achieve a physiological ionic strength of 0.15 M NaCl and neutralize the system using the System Builder in Desmond (D. E. Shaw Research, New York, NY, USA).</w:t>
      </w:r>
      <w:r w:rsidR="003750AC" w:rsidRPr="00513405">
        <w:rPr>
          <w:rFonts w:ascii="Times New Roman" w:hAnsi="Times New Roman"/>
          <w:noProof/>
          <w:sz w:val="24"/>
          <w:szCs w:val="24"/>
          <w:vertAlign w:val="superscript"/>
        </w:rPr>
        <w:t>19</w:t>
      </w:r>
      <w:r w:rsidRPr="00513405">
        <w:rPr>
          <w:rFonts w:ascii="Times New Roman" w:hAnsi="Times New Roman"/>
          <w:sz w:val="24"/>
          <w:szCs w:val="24"/>
        </w:rPr>
        <w:t xml:space="preserve"> Each system was equilibrated using the standard 5-step relaxation protocol provided by Desmond, followed by a production MD simulation under the NPT ensemble (Nose-Hoover chain thermostat and Martyna-Tobias-Klein barostat)</w:t>
      </w:r>
      <w:r w:rsidR="003750AC" w:rsidRPr="00513405">
        <w:rPr>
          <w:rFonts w:ascii="Times New Roman" w:hAnsi="Times New Roman"/>
          <w:noProof/>
          <w:sz w:val="24"/>
          <w:szCs w:val="24"/>
          <w:vertAlign w:val="superscript"/>
        </w:rPr>
        <w:t>20</w:t>
      </w:r>
      <w:r w:rsidRPr="00513405">
        <w:rPr>
          <w:rFonts w:ascii="Times New Roman" w:hAnsi="Times New Roman"/>
          <w:noProof/>
          <w:sz w:val="24"/>
          <w:szCs w:val="24"/>
          <w:vertAlign w:val="superscript"/>
        </w:rPr>
        <w:t>,</w:t>
      </w:r>
      <w:r w:rsidR="003750AC" w:rsidRPr="00513405">
        <w:rPr>
          <w:rFonts w:ascii="Times New Roman" w:hAnsi="Times New Roman"/>
          <w:noProof/>
          <w:sz w:val="24"/>
          <w:szCs w:val="24"/>
          <w:vertAlign w:val="superscript"/>
        </w:rPr>
        <w:t>21</w:t>
      </w:r>
      <w:r w:rsidRPr="00513405">
        <w:rPr>
          <w:rFonts w:ascii="Times New Roman" w:hAnsi="Times New Roman"/>
          <w:sz w:val="24"/>
          <w:szCs w:val="24"/>
        </w:rPr>
        <w:t xml:space="preserve"> at 300 K for 100 ns. MD trajectories and energy profiles were recorded every 5 ps and analyzed using the Maestro interface and Desmond module. The theoretical binding free energy was estimated from each trajectory using the </w:t>
      </w:r>
      <w:r w:rsidRPr="00513405">
        <w:rPr>
          <w:rFonts w:ascii="Times New Roman" w:hAnsi="Times New Roman"/>
          <w:i/>
          <w:iCs/>
          <w:sz w:val="24"/>
          <w:szCs w:val="24"/>
        </w:rPr>
        <w:t>thermal_mmgbsa</w:t>
      </w:r>
      <w:r w:rsidRPr="00513405">
        <w:rPr>
          <w:rFonts w:ascii="Times New Roman" w:hAnsi="Times New Roman"/>
          <w:sz w:val="24"/>
          <w:szCs w:val="24"/>
        </w:rPr>
        <w:t xml:space="preserve"> module, with frames sampled every 100 snapshots (~0.5 ns). The trajectory for the hnNOS-</w:t>
      </w:r>
      <w:r w:rsidR="00513405" w:rsidRPr="00513405">
        <w:rPr>
          <w:rFonts w:ascii="Times New Roman" w:hAnsi="Times New Roman"/>
          <w:b/>
          <w:bCs/>
          <w:sz w:val="24"/>
          <w:szCs w:val="24"/>
        </w:rPr>
        <w:t>1</w:t>
      </w:r>
      <w:r w:rsidRPr="00513405">
        <w:rPr>
          <w:rFonts w:ascii="Times New Roman" w:hAnsi="Times New Roman"/>
          <w:sz w:val="24"/>
          <w:szCs w:val="24"/>
        </w:rPr>
        <w:t xml:space="preserve"> complex was obtained from MD simulations reported previously</w:t>
      </w:r>
      <w:r w:rsidR="003750AC" w:rsidRPr="00513405">
        <w:rPr>
          <w:rFonts w:ascii="Times New Roman" w:hAnsi="Times New Roman"/>
          <w:sz w:val="24"/>
          <w:szCs w:val="24"/>
          <w:vertAlign w:val="superscript"/>
        </w:rPr>
        <w:t>22</w:t>
      </w:r>
      <w:r w:rsidRPr="00513405">
        <w:rPr>
          <w:rFonts w:ascii="Times New Roman" w:hAnsi="Times New Roman"/>
          <w:sz w:val="24"/>
          <w:szCs w:val="24"/>
        </w:rPr>
        <w:t xml:space="preserve">. </w:t>
      </w:r>
    </w:p>
    <w:p w14:paraId="5FCC68AB" w14:textId="77777777" w:rsidR="003E6A8D" w:rsidRPr="00097907" w:rsidRDefault="003E6A8D" w:rsidP="003E6A8D">
      <w:pPr>
        <w:widowControl/>
        <w:jc w:val="left"/>
        <w:rPr>
          <w:rFonts w:ascii="Times New Roman" w:hAnsi="Times New Roman"/>
          <w:color w:val="000000" w:themeColor="text1"/>
          <w:sz w:val="24"/>
          <w:szCs w:val="24"/>
          <w:highlight w:val="yellow"/>
        </w:rPr>
      </w:pPr>
    </w:p>
    <w:p w14:paraId="01F0D20C" w14:textId="295E9993" w:rsidR="008C72C7" w:rsidRPr="00EF7278" w:rsidRDefault="00363E90" w:rsidP="00EF7278">
      <w:pPr>
        <w:pStyle w:val="ListParagraph"/>
        <w:widowControl/>
        <w:numPr>
          <w:ilvl w:val="0"/>
          <w:numId w:val="26"/>
        </w:numPr>
        <w:spacing w:line="360" w:lineRule="auto"/>
        <w:rPr>
          <w:rFonts w:ascii="Times New Roman" w:hAnsi="Times New Roman"/>
          <w:b/>
          <w:color w:val="000000" w:themeColor="text1"/>
          <w:sz w:val="24"/>
          <w:szCs w:val="24"/>
        </w:rPr>
      </w:pPr>
      <w:r w:rsidRPr="00EF7278">
        <w:rPr>
          <w:rFonts w:ascii="Times New Roman" w:hAnsi="Times New Roman"/>
          <w:b/>
          <w:color w:val="000000" w:themeColor="text1"/>
          <w:sz w:val="24"/>
          <w:szCs w:val="24"/>
        </w:rPr>
        <w:t>Experimental Procedures</w:t>
      </w:r>
    </w:p>
    <w:p w14:paraId="6A2ED6E8" w14:textId="77777777" w:rsidR="00541D12" w:rsidRPr="002B2AC1" w:rsidRDefault="00541D12" w:rsidP="002B2AC1">
      <w:pPr>
        <w:spacing w:line="360" w:lineRule="auto"/>
        <w:rPr>
          <w:rFonts w:ascii="Times New Roman" w:hAnsi="Times New Roman"/>
          <w:color w:val="000000" w:themeColor="text1"/>
          <w:sz w:val="24"/>
          <w:szCs w:val="24"/>
        </w:rPr>
      </w:pPr>
      <w:r w:rsidRPr="002B2AC1">
        <w:rPr>
          <w:rFonts w:ascii="Times New Roman" w:hAnsi="Times New Roman"/>
          <w:b/>
          <w:bCs/>
          <w:sz w:val="24"/>
          <w:szCs w:val="24"/>
        </w:rPr>
        <w:t>Chemistry</w:t>
      </w:r>
    </w:p>
    <w:p w14:paraId="21F77064" w14:textId="77777777" w:rsidR="00541D12" w:rsidRPr="002B2AC1" w:rsidRDefault="00541D12" w:rsidP="002B2AC1">
      <w:pPr>
        <w:spacing w:line="360" w:lineRule="auto"/>
        <w:rPr>
          <w:rFonts w:ascii="Times New Roman" w:hAnsi="Times New Roman"/>
          <w:sz w:val="24"/>
          <w:szCs w:val="24"/>
        </w:rPr>
      </w:pPr>
      <w:r w:rsidRPr="002B2AC1">
        <w:rPr>
          <w:rFonts w:ascii="Times New Roman" w:hAnsi="Times New Roman"/>
          <w:sz w:val="24"/>
          <w:szCs w:val="24"/>
        </w:rPr>
        <w:t xml:space="preserve">Chemical reagents were obtained from commercial sources (Sigma-Aldrich, TCI, Combi-Blocks, and AA Blocks) and used without additional purification. Anhydrous solvents (THF, acetonitrile, and DMF) were purchased from Thermo Fisher and dried using a solvent purification system prior to use. All reactions were conducted under a nitrogen atmosphere. Thin-layer chromatography (TLC) was performed on Merck silica gel 60 F254 plates (0.25 mm thickness) with visualization under UV light (254 nm). Flash column chromatography was carried out on a Teledyne </w:t>
      </w:r>
      <w:r w:rsidRPr="002B2AC1">
        <w:rPr>
          <w:rFonts w:ascii="Times New Roman" w:hAnsi="Times New Roman"/>
          <w:sz w:val="24"/>
          <w:szCs w:val="24"/>
        </w:rPr>
        <w:lastRenderedPageBreak/>
        <w:t>CombiFlash Nextgen 300+ instrument equipped with prepacked silica columns.</w:t>
      </w:r>
    </w:p>
    <w:p w14:paraId="50F821DA" w14:textId="668DA835" w:rsidR="002B2AC1" w:rsidRDefault="00541D12" w:rsidP="002B2AC1">
      <w:pPr>
        <w:spacing w:line="360" w:lineRule="auto"/>
        <w:rPr>
          <w:rFonts w:ascii="Times New Roman" w:hAnsi="Times New Roman"/>
          <w:sz w:val="24"/>
          <w:szCs w:val="24"/>
        </w:rPr>
      </w:pPr>
      <w:r w:rsidRPr="002B2AC1">
        <w:rPr>
          <w:rFonts w:ascii="Times New Roman" w:hAnsi="Times New Roman"/>
          <w:sz w:val="24"/>
          <w:szCs w:val="24"/>
          <w:vertAlign w:val="superscript"/>
        </w:rPr>
        <w:t>1</w:t>
      </w:r>
      <w:r w:rsidRPr="002B2AC1">
        <w:rPr>
          <w:rFonts w:ascii="Times New Roman" w:hAnsi="Times New Roman"/>
          <w:sz w:val="24"/>
          <w:szCs w:val="24"/>
        </w:rPr>
        <w:t xml:space="preserve">H and </w:t>
      </w:r>
      <w:r w:rsidRPr="002B2AC1">
        <w:rPr>
          <w:rFonts w:ascii="Times New Roman" w:hAnsi="Times New Roman"/>
          <w:sz w:val="24"/>
          <w:szCs w:val="24"/>
          <w:vertAlign w:val="superscript"/>
        </w:rPr>
        <w:t>13</w:t>
      </w:r>
      <w:r w:rsidRPr="002B2AC1">
        <w:rPr>
          <w:rFonts w:ascii="Times New Roman" w:hAnsi="Times New Roman"/>
          <w:sz w:val="24"/>
          <w:szCs w:val="24"/>
        </w:rPr>
        <w:t>C NMR spectra were recorded on a Bruker Avance III spectrometer operating at 500 and 125 MHz, respectively, using CDCl</w:t>
      </w:r>
      <w:r w:rsidRPr="002B2AC1">
        <w:rPr>
          <w:rFonts w:ascii="Times New Roman" w:hAnsi="Times New Roman"/>
          <w:sz w:val="24"/>
          <w:szCs w:val="24"/>
          <w:vertAlign w:val="subscript"/>
        </w:rPr>
        <w:t>3</w:t>
      </w:r>
      <w:r w:rsidRPr="002B2AC1">
        <w:rPr>
          <w:rFonts w:ascii="Times New Roman" w:hAnsi="Times New Roman"/>
          <w:sz w:val="24"/>
          <w:szCs w:val="24"/>
        </w:rPr>
        <w:t>, CD</w:t>
      </w:r>
      <w:r w:rsidRPr="002B2AC1">
        <w:rPr>
          <w:rFonts w:ascii="Times New Roman" w:hAnsi="Times New Roman"/>
          <w:sz w:val="24"/>
          <w:szCs w:val="24"/>
          <w:vertAlign w:val="subscript"/>
        </w:rPr>
        <w:t>3</w:t>
      </w:r>
      <w:r w:rsidRPr="002B2AC1">
        <w:rPr>
          <w:rFonts w:ascii="Times New Roman" w:hAnsi="Times New Roman"/>
          <w:sz w:val="24"/>
          <w:szCs w:val="24"/>
        </w:rPr>
        <w:t>OD, DMSO-d</w:t>
      </w:r>
      <w:r w:rsidRPr="002B2AC1">
        <w:rPr>
          <w:rFonts w:ascii="Times New Roman" w:hAnsi="Times New Roman"/>
          <w:sz w:val="24"/>
          <w:szCs w:val="24"/>
          <w:vertAlign w:val="subscript"/>
        </w:rPr>
        <w:t>6</w:t>
      </w:r>
      <w:r w:rsidRPr="002B2AC1">
        <w:rPr>
          <w:rFonts w:ascii="Times New Roman" w:hAnsi="Times New Roman"/>
          <w:sz w:val="24"/>
          <w:szCs w:val="24"/>
        </w:rPr>
        <w:t xml:space="preserve">, or D₂O as solvents. Chemical shifts (δ) are reported in parts per million relative to internal solvent standards, with coupling constants (J) expressed in hertz. Multiplicities are designated as s (singlet), d (doublet), t (triplet), q (quartet), sep (septet), dd (doublet of doublets), dt (doublet of triplets), m (multiplet), and br (broad). High-resolution mass spectra were obtained on an LC-TOF instrument (Agilent G1312) operating in positive-ion electrospray ionization (ESI) mode. </w:t>
      </w:r>
      <w:r w:rsidR="00880DFA" w:rsidRPr="00880DFA">
        <w:rPr>
          <w:rFonts w:ascii="Times New Roman" w:hAnsi="Times New Roman" w:hint="eastAsia"/>
          <w:sz w:val="24"/>
          <w:szCs w:val="24"/>
        </w:rPr>
        <w:t>The purity of all final compounds (3 and 4) was assessed by LC</w:t>
      </w:r>
      <w:r w:rsidR="00880DFA">
        <w:rPr>
          <w:rFonts w:ascii="Times New Roman" w:hAnsi="Times New Roman"/>
          <w:sz w:val="24"/>
          <w:szCs w:val="24"/>
        </w:rPr>
        <w:t>-</w:t>
      </w:r>
      <w:r w:rsidR="00880DFA" w:rsidRPr="00880DFA">
        <w:rPr>
          <w:rFonts w:ascii="Times New Roman" w:hAnsi="Times New Roman" w:hint="eastAsia"/>
          <w:sz w:val="24"/>
          <w:szCs w:val="24"/>
        </w:rPr>
        <w:t xml:space="preserve">MS and was </w:t>
      </w:r>
      <w:r w:rsidR="00880DFA">
        <w:rPr>
          <w:rFonts w:ascii="Times New Roman" w:hAnsi="Times New Roman"/>
          <w:sz w:val="24"/>
          <w:szCs w:val="24"/>
        </w:rPr>
        <w:t xml:space="preserve">≥ </w:t>
      </w:r>
      <w:r w:rsidR="00880DFA" w:rsidRPr="00880DFA">
        <w:rPr>
          <w:rFonts w:ascii="Times New Roman" w:hAnsi="Times New Roman" w:hint="eastAsia"/>
          <w:sz w:val="24"/>
          <w:szCs w:val="24"/>
        </w:rPr>
        <w:t>95%.</w:t>
      </w:r>
    </w:p>
    <w:p w14:paraId="7F08D773" w14:textId="77777777" w:rsidR="00880DFA" w:rsidRPr="002B2AC1" w:rsidRDefault="00880DFA" w:rsidP="002B2AC1">
      <w:pPr>
        <w:spacing w:line="360" w:lineRule="auto"/>
        <w:rPr>
          <w:rFonts w:ascii="Times New Roman" w:hAnsi="Times New Roman"/>
          <w:sz w:val="24"/>
          <w:szCs w:val="24"/>
        </w:rPr>
      </w:pPr>
    </w:p>
    <w:p w14:paraId="7B9537B3" w14:textId="44644791" w:rsidR="00541D12" w:rsidRPr="002B2AC1" w:rsidRDefault="00541D12" w:rsidP="002B2AC1">
      <w:pPr>
        <w:spacing w:line="360" w:lineRule="auto"/>
        <w:rPr>
          <w:rFonts w:ascii="Times New Roman" w:hAnsi="Times New Roman"/>
          <w:sz w:val="24"/>
          <w:szCs w:val="24"/>
        </w:rPr>
      </w:pPr>
      <w:r w:rsidRPr="002B2AC1">
        <w:rPr>
          <w:rFonts w:ascii="Times New Roman" w:hAnsi="Times New Roman"/>
          <w:b/>
          <w:bCs/>
          <w:sz w:val="24"/>
          <w:szCs w:val="24"/>
        </w:rPr>
        <w:t xml:space="preserve">General Procedure 1: Reductive Amination and Boc Protection </w:t>
      </w:r>
    </w:p>
    <w:p w14:paraId="2686CA1C" w14:textId="433BAE2E" w:rsidR="00541D12" w:rsidRPr="00BB2B1D" w:rsidRDefault="00541D12" w:rsidP="002B2AC1">
      <w:pPr>
        <w:spacing w:line="360" w:lineRule="auto"/>
        <w:rPr>
          <w:rFonts w:ascii="Times New Roman" w:hAnsi="Times New Roman"/>
          <w:i/>
          <w:iCs/>
          <w:sz w:val="24"/>
          <w:szCs w:val="24"/>
        </w:rPr>
      </w:pPr>
      <w:r w:rsidRPr="002B2AC1">
        <w:rPr>
          <w:rFonts w:ascii="Times New Roman" w:hAnsi="Times New Roman"/>
          <w:sz w:val="24"/>
          <w:szCs w:val="24"/>
        </w:rPr>
        <w:t xml:space="preserve">A solution of the amine intermediate (1.0 equiv) and the corresponding benzaldehyde (1.1 equiv) in anhydrous THF (5 mL) was treated with glacial acetic acid (0.1 equiv) and stirred at room temperature for 1 h. Sodium cyanoborohydride (1.1 equiv) was added portionwise over 10 min, and the reaction was allowed to proceed overnight at ambient temperature. Methanol (2 mL) was added dropwise to quench the reaction, and the mixture was concentrated under reduced pressure. The residue was dissolved in ethyl acetate (15 mL) and sequentially washed with aqueous sodium hydroxide (1 M, 5 mL) and brine (20 mL). The organic layer was dried over anhydrous sodium sulfate, filtered, and concentrated to afford the crude secondary amine as a viscous orange oil. To the crude product were added di-tert-butyl dicarbonate (1.5 equiv), sodium bicarbonate (1.2 equiv), and anhydrous acetonitrile (5 mL). After stirring at room temperature for 15 min, the reaction mixture was concentrated in </w:t>
      </w:r>
      <w:r w:rsidRPr="00BB2B1D">
        <w:rPr>
          <w:rFonts w:ascii="Times New Roman" w:hAnsi="Times New Roman"/>
          <w:i/>
          <w:iCs/>
          <w:sz w:val="24"/>
          <w:szCs w:val="24"/>
        </w:rPr>
        <w:t>vacuo</w:t>
      </w:r>
      <w:r w:rsidRPr="002B2AC1">
        <w:rPr>
          <w:rFonts w:ascii="Times New Roman" w:hAnsi="Times New Roman"/>
          <w:sz w:val="24"/>
          <w:szCs w:val="24"/>
        </w:rPr>
        <w:t>. The residue was taken up in ethyl acetate (50 mL), washed with brine (30 mL), dried over anhydrous sodium sulfate, and concentrated. The crude material was purified by flash column chromatography to afford the Boc-protected intermediates.</w:t>
      </w:r>
    </w:p>
    <w:p w14:paraId="4A43D7BA" w14:textId="77777777" w:rsidR="002B2AC1" w:rsidRPr="002B2AC1" w:rsidRDefault="002B2AC1" w:rsidP="002B2AC1">
      <w:pPr>
        <w:spacing w:line="360" w:lineRule="auto"/>
        <w:rPr>
          <w:rFonts w:ascii="Times New Roman" w:hAnsi="Times New Roman"/>
          <w:sz w:val="24"/>
          <w:szCs w:val="24"/>
        </w:rPr>
      </w:pPr>
    </w:p>
    <w:p w14:paraId="1C046639" w14:textId="5C0CAB6F" w:rsidR="00541D12" w:rsidRPr="002B2AC1" w:rsidRDefault="00541D12" w:rsidP="002B2AC1">
      <w:pPr>
        <w:spacing w:line="360" w:lineRule="auto"/>
        <w:rPr>
          <w:rFonts w:ascii="Times New Roman" w:hAnsi="Times New Roman"/>
          <w:b/>
          <w:bCs/>
          <w:sz w:val="24"/>
          <w:szCs w:val="24"/>
        </w:rPr>
      </w:pPr>
      <w:r w:rsidRPr="002B2AC1">
        <w:rPr>
          <w:rFonts w:ascii="Times New Roman" w:hAnsi="Times New Roman"/>
          <w:b/>
          <w:bCs/>
          <w:sz w:val="24"/>
          <w:szCs w:val="24"/>
        </w:rPr>
        <w:t xml:space="preserve">General Procedure 2: Wittig Olefination and Vinyl Ether Hydrolysis </w:t>
      </w:r>
    </w:p>
    <w:p w14:paraId="6FD24835" w14:textId="77777777" w:rsidR="00541D12" w:rsidRDefault="00541D12" w:rsidP="002B2AC1">
      <w:pPr>
        <w:spacing w:line="360" w:lineRule="auto"/>
        <w:rPr>
          <w:rFonts w:ascii="Times New Roman" w:hAnsi="Times New Roman"/>
          <w:sz w:val="24"/>
          <w:szCs w:val="24"/>
        </w:rPr>
      </w:pPr>
      <w:r w:rsidRPr="002B2AC1">
        <w:rPr>
          <w:rFonts w:ascii="Times New Roman" w:hAnsi="Times New Roman"/>
          <w:sz w:val="24"/>
          <w:szCs w:val="24"/>
        </w:rPr>
        <w:t xml:space="preserve">A round-bottom flask was charged with methoxymethyltriphenylphosphonium chloride (2.5 equiv) and potassium tert-butoxide (2.3 equiv) under a nitrogen atmosphere. Anhydrous THF (10 mL) was added, and the mixture was stirred at 0 °C for 30 min to generate the ylide. The aldehyde intermediate (1.0 equiv) was dissolved in the minimum amount of anhydrous THF and added slowly to the ylide solution. Reaction progress was monitored by TLC, and upon completion, the </w:t>
      </w:r>
      <w:r w:rsidRPr="002B2AC1">
        <w:rPr>
          <w:rFonts w:ascii="Times New Roman" w:hAnsi="Times New Roman"/>
          <w:sz w:val="24"/>
          <w:szCs w:val="24"/>
        </w:rPr>
        <w:lastRenderedPageBreak/>
        <w:t>mixture was quenched with saturated aqueous ammonium chloride (10 mL). The reaction mixture was extracted with ethyl acetate (2 × 15 mL), and the combined organic layers were concentrated under reduced pressure to afford the crude vinyl ether intermediate. The crude vinyl ether (1.0 equiv) was dissolved in a THF:water mixture (10:1 v/v, 11 mL) and cooled to 0 °C. Mercury(II) acetate (3.0 equiv) was added, and the reaction was stirred at 0 °C for 1 h. The reaction was quenched with saturated aqueous sodium thiosulfate (10 mL), and the suspension was filtered through Celite. The filtrate was diluted with ethyl acetate (15 mL) and washed sequentially with aqueous sodium chloride (20 mL) and water (10 mL). The organic layer was dried over anhydrous sodium sulfate, filtered, and concentrated under reduced pressure. Purification by flash column chromatography afforded the corresponding aldehyde intermediates.</w:t>
      </w:r>
    </w:p>
    <w:p w14:paraId="25CD7A5C" w14:textId="77777777" w:rsidR="002B2AC1" w:rsidRPr="002B2AC1" w:rsidRDefault="002B2AC1" w:rsidP="002B2AC1">
      <w:pPr>
        <w:spacing w:line="360" w:lineRule="auto"/>
        <w:rPr>
          <w:rFonts w:ascii="Times New Roman" w:hAnsi="Times New Roman"/>
          <w:sz w:val="24"/>
          <w:szCs w:val="24"/>
        </w:rPr>
      </w:pPr>
    </w:p>
    <w:p w14:paraId="71291F99" w14:textId="46E726F8" w:rsidR="00541D12" w:rsidRPr="002B2AC1" w:rsidRDefault="00541D12" w:rsidP="002B2AC1">
      <w:pPr>
        <w:spacing w:line="360" w:lineRule="auto"/>
        <w:rPr>
          <w:rFonts w:ascii="Times New Roman" w:hAnsi="Times New Roman"/>
          <w:sz w:val="24"/>
          <w:szCs w:val="24"/>
        </w:rPr>
      </w:pPr>
      <w:r w:rsidRPr="002B2AC1">
        <w:rPr>
          <w:rFonts w:ascii="Times New Roman" w:hAnsi="Times New Roman"/>
          <w:b/>
          <w:bCs/>
          <w:sz w:val="24"/>
          <w:szCs w:val="24"/>
        </w:rPr>
        <w:t xml:space="preserve">General Procedure 3: Head Group Installation and Hydrochloride Salt Formation </w:t>
      </w:r>
    </w:p>
    <w:p w14:paraId="51AE24A5" w14:textId="77777777" w:rsidR="00541D12" w:rsidRDefault="00541D12" w:rsidP="002B2AC1">
      <w:pPr>
        <w:spacing w:line="360" w:lineRule="auto"/>
        <w:rPr>
          <w:rFonts w:ascii="Times New Roman" w:hAnsi="Times New Roman"/>
          <w:sz w:val="24"/>
          <w:szCs w:val="24"/>
        </w:rPr>
      </w:pPr>
      <w:r w:rsidRPr="002B2AC1">
        <w:rPr>
          <w:rFonts w:ascii="Times New Roman" w:hAnsi="Times New Roman"/>
          <w:sz w:val="24"/>
          <w:szCs w:val="24"/>
        </w:rPr>
        <w:t xml:space="preserve">The amine intermediate (1.0 equiv) was dissolved in absolute ethanol (2 mL), and the methyl furan-2-carbimidothioate hydroiodide salt (2.0 equiv) was added. The reaction mixture was stirred at room temperature for 24 h and then concentrated under reduced pressure. Purification of the crude residue was performed and was further dissolved in 3 M hydrochloric acid in methanol (1 mL) and stirred at room temperature for 24 h, then concentrated in </w:t>
      </w:r>
      <w:r w:rsidRPr="00BB2B1D">
        <w:rPr>
          <w:rFonts w:ascii="Times New Roman" w:hAnsi="Times New Roman"/>
          <w:i/>
          <w:iCs/>
          <w:sz w:val="24"/>
          <w:szCs w:val="24"/>
        </w:rPr>
        <w:t>vacuo</w:t>
      </w:r>
      <w:r w:rsidRPr="002B2AC1">
        <w:rPr>
          <w:rFonts w:ascii="Times New Roman" w:hAnsi="Times New Roman"/>
          <w:sz w:val="24"/>
          <w:szCs w:val="24"/>
        </w:rPr>
        <w:t xml:space="preserve">. Anhydrous methanol (0.2 mL) was added to the residue, and the mixture was gently warmed (40 °C water bath) until complete dissolution was achieved. Anhydrous diethyl ether (1 mL) was added dropwise until precipitation occurred. The resulting solid was isolated by decantation, washed with ice-cold anhydrous diethyl ether (3 × 5 mL portions), and dried under reduced pressure to furnish compounds </w:t>
      </w:r>
      <w:r w:rsidRPr="002B2AC1">
        <w:rPr>
          <w:rFonts w:ascii="Times New Roman" w:hAnsi="Times New Roman"/>
          <w:b/>
          <w:bCs/>
          <w:sz w:val="24"/>
          <w:szCs w:val="24"/>
        </w:rPr>
        <w:t>3</w:t>
      </w:r>
      <w:r w:rsidRPr="002B2AC1">
        <w:rPr>
          <w:rFonts w:ascii="Times New Roman" w:hAnsi="Times New Roman"/>
          <w:sz w:val="24"/>
          <w:szCs w:val="24"/>
        </w:rPr>
        <w:t xml:space="preserve"> and </w:t>
      </w:r>
      <w:r w:rsidRPr="002B2AC1">
        <w:rPr>
          <w:rFonts w:ascii="Times New Roman" w:hAnsi="Times New Roman"/>
          <w:b/>
          <w:bCs/>
          <w:sz w:val="24"/>
          <w:szCs w:val="24"/>
        </w:rPr>
        <w:t>4</w:t>
      </w:r>
      <w:r w:rsidRPr="002B2AC1">
        <w:rPr>
          <w:rFonts w:ascii="Times New Roman" w:hAnsi="Times New Roman"/>
          <w:sz w:val="24"/>
          <w:szCs w:val="24"/>
        </w:rPr>
        <w:t xml:space="preserve"> as their trihydrochloride salts.</w:t>
      </w:r>
    </w:p>
    <w:p w14:paraId="0108E2CD" w14:textId="77777777" w:rsidR="00836C14" w:rsidRPr="002B2AC1" w:rsidRDefault="00836C14" w:rsidP="002B2AC1">
      <w:pPr>
        <w:spacing w:line="360" w:lineRule="auto"/>
        <w:rPr>
          <w:rFonts w:ascii="Times New Roman" w:hAnsi="Times New Roman"/>
          <w:sz w:val="24"/>
          <w:szCs w:val="24"/>
        </w:rPr>
      </w:pPr>
    </w:p>
    <w:p w14:paraId="20C0B5B8" w14:textId="77777777" w:rsidR="00541D12" w:rsidRPr="002B2AC1" w:rsidRDefault="00541D12" w:rsidP="002B2AC1">
      <w:pPr>
        <w:spacing w:line="360" w:lineRule="auto"/>
        <w:rPr>
          <w:rFonts w:ascii="Times New Roman" w:hAnsi="Times New Roman"/>
          <w:b/>
          <w:bCs/>
          <w:color w:val="000000"/>
          <w:sz w:val="24"/>
          <w:szCs w:val="24"/>
        </w:rPr>
      </w:pPr>
      <w:r w:rsidRPr="002B2AC1">
        <w:rPr>
          <w:rFonts w:ascii="Times New Roman" w:hAnsi="Times New Roman"/>
          <w:b/>
          <w:bCs/>
          <w:i/>
          <w:iCs/>
          <w:color w:val="000000"/>
          <w:sz w:val="24"/>
          <w:szCs w:val="24"/>
        </w:rPr>
        <w:t>N</w:t>
      </w:r>
      <w:r w:rsidRPr="002B2AC1">
        <w:rPr>
          <w:rFonts w:ascii="Times New Roman" w:hAnsi="Times New Roman"/>
          <w:b/>
          <w:bCs/>
          <w:color w:val="000000"/>
          <w:sz w:val="24"/>
          <w:szCs w:val="24"/>
        </w:rPr>
        <w:t>-(4-(2-((5-(2-(Dimethylamino)ethyl)-3-fluorobenzyl)amino)ethyl)phenyl)furan-2-carboximidamide hydrochloride salt (3)</w:t>
      </w:r>
    </w:p>
    <w:p w14:paraId="1C081D47" w14:textId="29471126" w:rsidR="00541D12" w:rsidRDefault="00541D12" w:rsidP="002B2AC1">
      <w:pPr>
        <w:spacing w:line="360" w:lineRule="auto"/>
        <w:rPr>
          <w:rFonts w:ascii="Times New Roman" w:hAnsi="Times New Roman"/>
          <w:color w:val="000000"/>
          <w:sz w:val="24"/>
          <w:szCs w:val="24"/>
        </w:rPr>
      </w:pPr>
      <w:r w:rsidRPr="002B2AC1">
        <w:rPr>
          <w:rFonts w:ascii="Times New Roman" w:hAnsi="Times New Roman"/>
          <w:color w:val="000000"/>
          <w:sz w:val="24"/>
          <w:szCs w:val="24"/>
          <w:vertAlign w:val="superscript"/>
        </w:rPr>
        <w:t>1</w:t>
      </w:r>
      <w:r w:rsidRPr="002B2AC1">
        <w:rPr>
          <w:rFonts w:ascii="Times New Roman" w:hAnsi="Times New Roman"/>
          <w:color w:val="000000"/>
          <w:sz w:val="24"/>
          <w:szCs w:val="24"/>
        </w:rPr>
        <w:t>H NMR (500 MHz, D</w:t>
      </w:r>
      <w:r w:rsidRPr="002B2AC1">
        <w:rPr>
          <w:rFonts w:ascii="Times New Roman" w:hAnsi="Times New Roman"/>
          <w:color w:val="000000"/>
          <w:sz w:val="24"/>
          <w:szCs w:val="24"/>
          <w:vertAlign w:val="subscript"/>
        </w:rPr>
        <w:t>2</w:t>
      </w:r>
      <w:r w:rsidRPr="002B2AC1">
        <w:rPr>
          <w:rFonts w:ascii="Times New Roman" w:hAnsi="Times New Roman"/>
          <w:color w:val="000000"/>
          <w:sz w:val="24"/>
          <w:szCs w:val="24"/>
        </w:rPr>
        <w:t xml:space="preserve">O) </w:t>
      </w:r>
      <w:r w:rsidRPr="002B2AC1">
        <w:rPr>
          <w:rFonts w:ascii="Times New Roman" w:hAnsi="Times New Roman"/>
          <w:i/>
          <w:iCs/>
          <w:color w:val="000000"/>
          <w:sz w:val="24"/>
          <w:szCs w:val="24"/>
        </w:rPr>
        <w:t>δ</w:t>
      </w:r>
      <w:r w:rsidRPr="002B2AC1">
        <w:rPr>
          <w:rFonts w:ascii="Times New Roman" w:hAnsi="Times New Roman"/>
          <w:color w:val="000000"/>
          <w:sz w:val="24"/>
          <w:szCs w:val="24"/>
        </w:rPr>
        <w:t xml:space="preserve"> 7.79 (d, </w:t>
      </w:r>
      <w:r w:rsidRPr="002B2AC1">
        <w:rPr>
          <w:rFonts w:ascii="Times New Roman" w:hAnsi="Times New Roman"/>
          <w:i/>
          <w:iCs/>
          <w:color w:val="000000"/>
          <w:sz w:val="24"/>
          <w:szCs w:val="24"/>
        </w:rPr>
        <w:t>J</w:t>
      </w:r>
      <w:r w:rsidRPr="002B2AC1">
        <w:rPr>
          <w:rFonts w:ascii="Times New Roman" w:hAnsi="Times New Roman"/>
          <w:color w:val="000000"/>
          <w:sz w:val="24"/>
          <w:szCs w:val="24"/>
        </w:rPr>
        <w:t xml:space="preserve"> = 1.7 Hz, 1H), 7.45 (d, </w:t>
      </w:r>
      <w:r w:rsidRPr="002B2AC1">
        <w:rPr>
          <w:rFonts w:ascii="Times New Roman" w:hAnsi="Times New Roman"/>
          <w:i/>
          <w:iCs/>
          <w:color w:val="000000"/>
          <w:sz w:val="24"/>
          <w:szCs w:val="24"/>
        </w:rPr>
        <w:t>J</w:t>
      </w:r>
      <w:r w:rsidRPr="002B2AC1">
        <w:rPr>
          <w:rFonts w:ascii="Times New Roman" w:hAnsi="Times New Roman"/>
          <w:color w:val="000000"/>
          <w:sz w:val="24"/>
          <w:szCs w:val="24"/>
        </w:rPr>
        <w:t xml:space="preserve"> = 3.8 Hz, 1H), 7.37 – 7.23 (m, 4H), 7.10 (s, 1H), 7.05 (ddt, </w:t>
      </w:r>
      <w:r w:rsidRPr="002B2AC1">
        <w:rPr>
          <w:rFonts w:ascii="Times New Roman" w:hAnsi="Times New Roman"/>
          <w:i/>
          <w:iCs/>
          <w:color w:val="000000"/>
          <w:sz w:val="24"/>
          <w:szCs w:val="24"/>
        </w:rPr>
        <w:t>J</w:t>
      </w:r>
      <w:r w:rsidRPr="002B2AC1">
        <w:rPr>
          <w:rFonts w:ascii="Times New Roman" w:hAnsi="Times New Roman"/>
          <w:color w:val="000000"/>
          <w:sz w:val="24"/>
          <w:szCs w:val="24"/>
        </w:rPr>
        <w:t xml:space="preserve"> = 13.6, 9.3, 2.2 Hz, 2H), 6.67 (dd, </w:t>
      </w:r>
      <w:r w:rsidRPr="002B2AC1">
        <w:rPr>
          <w:rFonts w:ascii="Times New Roman" w:hAnsi="Times New Roman"/>
          <w:i/>
          <w:iCs/>
          <w:color w:val="000000"/>
          <w:sz w:val="24"/>
          <w:szCs w:val="24"/>
        </w:rPr>
        <w:t>J</w:t>
      </w:r>
      <w:r w:rsidRPr="002B2AC1">
        <w:rPr>
          <w:rFonts w:ascii="Times New Roman" w:hAnsi="Times New Roman"/>
          <w:color w:val="000000"/>
          <w:sz w:val="24"/>
          <w:szCs w:val="24"/>
        </w:rPr>
        <w:t xml:space="preserve"> = 3.8, 1.8 Hz, 1H), 4.14 (s, 2H), 3.31 (dd, </w:t>
      </w:r>
      <w:r w:rsidRPr="002B2AC1">
        <w:rPr>
          <w:rFonts w:ascii="Times New Roman" w:hAnsi="Times New Roman"/>
          <w:i/>
          <w:iCs/>
          <w:color w:val="000000"/>
          <w:sz w:val="24"/>
          <w:szCs w:val="24"/>
        </w:rPr>
        <w:t>J</w:t>
      </w:r>
      <w:r w:rsidRPr="002B2AC1">
        <w:rPr>
          <w:rFonts w:ascii="Times New Roman" w:hAnsi="Times New Roman"/>
          <w:color w:val="000000"/>
          <w:sz w:val="24"/>
          <w:szCs w:val="24"/>
        </w:rPr>
        <w:t xml:space="preserve"> = 9.4, 6.6 Hz, 2H), 3.00 – 2.96 (m, 4H), 2.79 (s, 6H). </w:t>
      </w:r>
      <w:r w:rsidRPr="002B2AC1">
        <w:rPr>
          <w:rFonts w:ascii="Times New Roman" w:hAnsi="Times New Roman"/>
          <w:color w:val="000000"/>
          <w:sz w:val="24"/>
          <w:szCs w:val="24"/>
          <w:vertAlign w:val="superscript"/>
        </w:rPr>
        <w:t>13</w:t>
      </w:r>
      <w:r w:rsidRPr="002B2AC1">
        <w:rPr>
          <w:rFonts w:ascii="Times New Roman" w:hAnsi="Times New Roman"/>
          <w:color w:val="000000"/>
          <w:sz w:val="24"/>
          <w:szCs w:val="24"/>
        </w:rPr>
        <w:t>C NMR (125 MHz, D</w:t>
      </w:r>
      <w:r w:rsidRPr="002B2AC1">
        <w:rPr>
          <w:rFonts w:ascii="Times New Roman" w:hAnsi="Times New Roman"/>
          <w:color w:val="000000"/>
          <w:sz w:val="24"/>
          <w:szCs w:val="24"/>
          <w:vertAlign w:val="subscript"/>
        </w:rPr>
        <w:t>2</w:t>
      </w:r>
      <w:r w:rsidRPr="002B2AC1">
        <w:rPr>
          <w:rFonts w:ascii="Times New Roman" w:hAnsi="Times New Roman"/>
          <w:color w:val="000000"/>
          <w:sz w:val="24"/>
          <w:szCs w:val="24"/>
        </w:rPr>
        <w:t xml:space="preserve">O) </w:t>
      </w:r>
      <w:r w:rsidRPr="002B2AC1">
        <w:rPr>
          <w:rFonts w:ascii="Times New Roman" w:hAnsi="Times New Roman"/>
          <w:i/>
          <w:iCs/>
          <w:color w:val="000000"/>
          <w:sz w:val="24"/>
          <w:szCs w:val="24"/>
        </w:rPr>
        <w:t xml:space="preserve">δ </w:t>
      </w:r>
      <w:r w:rsidRPr="002B2AC1">
        <w:rPr>
          <w:rFonts w:ascii="Times New Roman" w:hAnsi="Times New Roman"/>
          <w:color w:val="000000"/>
          <w:sz w:val="24"/>
          <w:szCs w:val="24"/>
        </w:rPr>
        <w:t xml:space="preserve">163.7, 161.7, 152.4, 148.9, 140.6, 139.6 (d, </w:t>
      </w:r>
      <w:r w:rsidRPr="002B2AC1">
        <w:rPr>
          <w:rFonts w:ascii="Times New Roman" w:hAnsi="Times New Roman"/>
          <w:i/>
          <w:iCs/>
          <w:color w:val="000000"/>
          <w:sz w:val="24"/>
          <w:szCs w:val="24"/>
        </w:rPr>
        <w:t>J</w:t>
      </w:r>
      <w:r w:rsidRPr="002B2AC1">
        <w:rPr>
          <w:rFonts w:ascii="Times New Roman" w:hAnsi="Times New Roman"/>
          <w:color w:val="000000"/>
          <w:sz w:val="24"/>
          <w:szCs w:val="24"/>
        </w:rPr>
        <w:t xml:space="preserve"> = 8.2 Hz), 137.5, 133.2 (d, </w:t>
      </w:r>
      <w:r w:rsidRPr="002B2AC1">
        <w:rPr>
          <w:rFonts w:ascii="Times New Roman" w:hAnsi="Times New Roman"/>
          <w:i/>
          <w:iCs/>
          <w:color w:val="000000"/>
          <w:sz w:val="24"/>
          <w:szCs w:val="24"/>
        </w:rPr>
        <w:t>J</w:t>
      </w:r>
      <w:r w:rsidRPr="002B2AC1">
        <w:rPr>
          <w:rFonts w:ascii="Times New Roman" w:hAnsi="Times New Roman"/>
          <w:color w:val="000000"/>
          <w:sz w:val="24"/>
          <w:szCs w:val="24"/>
        </w:rPr>
        <w:t xml:space="preserve"> = 8.2 Hz), 132.0, 126.2 (d, </w:t>
      </w:r>
      <w:r w:rsidRPr="002B2AC1">
        <w:rPr>
          <w:rFonts w:ascii="Times New Roman" w:hAnsi="Times New Roman"/>
          <w:i/>
          <w:iCs/>
          <w:color w:val="000000"/>
          <w:sz w:val="24"/>
          <w:szCs w:val="24"/>
        </w:rPr>
        <w:t>J</w:t>
      </w:r>
      <w:r w:rsidRPr="002B2AC1">
        <w:rPr>
          <w:rFonts w:ascii="Times New Roman" w:hAnsi="Times New Roman"/>
          <w:color w:val="000000"/>
          <w:sz w:val="24"/>
          <w:szCs w:val="24"/>
        </w:rPr>
        <w:t xml:space="preserve"> = 3.9 Hz), 119.0, 116.9 (d, </w:t>
      </w:r>
      <w:r w:rsidRPr="002B2AC1">
        <w:rPr>
          <w:rFonts w:ascii="Times New Roman" w:hAnsi="Times New Roman"/>
          <w:i/>
          <w:iCs/>
          <w:color w:val="000000"/>
          <w:sz w:val="24"/>
          <w:szCs w:val="24"/>
        </w:rPr>
        <w:t>J</w:t>
      </w:r>
      <w:r w:rsidRPr="002B2AC1">
        <w:rPr>
          <w:rFonts w:ascii="Times New Roman" w:hAnsi="Times New Roman"/>
          <w:color w:val="000000"/>
          <w:sz w:val="24"/>
          <w:szCs w:val="24"/>
        </w:rPr>
        <w:t xml:space="preserve"> = 21.7 Hz), 115.5 (d, </w:t>
      </w:r>
      <w:r w:rsidRPr="002B2AC1">
        <w:rPr>
          <w:rFonts w:ascii="Times New Roman" w:hAnsi="Times New Roman"/>
          <w:i/>
          <w:iCs/>
          <w:color w:val="000000"/>
          <w:sz w:val="24"/>
          <w:szCs w:val="24"/>
        </w:rPr>
        <w:t>J</w:t>
      </w:r>
      <w:r w:rsidRPr="002B2AC1">
        <w:rPr>
          <w:rFonts w:ascii="Times New Roman" w:hAnsi="Times New Roman"/>
          <w:color w:val="000000"/>
          <w:sz w:val="24"/>
          <w:szCs w:val="24"/>
        </w:rPr>
        <w:t xml:space="preserve"> = 22.5 Hz), 113.3, 57.8, 50.2, 47.7, 42.8, 31.2, 29.8.</w:t>
      </w:r>
      <w:r w:rsidR="006A04AE" w:rsidRPr="006A04AE">
        <w:rPr>
          <w:rFonts w:ascii="Times New Roman" w:hAnsi="Times New Roman"/>
          <w:b/>
          <w:bCs/>
          <w:color w:val="000000" w:themeColor="text1"/>
          <w:sz w:val="24"/>
          <w:szCs w:val="24"/>
        </w:rPr>
        <w:t xml:space="preserve"> </w:t>
      </w:r>
      <w:r w:rsidR="0081226D">
        <w:rPr>
          <w:rFonts w:ascii="Times New Roman" w:hAnsi="Times New Roman"/>
          <w:b/>
          <w:bCs/>
          <w:color w:val="000000" w:themeColor="text1"/>
          <w:sz w:val="24"/>
          <w:szCs w:val="24"/>
        </w:rPr>
        <w:t>L</w:t>
      </w:r>
      <w:r w:rsidR="006A04AE" w:rsidRPr="002A00D1">
        <w:rPr>
          <w:rFonts w:ascii="Times New Roman" w:hAnsi="Times New Roman"/>
          <w:b/>
          <w:bCs/>
          <w:color w:val="000000" w:themeColor="text1"/>
          <w:sz w:val="24"/>
          <w:szCs w:val="24"/>
        </w:rPr>
        <w:t xml:space="preserve">RMS </w:t>
      </w:r>
      <w:r w:rsidR="006A04AE" w:rsidRPr="002A00D1">
        <w:rPr>
          <w:rFonts w:ascii="Times New Roman" w:hAnsi="Times New Roman"/>
          <w:color w:val="000000" w:themeColor="text1"/>
          <w:sz w:val="24"/>
          <w:szCs w:val="24"/>
        </w:rPr>
        <w:t>(ESI) calcd for C</w:t>
      </w:r>
      <w:r w:rsidR="006A04AE" w:rsidRPr="002A00D1">
        <w:rPr>
          <w:rFonts w:ascii="Times New Roman" w:hAnsi="Times New Roman"/>
          <w:color w:val="000000" w:themeColor="text1"/>
          <w:sz w:val="24"/>
          <w:szCs w:val="24"/>
          <w:vertAlign w:val="subscript"/>
        </w:rPr>
        <w:t>2</w:t>
      </w:r>
      <w:r w:rsidR="00FF345A">
        <w:rPr>
          <w:rFonts w:ascii="Times New Roman" w:hAnsi="Times New Roman"/>
          <w:color w:val="000000" w:themeColor="text1"/>
          <w:sz w:val="24"/>
          <w:szCs w:val="24"/>
          <w:vertAlign w:val="subscript"/>
        </w:rPr>
        <w:t>4</w:t>
      </w:r>
      <w:r w:rsidR="006A04AE" w:rsidRPr="002A00D1">
        <w:rPr>
          <w:rFonts w:ascii="Times New Roman" w:hAnsi="Times New Roman"/>
          <w:color w:val="000000" w:themeColor="text1"/>
          <w:sz w:val="24"/>
          <w:szCs w:val="24"/>
        </w:rPr>
        <w:t>H</w:t>
      </w:r>
      <w:r w:rsidR="00FF345A">
        <w:rPr>
          <w:rFonts w:ascii="Times New Roman" w:hAnsi="Times New Roman"/>
          <w:color w:val="000000" w:themeColor="text1"/>
          <w:sz w:val="24"/>
          <w:szCs w:val="24"/>
          <w:vertAlign w:val="subscript"/>
        </w:rPr>
        <w:t>30</w:t>
      </w:r>
      <w:r w:rsidR="00FF345A">
        <w:rPr>
          <w:rFonts w:ascii="Times New Roman" w:hAnsi="Times New Roman"/>
          <w:color w:val="000000" w:themeColor="text1"/>
          <w:sz w:val="24"/>
          <w:szCs w:val="24"/>
        </w:rPr>
        <w:t>F</w:t>
      </w:r>
      <w:r w:rsidR="00F64D83">
        <w:rPr>
          <w:rFonts w:ascii="Times New Roman" w:hAnsi="Times New Roman"/>
          <w:color w:val="000000" w:themeColor="text1"/>
          <w:sz w:val="24"/>
          <w:szCs w:val="24"/>
        </w:rPr>
        <w:t>N</w:t>
      </w:r>
      <w:r w:rsidR="00F64D83">
        <w:rPr>
          <w:rFonts w:ascii="Times New Roman" w:hAnsi="Times New Roman"/>
          <w:color w:val="000000" w:themeColor="text1"/>
          <w:sz w:val="24"/>
          <w:szCs w:val="24"/>
          <w:vertAlign w:val="subscript"/>
        </w:rPr>
        <w:t>4</w:t>
      </w:r>
      <w:r w:rsidR="006A04AE" w:rsidRPr="002A00D1">
        <w:rPr>
          <w:rFonts w:ascii="Times New Roman" w:hAnsi="Times New Roman"/>
          <w:color w:val="000000" w:themeColor="text1"/>
          <w:sz w:val="24"/>
          <w:szCs w:val="24"/>
        </w:rPr>
        <w:t>O [(M + H)</w:t>
      </w:r>
      <w:r w:rsidR="006A04AE" w:rsidRPr="002A00D1">
        <w:rPr>
          <w:rFonts w:ascii="Times New Roman" w:hAnsi="Times New Roman"/>
          <w:color w:val="000000" w:themeColor="text1"/>
          <w:sz w:val="24"/>
          <w:szCs w:val="24"/>
          <w:vertAlign w:val="superscript"/>
        </w:rPr>
        <w:t>+</w:t>
      </w:r>
      <w:r w:rsidR="006A04AE" w:rsidRPr="002A00D1">
        <w:rPr>
          <w:rFonts w:ascii="Times New Roman" w:hAnsi="Times New Roman"/>
          <w:color w:val="000000" w:themeColor="text1"/>
          <w:sz w:val="24"/>
          <w:szCs w:val="24"/>
        </w:rPr>
        <w:t>], 4</w:t>
      </w:r>
      <w:r w:rsidR="00D84E16">
        <w:rPr>
          <w:rFonts w:ascii="Times New Roman" w:hAnsi="Times New Roman"/>
          <w:color w:val="000000" w:themeColor="text1"/>
          <w:sz w:val="24"/>
          <w:szCs w:val="24"/>
        </w:rPr>
        <w:t>09</w:t>
      </w:r>
      <w:r w:rsidR="006A04AE" w:rsidRPr="002A00D1">
        <w:rPr>
          <w:rFonts w:ascii="Times New Roman" w:hAnsi="Times New Roman"/>
          <w:color w:val="000000" w:themeColor="text1"/>
          <w:sz w:val="24"/>
          <w:szCs w:val="24"/>
        </w:rPr>
        <w:t>.2</w:t>
      </w:r>
      <w:r w:rsidR="00D84E16">
        <w:rPr>
          <w:rFonts w:ascii="Times New Roman" w:hAnsi="Times New Roman"/>
          <w:color w:val="000000" w:themeColor="text1"/>
          <w:sz w:val="24"/>
          <w:szCs w:val="24"/>
        </w:rPr>
        <w:t>4</w:t>
      </w:r>
      <w:r w:rsidR="006A04AE" w:rsidRPr="002A00D1">
        <w:rPr>
          <w:rFonts w:ascii="Times New Roman" w:hAnsi="Times New Roman"/>
          <w:color w:val="000000" w:themeColor="text1"/>
          <w:sz w:val="24"/>
          <w:szCs w:val="24"/>
        </w:rPr>
        <w:t>; found,</w:t>
      </w:r>
      <w:r w:rsidR="006A04AE" w:rsidRPr="002A00D1">
        <w:rPr>
          <w:color w:val="000000" w:themeColor="text1"/>
        </w:rPr>
        <w:t xml:space="preserve"> </w:t>
      </w:r>
      <w:r w:rsidR="006A04AE" w:rsidRPr="002A00D1">
        <w:rPr>
          <w:rFonts w:ascii="Times New Roman" w:hAnsi="Times New Roman"/>
          <w:color w:val="000000" w:themeColor="text1"/>
          <w:sz w:val="24"/>
          <w:szCs w:val="24"/>
        </w:rPr>
        <w:t>4</w:t>
      </w:r>
      <w:r w:rsidR="00742D79">
        <w:rPr>
          <w:rFonts w:ascii="Times New Roman" w:hAnsi="Times New Roman"/>
          <w:color w:val="000000" w:themeColor="text1"/>
          <w:sz w:val="24"/>
          <w:szCs w:val="24"/>
        </w:rPr>
        <w:t>09</w:t>
      </w:r>
      <w:r w:rsidR="006A04AE" w:rsidRPr="002A00D1">
        <w:rPr>
          <w:rFonts w:ascii="Times New Roman" w:hAnsi="Times New Roman"/>
          <w:color w:val="000000" w:themeColor="text1"/>
          <w:sz w:val="24"/>
          <w:szCs w:val="24"/>
        </w:rPr>
        <w:t>.</w:t>
      </w:r>
      <w:r w:rsidR="00742D79">
        <w:rPr>
          <w:rFonts w:ascii="Times New Roman" w:hAnsi="Times New Roman"/>
          <w:color w:val="000000" w:themeColor="text1"/>
          <w:sz w:val="24"/>
          <w:szCs w:val="24"/>
        </w:rPr>
        <w:t>12</w:t>
      </w:r>
      <w:r w:rsidR="006A04AE" w:rsidRPr="002A00D1">
        <w:rPr>
          <w:rFonts w:ascii="Times New Roman" w:hAnsi="Times New Roman"/>
          <w:color w:val="000000" w:themeColor="text1"/>
          <w:sz w:val="24"/>
          <w:szCs w:val="24"/>
        </w:rPr>
        <w:t>.</w:t>
      </w:r>
    </w:p>
    <w:p w14:paraId="66314988" w14:textId="77777777" w:rsidR="00836C14" w:rsidRPr="002B2AC1" w:rsidRDefault="00836C14" w:rsidP="002B2AC1">
      <w:pPr>
        <w:spacing w:line="360" w:lineRule="auto"/>
        <w:rPr>
          <w:rFonts w:ascii="Times New Roman" w:hAnsi="Times New Roman"/>
          <w:color w:val="000000"/>
          <w:sz w:val="24"/>
          <w:szCs w:val="24"/>
        </w:rPr>
      </w:pPr>
    </w:p>
    <w:p w14:paraId="7E57E091" w14:textId="77777777" w:rsidR="00541D12" w:rsidRPr="002B2AC1" w:rsidRDefault="00541D12" w:rsidP="002B2AC1">
      <w:pPr>
        <w:spacing w:line="360" w:lineRule="auto"/>
        <w:rPr>
          <w:rFonts w:ascii="Times New Roman" w:hAnsi="Times New Roman"/>
          <w:b/>
          <w:bCs/>
          <w:color w:val="000000"/>
          <w:sz w:val="24"/>
          <w:szCs w:val="24"/>
        </w:rPr>
      </w:pPr>
      <w:r w:rsidRPr="002B2AC1">
        <w:rPr>
          <w:rFonts w:ascii="Times New Roman" w:hAnsi="Times New Roman"/>
          <w:b/>
          <w:bCs/>
          <w:i/>
          <w:iCs/>
          <w:color w:val="000000"/>
          <w:sz w:val="24"/>
          <w:szCs w:val="24"/>
        </w:rPr>
        <w:t>N</w:t>
      </w:r>
      <w:r w:rsidRPr="002B2AC1">
        <w:rPr>
          <w:rFonts w:ascii="Times New Roman" w:hAnsi="Times New Roman"/>
          <w:b/>
          <w:bCs/>
          <w:color w:val="000000"/>
          <w:sz w:val="24"/>
          <w:szCs w:val="24"/>
        </w:rPr>
        <w:t>-(4-(2-((5-(2-(Dimethylamino)ethyl)-2-fluorobenzyl)amino)ethyl)phenyl)furan-2-carboximidamide hydrochloride salt (4)</w:t>
      </w:r>
    </w:p>
    <w:p w14:paraId="0CF6913F" w14:textId="2D188901" w:rsidR="00541D12" w:rsidRPr="00964A3B" w:rsidRDefault="00541D12" w:rsidP="002B2AC1">
      <w:pPr>
        <w:widowControl/>
        <w:spacing w:line="360" w:lineRule="auto"/>
        <w:rPr>
          <w:rFonts w:ascii="Times New Roman" w:hAnsi="Times New Roman"/>
          <w:b/>
          <w:color w:val="000000" w:themeColor="text1"/>
          <w:sz w:val="24"/>
          <w:szCs w:val="24"/>
        </w:rPr>
      </w:pPr>
      <w:r w:rsidRPr="002B2AC1">
        <w:rPr>
          <w:rFonts w:ascii="Times New Roman" w:hAnsi="Times New Roman"/>
          <w:color w:val="000000"/>
          <w:sz w:val="24"/>
          <w:szCs w:val="24"/>
          <w:vertAlign w:val="superscript"/>
        </w:rPr>
        <w:t>1</w:t>
      </w:r>
      <w:r w:rsidRPr="002B2AC1">
        <w:rPr>
          <w:rFonts w:ascii="Times New Roman" w:hAnsi="Times New Roman"/>
          <w:color w:val="000000"/>
          <w:sz w:val="24"/>
          <w:szCs w:val="24"/>
        </w:rPr>
        <w:t>H NMR (500 MHz, D</w:t>
      </w:r>
      <w:r w:rsidRPr="002B2AC1">
        <w:rPr>
          <w:rFonts w:ascii="Times New Roman" w:hAnsi="Times New Roman"/>
          <w:color w:val="000000"/>
          <w:sz w:val="24"/>
          <w:szCs w:val="24"/>
          <w:vertAlign w:val="subscript"/>
        </w:rPr>
        <w:t>2</w:t>
      </w:r>
      <w:r w:rsidRPr="002B2AC1">
        <w:rPr>
          <w:rFonts w:ascii="Times New Roman" w:hAnsi="Times New Roman"/>
          <w:color w:val="000000"/>
          <w:sz w:val="24"/>
          <w:szCs w:val="24"/>
        </w:rPr>
        <w:t xml:space="preserve">O) </w:t>
      </w:r>
      <w:r w:rsidRPr="002B2AC1">
        <w:rPr>
          <w:rFonts w:ascii="Times New Roman" w:hAnsi="Times New Roman"/>
          <w:i/>
          <w:iCs/>
          <w:color w:val="000000"/>
          <w:sz w:val="24"/>
          <w:szCs w:val="24"/>
        </w:rPr>
        <w:t xml:space="preserve">δ </w:t>
      </w:r>
      <w:r w:rsidRPr="002B2AC1">
        <w:rPr>
          <w:rFonts w:ascii="Times New Roman" w:hAnsi="Times New Roman"/>
          <w:color w:val="000000"/>
          <w:sz w:val="24"/>
          <w:szCs w:val="24"/>
        </w:rPr>
        <w:t xml:space="preserve">7.88 – 7.84 (m, 1H), 7.52 (s, 1H), 7.42 (d, </w:t>
      </w:r>
      <w:r w:rsidRPr="002B2AC1">
        <w:rPr>
          <w:rFonts w:ascii="Times New Roman" w:hAnsi="Times New Roman"/>
          <w:i/>
          <w:iCs/>
          <w:color w:val="000000"/>
          <w:sz w:val="24"/>
          <w:szCs w:val="24"/>
        </w:rPr>
        <w:t>J</w:t>
      </w:r>
      <w:r w:rsidRPr="002B2AC1">
        <w:rPr>
          <w:rFonts w:ascii="Times New Roman" w:hAnsi="Times New Roman"/>
          <w:color w:val="000000"/>
          <w:sz w:val="24"/>
          <w:szCs w:val="24"/>
        </w:rPr>
        <w:t xml:space="preserve"> = 8.0 Hz, 3H), 7.36 (d, </w:t>
      </w:r>
      <w:r w:rsidRPr="002B2AC1">
        <w:rPr>
          <w:rFonts w:ascii="Times New Roman" w:hAnsi="Times New Roman"/>
          <w:i/>
          <w:iCs/>
          <w:color w:val="000000"/>
          <w:sz w:val="24"/>
          <w:szCs w:val="24"/>
        </w:rPr>
        <w:t>J</w:t>
      </w:r>
      <w:r w:rsidRPr="002B2AC1">
        <w:rPr>
          <w:rFonts w:ascii="Times New Roman" w:hAnsi="Times New Roman"/>
          <w:color w:val="000000"/>
          <w:sz w:val="24"/>
          <w:szCs w:val="24"/>
        </w:rPr>
        <w:t xml:space="preserve"> = 8.1 Hz, 2H), 7.16 (d, </w:t>
      </w:r>
      <w:r w:rsidRPr="002B2AC1">
        <w:rPr>
          <w:rFonts w:ascii="Times New Roman" w:hAnsi="Times New Roman"/>
          <w:i/>
          <w:iCs/>
          <w:color w:val="000000"/>
          <w:sz w:val="24"/>
          <w:szCs w:val="24"/>
        </w:rPr>
        <w:t>J</w:t>
      </w:r>
      <w:r w:rsidRPr="002B2AC1">
        <w:rPr>
          <w:rFonts w:ascii="Times New Roman" w:hAnsi="Times New Roman"/>
          <w:color w:val="000000"/>
          <w:sz w:val="24"/>
          <w:szCs w:val="24"/>
        </w:rPr>
        <w:t xml:space="preserve"> = 9.2 Hz, 2H), 6.75 (dd, </w:t>
      </w:r>
      <w:r w:rsidRPr="002B2AC1">
        <w:rPr>
          <w:rFonts w:ascii="Times New Roman" w:hAnsi="Times New Roman"/>
          <w:i/>
          <w:iCs/>
          <w:color w:val="000000"/>
          <w:sz w:val="24"/>
          <w:szCs w:val="24"/>
        </w:rPr>
        <w:t>J</w:t>
      </w:r>
      <w:r w:rsidRPr="002B2AC1">
        <w:rPr>
          <w:rFonts w:ascii="Times New Roman" w:hAnsi="Times New Roman"/>
          <w:color w:val="000000"/>
          <w:sz w:val="24"/>
          <w:szCs w:val="24"/>
        </w:rPr>
        <w:t xml:space="preserve"> = 4.2, 1.9 Hz, 1H), 4.28 (s, 2H), 3.42 – 3.36 (m, 2H), 3.35 – 3.30 (m, 2H), 3.06 (q, </w:t>
      </w:r>
      <w:r w:rsidRPr="002B2AC1">
        <w:rPr>
          <w:rFonts w:ascii="Times New Roman" w:hAnsi="Times New Roman"/>
          <w:i/>
          <w:iCs/>
          <w:color w:val="000000"/>
          <w:sz w:val="24"/>
          <w:szCs w:val="24"/>
        </w:rPr>
        <w:t>J</w:t>
      </w:r>
      <w:r w:rsidRPr="002B2AC1">
        <w:rPr>
          <w:rFonts w:ascii="Times New Roman" w:hAnsi="Times New Roman"/>
          <w:color w:val="000000"/>
          <w:sz w:val="24"/>
          <w:szCs w:val="24"/>
        </w:rPr>
        <w:t xml:space="preserve"> = 7.4 Hz, 4H), 2.86 (d, </w:t>
      </w:r>
      <w:r w:rsidRPr="002B2AC1">
        <w:rPr>
          <w:rFonts w:ascii="Times New Roman" w:hAnsi="Times New Roman"/>
          <w:i/>
          <w:iCs/>
          <w:color w:val="000000"/>
          <w:sz w:val="24"/>
          <w:szCs w:val="24"/>
        </w:rPr>
        <w:t>J</w:t>
      </w:r>
      <w:r w:rsidRPr="002B2AC1">
        <w:rPr>
          <w:rFonts w:ascii="Times New Roman" w:hAnsi="Times New Roman"/>
          <w:color w:val="000000"/>
          <w:sz w:val="24"/>
          <w:szCs w:val="24"/>
        </w:rPr>
        <w:t xml:space="preserve"> = 0.8 Hz, 6H). </w:t>
      </w:r>
      <w:r w:rsidRPr="002B2AC1">
        <w:rPr>
          <w:rFonts w:ascii="Times New Roman" w:hAnsi="Times New Roman"/>
          <w:color w:val="000000"/>
          <w:sz w:val="24"/>
          <w:szCs w:val="24"/>
          <w:vertAlign w:val="superscript"/>
        </w:rPr>
        <w:t>13</w:t>
      </w:r>
      <w:r w:rsidRPr="002B2AC1">
        <w:rPr>
          <w:rFonts w:ascii="Times New Roman" w:hAnsi="Times New Roman"/>
          <w:color w:val="000000"/>
          <w:sz w:val="24"/>
          <w:szCs w:val="24"/>
        </w:rPr>
        <w:t>C NMR (125 MHz, D</w:t>
      </w:r>
      <w:r w:rsidRPr="002B2AC1">
        <w:rPr>
          <w:rFonts w:ascii="Times New Roman" w:hAnsi="Times New Roman"/>
          <w:color w:val="000000"/>
          <w:sz w:val="24"/>
          <w:szCs w:val="24"/>
          <w:vertAlign w:val="subscript"/>
        </w:rPr>
        <w:t>2</w:t>
      </w:r>
      <w:r w:rsidRPr="002B2AC1">
        <w:rPr>
          <w:rFonts w:ascii="Times New Roman" w:hAnsi="Times New Roman"/>
          <w:color w:val="000000"/>
          <w:sz w:val="24"/>
          <w:szCs w:val="24"/>
        </w:rPr>
        <w:t xml:space="preserve">O) </w:t>
      </w:r>
      <w:r w:rsidRPr="002B2AC1">
        <w:rPr>
          <w:rFonts w:ascii="Times New Roman" w:hAnsi="Times New Roman"/>
          <w:i/>
          <w:iCs/>
          <w:color w:val="000000"/>
          <w:sz w:val="24"/>
          <w:szCs w:val="24"/>
        </w:rPr>
        <w:t xml:space="preserve">δ </w:t>
      </w:r>
      <w:r w:rsidRPr="002B2AC1">
        <w:rPr>
          <w:rFonts w:ascii="Times New Roman" w:hAnsi="Times New Roman"/>
          <w:color w:val="000000"/>
          <w:sz w:val="24"/>
          <w:szCs w:val="24"/>
        </w:rPr>
        <w:t xml:space="preserve">162.2, 160.2, 152.4, 148.8, 140.8 (d, </w:t>
      </w:r>
      <w:r w:rsidRPr="002B2AC1">
        <w:rPr>
          <w:rFonts w:ascii="Times New Roman" w:hAnsi="Times New Roman"/>
          <w:i/>
          <w:iCs/>
          <w:color w:val="000000"/>
          <w:sz w:val="24"/>
          <w:szCs w:val="24"/>
        </w:rPr>
        <w:t>J</w:t>
      </w:r>
      <w:r w:rsidRPr="002B2AC1">
        <w:rPr>
          <w:rFonts w:ascii="Times New Roman" w:hAnsi="Times New Roman"/>
          <w:color w:val="000000"/>
          <w:sz w:val="24"/>
          <w:szCs w:val="24"/>
        </w:rPr>
        <w:t xml:space="preserve"> = 8.4 Hz), 140.6, 137.5, 132.6 (d, </w:t>
      </w:r>
      <w:r w:rsidRPr="002B2AC1">
        <w:rPr>
          <w:rFonts w:ascii="Times New Roman" w:hAnsi="Times New Roman"/>
          <w:i/>
          <w:iCs/>
          <w:color w:val="000000"/>
          <w:sz w:val="24"/>
          <w:szCs w:val="24"/>
        </w:rPr>
        <w:t>J</w:t>
      </w:r>
      <w:r w:rsidRPr="002B2AC1">
        <w:rPr>
          <w:rFonts w:ascii="Times New Roman" w:hAnsi="Times New Roman"/>
          <w:color w:val="000000"/>
          <w:sz w:val="24"/>
          <w:szCs w:val="24"/>
        </w:rPr>
        <w:t xml:space="preserve"> = 4.1 Hz), 130.6, 126.2, 125.3 (d, </w:t>
      </w:r>
      <w:r w:rsidRPr="002B2AC1">
        <w:rPr>
          <w:rFonts w:ascii="Times New Roman" w:hAnsi="Times New Roman"/>
          <w:i/>
          <w:iCs/>
          <w:color w:val="000000"/>
          <w:sz w:val="24"/>
          <w:szCs w:val="24"/>
        </w:rPr>
        <w:t>J</w:t>
      </w:r>
      <w:r w:rsidRPr="002B2AC1">
        <w:rPr>
          <w:rFonts w:ascii="Times New Roman" w:hAnsi="Times New Roman"/>
          <w:color w:val="000000"/>
          <w:sz w:val="24"/>
          <w:szCs w:val="24"/>
        </w:rPr>
        <w:t xml:space="preserve"> = 3.8 Hz), 118.9, 116.6 (d, </w:t>
      </w:r>
      <w:r w:rsidRPr="002B2AC1">
        <w:rPr>
          <w:rFonts w:ascii="Times New Roman" w:hAnsi="Times New Roman"/>
          <w:i/>
          <w:iCs/>
          <w:color w:val="000000"/>
          <w:sz w:val="24"/>
          <w:szCs w:val="24"/>
        </w:rPr>
        <w:t>J</w:t>
      </w:r>
      <w:r w:rsidRPr="002B2AC1">
        <w:rPr>
          <w:rFonts w:ascii="Times New Roman" w:hAnsi="Times New Roman"/>
          <w:color w:val="000000"/>
          <w:sz w:val="24"/>
          <w:szCs w:val="24"/>
        </w:rPr>
        <w:t xml:space="preserve"> = 15.7 Hz), 116.2 (d, </w:t>
      </w:r>
      <w:r w:rsidRPr="002B2AC1">
        <w:rPr>
          <w:rFonts w:ascii="Times New Roman" w:hAnsi="Times New Roman"/>
          <w:i/>
          <w:iCs/>
          <w:color w:val="000000"/>
          <w:sz w:val="24"/>
          <w:szCs w:val="24"/>
        </w:rPr>
        <w:t>J</w:t>
      </w:r>
      <w:r w:rsidRPr="002B2AC1">
        <w:rPr>
          <w:rFonts w:ascii="Times New Roman" w:hAnsi="Times New Roman"/>
          <w:color w:val="000000"/>
          <w:sz w:val="24"/>
          <w:szCs w:val="24"/>
        </w:rPr>
        <w:t xml:space="preserve"> = 22.0 Hz), 113.3, 57.7, 47.7, 44.3, 42.8, 31.1, 29.7.</w:t>
      </w:r>
      <w:r w:rsidR="006A04AE" w:rsidRPr="006A04AE">
        <w:rPr>
          <w:rFonts w:ascii="Times New Roman" w:hAnsi="Times New Roman"/>
          <w:b/>
          <w:bCs/>
          <w:color w:val="000000" w:themeColor="text1"/>
          <w:sz w:val="24"/>
          <w:szCs w:val="24"/>
        </w:rPr>
        <w:t xml:space="preserve"> </w:t>
      </w:r>
      <w:r w:rsidR="002C71C6">
        <w:rPr>
          <w:rFonts w:ascii="Times New Roman" w:hAnsi="Times New Roman"/>
          <w:b/>
          <w:bCs/>
          <w:color w:val="000000" w:themeColor="text1"/>
          <w:sz w:val="24"/>
          <w:szCs w:val="24"/>
        </w:rPr>
        <w:t>L</w:t>
      </w:r>
      <w:r w:rsidR="006A04AE" w:rsidRPr="002A00D1">
        <w:rPr>
          <w:rFonts w:ascii="Times New Roman" w:hAnsi="Times New Roman"/>
          <w:b/>
          <w:bCs/>
          <w:color w:val="000000" w:themeColor="text1"/>
          <w:sz w:val="24"/>
          <w:szCs w:val="24"/>
        </w:rPr>
        <w:t xml:space="preserve">RMS </w:t>
      </w:r>
      <w:r w:rsidR="006A04AE" w:rsidRPr="002A00D1">
        <w:rPr>
          <w:rFonts w:ascii="Times New Roman" w:hAnsi="Times New Roman"/>
          <w:color w:val="000000" w:themeColor="text1"/>
          <w:sz w:val="24"/>
          <w:szCs w:val="24"/>
        </w:rPr>
        <w:t xml:space="preserve">(ESI) calcd for </w:t>
      </w:r>
      <w:r w:rsidR="00F64D83" w:rsidRPr="002A00D1">
        <w:rPr>
          <w:rFonts w:ascii="Times New Roman" w:hAnsi="Times New Roman"/>
          <w:color w:val="000000" w:themeColor="text1"/>
          <w:sz w:val="24"/>
          <w:szCs w:val="24"/>
        </w:rPr>
        <w:t>C</w:t>
      </w:r>
      <w:r w:rsidR="00F64D83" w:rsidRPr="002A00D1">
        <w:rPr>
          <w:rFonts w:ascii="Times New Roman" w:hAnsi="Times New Roman"/>
          <w:color w:val="000000" w:themeColor="text1"/>
          <w:sz w:val="24"/>
          <w:szCs w:val="24"/>
          <w:vertAlign w:val="subscript"/>
        </w:rPr>
        <w:t>2</w:t>
      </w:r>
      <w:r w:rsidR="00F64D83">
        <w:rPr>
          <w:rFonts w:ascii="Times New Roman" w:hAnsi="Times New Roman"/>
          <w:color w:val="000000" w:themeColor="text1"/>
          <w:sz w:val="24"/>
          <w:szCs w:val="24"/>
          <w:vertAlign w:val="subscript"/>
        </w:rPr>
        <w:t>4</w:t>
      </w:r>
      <w:r w:rsidR="00F64D83" w:rsidRPr="002A00D1">
        <w:rPr>
          <w:rFonts w:ascii="Times New Roman" w:hAnsi="Times New Roman"/>
          <w:color w:val="000000" w:themeColor="text1"/>
          <w:sz w:val="24"/>
          <w:szCs w:val="24"/>
        </w:rPr>
        <w:t>H</w:t>
      </w:r>
      <w:r w:rsidR="00F64D83">
        <w:rPr>
          <w:rFonts w:ascii="Times New Roman" w:hAnsi="Times New Roman"/>
          <w:color w:val="000000" w:themeColor="text1"/>
          <w:sz w:val="24"/>
          <w:szCs w:val="24"/>
          <w:vertAlign w:val="subscript"/>
        </w:rPr>
        <w:t>30</w:t>
      </w:r>
      <w:r w:rsidR="00F64D83">
        <w:rPr>
          <w:rFonts w:ascii="Times New Roman" w:hAnsi="Times New Roman"/>
          <w:color w:val="000000" w:themeColor="text1"/>
          <w:sz w:val="24"/>
          <w:szCs w:val="24"/>
        </w:rPr>
        <w:t>FN</w:t>
      </w:r>
      <w:r w:rsidR="00F64D83">
        <w:rPr>
          <w:rFonts w:ascii="Times New Roman" w:hAnsi="Times New Roman"/>
          <w:color w:val="000000" w:themeColor="text1"/>
          <w:sz w:val="24"/>
          <w:szCs w:val="24"/>
          <w:vertAlign w:val="subscript"/>
        </w:rPr>
        <w:t>4</w:t>
      </w:r>
      <w:r w:rsidR="00F64D83" w:rsidRPr="002A00D1">
        <w:rPr>
          <w:rFonts w:ascii="Times New Roman" w:hAnsi="Times New Roman"/>
          <w:color w:val="000000" w:themeColor="text1"/>
          <w:sz w:val="24"/>
          <w:szCs w:val="24"/>
        </w:rPr>
        <w:t>O</w:t>
      </w:r>
      <w:r w:rsidR="006A04AE" w:rsidRPr="002A00D1">
        <w:rPr>
          <w:rFonts w:ascii="Times New Roman" w:hAnsi="Times New Roman"/>
          <w:color w:val="000000" w:themeColor="text1"/>
          <w:sz w:val="24"/>
          <w:szCs w:val="24"/>
        </w:rPr>
        <w:t xml:space="preserve"> [(M + H)</w:t>
      </w:r>
      <w:r w:rsidR="006A04AE" w:rsidRPr="002A00D1">
        <w:rPr>
          <w:rFonts w:ascii="Times New Roman" w:hAnsi="Times New Roman"/>
          <w:color w:val="000000" w:themeColor="text1"/>
          <w:sz w:val="24"/>
          <w:szCs w:val="24"/>
          <w:vertAlign w:val="superscript"/>
        </w:rPr>
        <w:t>+</w:t>
      </w:r>
      <w:r w:rsidR="006A04AE" w:rsidRPr="002A00D1">
        <w:rPr>
          <w:rFonts w:ascii="Times New Roman" w:hAnsi="Times New Roman"/>
          <w:color w:val="000000" w:themeColor="text1"/>
          <w:sz w:val="24"/>
          <w:szCs w:val="24"/>
        </w:rPr>
        <w:t xml:space="preserve">], </w:t>
      </w:r>
      <w:r w:rsidR="00D84E16" w:rsidRPr="002A00D1">
        <w:rPr>
          <w:rFonts w:ascii="Times New Roman" w:hAnsi="Times New Roman"/>
          <w:color w:val="000000" w:themeColor="text1"/>
          <w:sz w:val="24"/>
          <w:szCs w:val="24"/>
        </w:rPr>
        <w:t>4</w:t>
      </w:r>
      <w:r w:rsidR="00D84E16">
        <w:rPr>
          <w:rFonts w:ascii="Times New Roman" w:hAnsi="Times New Roman"/>
          <w:color w:val="000000" w:themeColor="text1"/>
          <w:sz w:val="24"/>
          <w:szCs w:val="24"/>
        </w:rPr>
        <w:t>09</w:t>
      </w:r>
      <w:r w:rsidR="00D84E16" w:rsidRPr="002A00D1">
        <w:rPr>
          <w:rFonts w:ascii="Times New Roman" w:hAnsi="Times New Roman"/>
          <w:color w:val="000000" w:themeColor="text1"/>
          <w:sz w:val="24"/>
          <w:szCs w:val="24"/>
        </w:rPr>
        <w:t>.2</w:t>
      </w:r>
      <w:r w:rsidR="00D84E16">
        <w:rPr>
          <w:rFonts w:ascii="Times New Roman" w:hAnsi="Times New Roman"/>
          <w:color w:val="000000" w:themeColor="text1"/>
          <w:sz w:val="24"/>
          <w:szCs w:val="24"/>
        </w:rPr>
        <w:t>4</w:t>
      </w:r>
      <w:r w:rsidR="00D84E16" w:rsidRPr="002A00D1">
        <w:rPr>
          <w:rFonts w:ascii="Times New Roman" w:hAnsi="Times New Roman"/>
          <w:color w:val="000000" w:themeColor="text1"/>
          <w:sz w:val="24"/>
          <w:szCs w:val="24"/>
        </w:rPr>
        <w:t xml:space="preserve">; </w:t>
      </w:r>
      <w:r w:rsidR="006A04AE" w:rsidRPr="002A00D1">
        <w:rPr>
          <w:rFonts w:ascii="Times New Roman" w:hAnsi="Times New Roman"/>
          <w:color w:val="000000" w:themeColor="text1"/>
          <w:sz w:val="24"/>
          <w:szCs w:val="24"/>
        </w:rPr>
        <w:t>found,</w:t>
      </w:r>
      <w:r w:rsidR="006A04AE" w:rsidRPr="002A00D1">
        <w:rPr>
          <w:color w:val="000000" w:themeColor="text1"/>
        </w:rPr>
        <w:t xml:space="preserve"> </w:t>
      </w:r>
      <w:r w:rsidR="006A04AE" w:rsidRPr="002A00D1">
        <w:rPr>
          <w:rFonts w:ascii="Times New Roman" w:hAnsi="Times New Roman"/>
          <w:color w:val="000000" w:themeColor="text1"/>
          <w:sz w:val="24"/>
          <w:szCs w:val="24"/>
        </w:rPr>
        <w:t>4</w:t>
      </w:r>
      <w:r w:rsidR="00742D79">
        <w:rPr>
          <w:rFonts w:ascii="Times New Roman" w:hAnsi="Times New Roman"/>
          <w:color w:val="000000" w:themeColor="text1"/>
          <w:sz w:val="24"/>
          <w:szCs w:val="24"/>
        </w:rPr>
        <w:t>09</w:t>
      </w:r>
      <w:r w:rsidR="006A04AE" w:rsidRPr="002A00D1">
        <w:rPr>
          <w:rFonts w:ascii="Times New Roman" w:hAnsi="Times New Roman"/>
          <w:color w:val="000000" w:themeColor="text1"/>
          <w:sz w:val="24"/>
          <w:szCs w:val="24"/>
        </w:rPr>
        <w:t>.</w:t>
      </w:r>
      <w:r w:rsidR="00742D79">
        <w:rPr>
          <w:rFonts w:ascii="Times New Roman" w:hAnsi="Times New Roman"/>
          <w:color w:val="000000" w:themeColor="text1"/>
          <w:sz w:val="24"/>
          <w:szCs w:val="24"/>
        </w:rPr>
        <w:t>16</w:t>
      </w:r>
      <w:r w:rsidR="006A04AE" w:rsidRPr="002A00D1">
        <w:rPr>
          <w:rFonts w:ascii="Times New Roman" w:hAnsi="Times New Roman"/>
          <w:color w:val="000000" w:themeColor="text1"/>
          <w:sz w:val="24"/>
          <w:szCs w:val="24"/>
        </w:rPr>
        <w:t>.</w:t>
      </w:r>
    </w:p>
    <w:p w14:paraId="328DCEB0" w14:textId="77777777" w:rsidR="00797A84" w:rsidRDefault="00797A84" w:rsidP="006B0C72">
      <w:pPr>
        <w:spacing w:line="360" w:lineRule="auto"/>
        <w:rPr>
          <w:rFonts w:ascii="Times New Roman" w:hAnsi="Times New Roman"/>
          <w:color w:val="000000" w:themeColor="text1"/>
          <w:sz w:val="24"/>
          <w:szCs w:val="24"/>
          <w:vertAlign w:val="superscript"/>
        </w:rPr>
      </w:pPr>
    </w:p>
    <w:p w14:paraId="5C7B976D" w14:textId="77777777" w:rsidR="00797A84" w:rsidRDefault="00797A84" w:rsidP="006B0C72">
      <w:pPr>
        <w:spacing w:line="360" w:lineRule="auto"/>
        <w:rPr>
          <w:rFonts w:ascii="Times New Roman" w:hAnsi="Times New Roman"/>
          <w:color w:val="000000" w:themeColor="text1"/>
          <w:sz w:val="24"/>
          <w:szCs w:val="24"/>
          <w:vertAlign w:val="superscript"/>
        </w:rPr>
      </w:pPr>
    </w:p>
    <w:p w14:paraId="4DEE5F98" w14:textId="77777777" w:rsidR="00797A84" w:rsidRDefault="00797A84" w:rsidP="006B0C72">
      <w:pPr>
        <w:spacing w:line="360" w:lineRule="auto"/>
        <w:rPr>
          <w:rFonts w:ascii="Times New Roman" w:hAnsi="Times New Roman"/>
          <w:color w:val="000000" w:themeColor="text1"/>
          <w:sz w:val="24"/>
          <w:szCs w:val="24"/>
          <w:vertAlign w:val="superscript"/>
        </w:rPr>
      </w:pPr>
    </w:p>
    <w:p w14:paraId="4C521AB8" w14:textId="77777777" w:rsidR="00797A84" w:rsidRDefault="00797A84" w:rsidP="006B0C72">
      <w:pPr>
        <w:spacing w:line="360" w:lineRule="auto"/>
        <w:rPr>
          <w:rFonts w:ascii="Times New Roman" w:hAnsi="Times New Roman"/>
          <w:color w:val="000000" w:themeColor="text1"/>
          <w:sz w:val="24"/>
          <w:szCs w:val="24"/>
          <w:vertAlign w:val="superscript"/>
        </w:rPr>
      </w:pPr>
    </w:p>
    <w:p w14:paraId="681C5607" w14:textId="77777777" w:rsidR="00797A84" w:rsidRDefault="00797A84" w:rsidP="006B0C72">
      <w:pPr>
        <w:spacing w:line="360" w:lineRule="auto"/>
        <w:rPr>
          <w:rFonts w:ascii="Times New Roman" w:hAnsi="Times New Roman"/>
          <w:color w:val="000000" w:themeColor="text1"/>
          <w:sz w:val="24"/>
          <w:szCs w:val="24"/>
          <w:vertAlign w:val="superscript"/>
        </w:rPr>
      </w:pPr>
    </w:p>
    <w:p w14:paraId="5892B584" w14:textId="77777777" w:rsidR="00797A84" w:rsidRDefault="00797A84" w:rsidP="006B0C72">
      <w:pPr>
        <w:spacing w:line="360" w:lineRule="auto"/>
        <w:rPr>
          <w:rFonts w:ascii="Times New Roman" w:hAnsi="Times New Roman"/>
          <w:color w:val="000000" w:themeColor="text1"/>
          <w:sz w:val="24"/>
          <w:szCs w:val="24"/>
          <w:vertAlign w:val="superscript"/>
        </w:rPr>
      </w:pPr>
    </w:p>
    <w:p w14:paraId="33E7F57B" w14:textId="77777777" w:rsidR="00797A84" w:rsidRDefault="00797A84" w:rsidP="006B0C72">
      <w:pPr>
        <w:spacing w:line="360" w:lineRule="auto"/>
        <w:rPr>
          <w:rFonts w:ascii="Times New Roman" w:hAnsi="Times New Roman"/>
          <w:color w:val="000000" w:themeColor="text1"/>
          <w:sz w:val="24"/>
          <w:szCs w:val="24"/>
          <w:vertAlign w:val="superscript"/>
        </w:rPr>
      </w:pPr>
    </w:p>
    <w:p w14:paraId="52537BD0" w14:textId="77777777" w:rsidR="003750AC" w:rsidRDefault="003750AC" w:rsidP="006B0C72">
      <w:pPr>
        <w:spacing w:line="360" w:lineRule="auto"/>
        <w:rPr>
          <w:rFonts w:ascii="Times New Roman" w:hAnsi="Times New Roman"/>
          <w:b/>
          <w:bCs/>
          <w:color w:val="000000" w:themeColor="text1"/>
          <w:sz w:val="24"/>
          <w:szCs w:val="24"/>
          <w:vertAlign w:val="superscript"/>
        </w:rPr>
      </w:pPr>
    </w:p>
    <w:p w14:paraId="66F2F670" w14:textId="77777777" w:rsidR="00BE5F4E" w:rsidRDefault="00BE5F4E" w:rsidP="006B0C72">
      <w:pPr>
        <w:spacing w:line="360" w:lineRule="auto"/>
        <w:rPr>
          <w:rFonts w:ascii="Times New Roman" w:hAnsi="Times New Roman"/>
          <w:b/>
          <w:bCs/>
          <w:color w:val="000000" w:themeColor="text1"/>
          <w:sz w:val="24"/>
          <w:szCs w:val="24"/>
          <w:vertAlign w:val="superscript"/>
        </w:rPr>
      </w:pPr>
    </w:p>
    <w:p w14:paraId="1CD8A41C" w14:textId="77777777" w:rsidR="00BE5F4E" w:rsidRDefault="00BE5F4E" w:rsidP="006B0C72">
      <w:pPr>
        <w:spacing w:line="360" w:lineRule="auto"/>
        <w:rPr>
          <w:rFonts w:ascii="Times New Roman" w:hAnsi="Times New Roman"/>
          <w:b/>
          <w:bCs/>
          <w:color w:val="000000" w:themeColor="text1"/>
          <w:sz w:val="24"/>
          <w:szCs w:val="24"/>
          <w:vertAlign w:val="superscript"/>
        </w:rPr>
      </w:pPr>
    </w:p>
    <w:p w14:paraId="66EF15E7" w14:textId="77777777" w:rsidR="00BE5F4E" w:rsidRDefault="00BE5F4E" w:rsidP="006B0C72">
      <w:pPr>
        <w:spacing w:line="360" w:lineRule="auto"/>
        <w:rPr>
          <w:rFonts w:ascii="Times New Roman" w:hAnsi="Times New Roman"/>
          <w:b/>
          <w:bCs/>
          <w:color w:val="000000" w:themeColor="text1"/>
          <w:sz w:val="24"/>
          <w:szCs w:val="24"/>
          <w:vertAlign w:val="superscript"/>
        </w:rPr>
      </w:pPr>
    </w:p>
    <w:p w14:paraId="0AF0A69C" w14:textId="77777777" w:rsidR="00BE5F4E" w:rsidRDefault="00BE5F4E" w:rsidP="006B0C72">
      <w:pPr>
        <w:spacing w:line="360" w:lineRule="auto"/>
        <w:rPr>
          <w:rFonts w:ascii="Times New Roman" w:hAnsi="Times New Roman"/>
          <w:b/>
          <w:bCs/>
          <w:color w:val="000000" w:themeColor="text1"/>
          <w:sz w:val="24"/>
          <w:szCs w:val="24"/>
          <w:vertAlign w:val="superscript"/>
        </w:rPr>
      </w:pPr>
    </w:p>
    <w:p w14:paraId="709CFB55" w14:textId="77777777" w:rsidR="00BE5F4E" w:rsidRDefault="00BE5F4E" w:rsidP="006B0C72">
      <w:pPr>
        <w:spacing w:line="360" w:lineRule="auto"/>
        <w:rPr>
          <w:rFonts w:ascii="Times New Roman" w:hAnsi="Times New Roman"/>
          <w:b/>
          <w:bCs/>
          <w:color w:val="000000" w:themeColor="text1"/>
          <w:sz w:val="24"/>
          <w:szCs w:val="24"/>
          <w:vertAlign w:val="superscript"/>
        </w:rPr>
      </w:pPr>
    </w:p>
    <w:p w14:paraId="58E58BF2" w14:textId="77777777" w:rsidR="00BE5F4E" w:rsidRDefault="00BE5F4E" w:rsidP="006B0C72">
      <w:pPr>
        <w:spacing w:line="360" w:lineRule="auto"/>
        <w:rPr>
          <w:rFonts w:ascii="Times New Roman" w:hAnsi="Times New Roman"/>
          <w:b/>
          <w:bCs/>
          <w:color w:val="000000" w:themeColor="text1"/>
          <w:sz w:val="24"/>
          <w:szCs w:val="24"/>
          <w:vertAlign w:val="superscript"/>
        </w:rPr>
      </w:pPr>
    </w:p>
    <w:p w14:paraId="427E2360" w14:textId="77777777" w:rsidR="00BE5F4E" w:rsidRDefault="00BE5F4E" w:rsidP="006B0C72">
      <w:pPr>
        <w:spacing w:line="360" w:lineRule="auto"/>
        <w:rPr>
          <w:rFonts w:ascii="Times New Roman" w:hAnsi="Times New Roman"/>
          <w:b/>
          <w:bCs/>
          <w:color w:val="000000" w:themeColor="text1"/>
          <w:sz w:val="24"/>
          <w:szCs w:val="24"/>
          <w:vertAlign w:val="superscript"/>
        </w:rPr>
      </w:pPr>
    </w:p>
    <w:p w14:paraId="7153FF76" w14:textId="77777777" w:rsidR="00BE5F4E" w:rsidRDefault="00BE5F4E" w:rsidP="006B0C72">
      <w:pPr>
        <w:spacing w:line="360" w:lineRule="auto"/>
        <w:rPr>
          <w:rFonts w:ascii="Times New Roman" w:hAnsi="Times New Roman"/>
          <w:b/>
          <w:bCs/>
          <w:color w:val="000000" w:themeColor="text1"/>
          <w:sz w:val="24"/>
          <w:szCs w:val="24"/>
          <w:vertAlign w:val="superscript"/>
        </w:rPr>
      </w:pPr>
    </w:p>
    <w:p w14:paraId="3E2C7EEA" w14:textId="77777777" w:rsidR="00BE5F4E" w:rsidRDefault="00BE5F4E" w:rsidP="006B0C72">
      <w:pPr>
        <w:spacing w:line="360" w:lineRule="auto"/>
        <w:rPr>
          <w:rFonts w:ascii="Times New Roman" w:hAnsi="Times New Roman"/>
          <w:b/>
          <w:bCs/>
          <w:color w:val="000000" w:themeColor="text1"/>
          <w:sz w:val="24"/>
          <w:szCs w:val="24"/>
          <w:vertAlign w:val="superscript"/>
        </w:rPr>
      </w:pPr>
    </w:p>
    <w:p w14:paraId="41BF839A" w14:textId="77777777" w:rsidR="00BE5F4E" w:rsidRDefault="00BE5F4E" w:rsidP="006B0C72">
      <w:pPr>
        <w:spacing w:line="360" w:lineRule="auto"/>
        <w:rPr>
          <w:rFonts w:ascii="Times New Roman" w:hAnsi="Times New Roman"/>
          <w:b/>
          <w:bCs/>
          <w:color w:val="000000" w:themeColor="text1"/>
          <w:sz w:val="24"/>
          <w:szCs w:val="24"/>
          <w:vertAlign w:val="superscript"/>
        </w:rPr>
      </w:pPr>
    </w:p>
    <w:p w14:paraId="0D63BA38" w14:textId="77777777" w:rsidR="00BE5F4E" w:rsidRDefault="00BE5F4E" w:rsidP="006B0C72">
      <w:pPr>
        <w:spacing w:line="360" w:lineRule="auto"/>
        <w:rPr>
          <w:rFonts w:ascii="Times New Roman" w:hAnsi="Times New Roman"/>
          <w:b/>
          <w:bCs/>
          <w:color w:val="000000" w:themeColor="text1"/>
          <w:sz w:val="24"/>
          <w:szCs w:val="24"/>
          <w:vertAlign w:val="superscript"/>
        </w:rPr>
      </w:pPr>
    </w:p>
    <w:p w14:paraId="7E881BD1" w14:textId="77777777" w:rsidR="00BE5F4E" w:rsidRDefault="00BE5F4E" w:rsidP="006B0C72">
      <w:pPr>
        <w:spacing w:line="360" w:lineRule="auto"/>
        <w:rPr>
          <w:rFonts w:ascii="Times New Roman" w:hAnsi="Times New Roman"/>
          <w:b/>
          <w:bCs/>
          <w:color w:val="000000" w:themeColor="text1"/>
          <w:sz w:val="24"/>
          <w:szCs w:val="24"/>
          <w:vertAlign w:val="superscript"/>
        </w:rPr>
      </w:pPr>
    </w:p>
    <w:p w14:paraId="08A7FACA" w14:textId="77777777" w:rsidR="00BE5F4E" w:rsidRDefault="00BE5F4E" w:rsidP="006B0C72">
      <w:pPr>
        <w:spacing w:line="360" w:lineRule="auto"/>
        <w:rPr>
          <w:rFonts w:ascii="Times New Roman" w:hAnsi="Times New Roman"/>
          <w:b/>
          <w:bCs/>
          <w:color w:val="000000" w:themeColor="text1"/>
          <w:sz w:val="24"/>
          <w:szCs w:val="24"/>
          <w:vertAlign w:val="superscript"/>
        </w:rPr>
      </w:pPr>
    </w:p>
    <w:p w14:paraId="1545D1B3" w14:textId="46A02493" w:rsidR="006625CD" w:rsidRPr="00EF7278" w:rsidRDefault="00797A84" w:rsidP="00EF7278">
      <w:pPr>
        <w:pStyle w:val="ListParagraph"/>
        <w:numPr>
          <w:ilvl w:val="0"/>
          <w:numId w:val="26"/>
        </w:numPr>
        <w:spacing w:line="360" w:lineRule="auto"/>
        <w:rPr>
          <w:rFonts w:ascii="Times New Roman" w:hAnsi="Times New Roman"/>
          <w:b/>
          <w:bCs/>
          <w:color w:val="000000"/>
        </w:rPr>
      </w:pPr>
      <w:r w:rsidRPr="00EF7278">
        <w:rPr>
          <w:rFonts w:ascii="Times New Roman" w:hAnsi="Times New Roman"/>
          <w:b/>
          <w:bCs/>
          <w:color w:val="000000" w:themeColor="text1"/>
          <w:sz w:val="24"/>
          <w:szCs w:val="24"/>
          <w:vertAlign w:val="superscript"/>
        </w:rPr>
        <w:lastRenderedPageBreak/>
        <w:t>1</w:t>
      </w:r>
      <w:r w:rsidRPr="00EF7278">
        <w:rPr>
          <w:rFonts w:ascii="Times New Roman" w:hAnsi="Times New Roman"/>
          <w:b/>
          <w:bCs/>
          <w:color w:val="000000" w:themeColor="text1"/>
          <w:sz w:val="24"/>
          <w:szCs w:val="24"/>
        </w:rPr>
        <w:t xml:space="preserve">H NMR and </w:t>
      </w:r>
      <w:r w:rsidRPr="00EF7278">
        <w:rPr>
          <w:rFonts w:ascii="Times New Roman" w:hAnsi="Times New Roman"/>
          <w:b/>
          <w:bCs/>
          <w:color w:val="000000" w:themeColor="text1"/>
          <w:sz w:val="24"/>
          <w:szCs w:val="24"/>
          <w:vertAlign w:val="superscript"/>
        </w:rPr>
        <w:t>13</w:t>
      </w:r>
      <w:r w:rsidRPr="00EF7278">
        <w:rPr>
          <w:rFonts w:ascii="Times New Roman" w:hAnsi="Times New Roman"/>
          <w:b/>
          <w:bCs/>
          <w:color w:val="000000" w:themeColor="text1"/>
          <w:sz w:val="24"/>
          <w:szCs w:val="24"/>
        </w:rPr>
        <w:t>C NMR of compound 3</w:t>
      </w:r>
    </w:p>
    <w:p w14:paraId="14CD23D1" w14:textId="336375ED" w:rsidR="00A6566E" w:rsidRDefault="00C2250D">
      <w:pPr>
        <w:widowControl/>
        <w:jc w:val="left"/>
      </w:pPr>
      <w:r>
        <w:rPr>
          <w:noProof/>
        </w:rPr>
        <w:object w:dxaOrig="16321" w:dyaOrig="11363" w14:anchorId="329914C7">
          <v:shape id="_x0000_i1033" type="#_x0000_t75" alt="" style="width:435pt;height:303pt;mso-width-percent:0;mso-height-percent:0;mso-width-percent:0;mso-height-percent:0" o:ole="">
            <v:imagedata r:id="rId29" o:title=""/>
          </v:shape>
          <o:OLEObject Type="Embed" ProgID="MestReNova.Document.1" ShapeID="_x0000_i1033" DrawAspect="Content" ObjectID="_1835441369" r:id="rId30"/>
        </w:object>
      </w:r>
    </w:p>
    <w:p w14:paraId="0496577F" w14:textId="386AACFE" w:rsidR="00891659" w:rsidRDefault="00C2250D">
      <w:pPr>
        <w:widowControl/>
        <w:jc w:val="left"/>
      </w:pPr>
      <w:r>
        <w:rPr>
          <w:noProof/>
        </w:rPr>
        <w:object w:dxaOrig="16321" w:dyaOrig="11386" w14:anchorId="5C8C91FB">
          <v:shape id="_x0000_i1034" type="#_x0000_t75" alt="" style="width:439.15pt;height:307.5pt;mso-width-percent:0;mso-height-percent:0;mso-width-percent:0;mso-height-percent:0" o:ole="">
            <v:imagedata r:id="rId31" o:title=""/>
          </v:shape>
          <o:OLEObject Type="Embed" ProgID="MestReNova.Document.1" ShapeID="_x0000_i1034" DrawAspect="Content" ObjectID="_1835441370" r:id="rId32"/>
        </w:object>
      </w:r>
    </w:p>
    <w:p w14:paraId="2AA76E3F" w14:textId="77777777" w:rsidR="00891659" w:rsidRDefault="00891659">
      <w:pPr>
        <w:widowControl/>
        <w:jc w:val="left"/>
      </w:pPr>
    </w:p>
    <w:p w14:paraId="7CEA9F1E" w14:textId="77777777" w:rsidR="00891659" w:rsidRDefault="00891659">
      <w:pPr>
        <w:widowControl/>
        <w:jc w:val="left"/>
      </w:pPr>
    </w:p>
    <w:p w14:paraId="76586BC2" w14:textId="50617724" w:rsidR="00891659" w:rsidRPr="00797A84" w:rsidRDefault="00797A84" w:rsidP="00797A84">
      <w:pPr>
        <w:spacing w:line="360" w:lineRule="auto"/>
        <w:rPr>
          <w:rFonts w:ascii="Times New Roman" w:hAnsi="Times New Roman"/>
          <w:b/>
          <w:bCs/>
          <w:color w:val="000000"/>
        </w:rPr>
      </w:pPr>
      <w:r w:rsidRPr="00797A84">
        <w:rPr>
          <w:rFonts w:ascii="Times New Roman" w:hAnsi="Times New Roman"/>
          <w:b/>
          <w:bCs/>
          <w:color w:val="000000" w:themeColor="text1"/>
          <w:sz w:val="24"/>
          <w:szCs w:val="24"/>
          <w:vertAlign w:val="superscript"/>
        </w:rPr>
        <w:t>1</w:t>
      </w:r>
      <w:r w:rsidRPr="00797A84">
        <w:rPr>
          <w:rFonts w:ascii="Times New Roman" w:hAnsi="Times New Roman"/>
          <w:b/>
          <w:bCs/>
          <w:color w:val="000000" w:themeColor="text1"/>
          <w:sz w:val="24"/>
          <w:szCs w:val="24"/>
        </w:rPr>
        <w:t xml:space="preserve">H NMR and </w:t>
      </w:r>
      <w:r w:rsidRPr="00797A84">
        <w:rPr>
          <w:rFonts w:ascii="Times New Roman" w:hAnsi="Times New Roman"/>
          <w:b/>
          <w:bCs/>
          <w:color w:val="000000" w:themeColor="text1"/>
          <w:sz w:val="24"/>
          <w:szCs w:val="24"/>
          <w:vertAlign w:val="superscript"/>
        </w:rPr>
        <w:t>13</w:t>
      </w:r>
      <w:r w:rsidRPr="00797A84">
        <w:rPr>
          <w:rFonts w:ascii="Times New Roman" w:hAnsi="Times New Roman"/>
          <w:b/>
          <w:bCs/>
          <w:color w:val="000000" w:themeColor="text1"/>
          <w:sz w:val="24"/>
          <w:szCs w:val="24"/>
        </w:rPr>
        <w:t>C NMR</w:t>
      </w:r>
      <w:r>
        <w:rPr>
          <w:rFonts w:ascii="Times New Roman" w:hAnsi="Times New Roman"/>
          <w:b/>
          <w:bCs/>
          <w:color w:val="000000" w:themeColor="text1"/>
          <w:sz w:val="24"/>
          <w:szCs w:val="24"/>
        </w:rPr>
        <w:t xml:space="preserve"> of compound 4</w:t>
      </w:r>
    </w:p>
    <w:p w14:paraId="3D8F6884" w14:textId="77777777" w:rsidR="00891659" w:rsidRDefault="00891659">
      <w:pPr>
        <w:widowControl/>
        <w:jc w:val="left"/>
      </w:pPr>
    </w:p>
    <w:p w14:paraId="4A0A033A" w14:textId="6C23170A" w:rsidR="001662CA" w:rsidRDefault="00C2250D">
      <w:pPr>
        <w:widowControl/>
        <w:jc w:val="left"/>
      </w:pPr>
      <w:r>
        <w:rPr>
          <w:noProof/>
        </w:rPr>
        <w:object w:dxaOrig="16321" w:dyaOrig="11386" w14:anchorId="72921C7D">
          <v:shape id="_x0000_i1035" type="#_x0000_t75" alt="" style="width:417.75pt;height:291.4pt;mso-width-percent:0;mso-height-percent:0;mso-width-percent:0;mso-height-percent:0" o:ole="">
            <v:imagedata r:id="rId33" o:title=""/>
          </v:shape>
          <o:OLEObject Type="Embed" ProgID="MestReNova.Document.1" ShapeID="_x0000_i1035" DrawAspect="Content" ObjectID="_1835441371" r:id="rId34"/>
        </w:object>
      </w:r>
    </w:p>
    <w:p w14:paraId="29750FBE" w14:textId="0EF593F1" w:rsidR="006B0C72" w:rsidRDefault="00C2250D">
      <w:pPr>
        <w:widowControl/>
        <w:jc w:val="left"/>
        <w:rPr>
          <w:rFonts w:ascii="Times New Roman" w:hAnsi="Times New Roman"/>
          <w:b/>
          <w:color w:val="000000" w:themeColor="text1"/>
          <w:sz w:val="24"/>
          <w:szCs w:val="24"/>
        </w:rPr>
      </w:pPr>
      <w:r>
        <w:rPr>
          <w:noProof/>
        </w:rPr>
        <w:object w:dxaOrig="16275" w:dyaOrig="11363" w14:anchorId="5EE1B1E6">
          <v:shape id="_x0000_i1036" type="#_x0000_t75" alt="" style="width:409.5pt;height:286.9pt;mso-width-percent:0;mso-height-percent:0;mso-width-percent:0;mso-height-percent:0" o:ole="">
            <v:imagedata r:id="rId35" o:title=""/>
          </v:shape>
          <o:OLEObject Type="Embed" ProgID="MestReNova.Document.1" ShapeID="_x0000_i1036" DrawAspect="Content" ObjectID="_1835441372" r:id="rId36"/>
        </w:object>
      </w:r>
      <w:r w:rsidR="006B0C72">
        <w:rPr>
          <w:rFonts w:ascii="Times New Roman" w:hAnsi="Times New Roman"/>
          <w:b/>
          <w:color w:val="000000" w:themeColor="text1"/>
          <w:sz w:val="24"/>
          <w:szCs w:val="24"/>
        </w:rPr>
        <w:br w:type="page"/>
      </w:r>
    </w:p>
    <w:p w14:paraId="7309B529" w14:textId="77777777" w:rsidR="003750AC" w:rsidRPr="00EF7278" w:rsidRDefault="003750AC" w:rsidP="00EF7278">
      <w:pPr>
        <w:pStyle w:val="ListParagraph"/>
        <w:widowControl/>
        <w:numPr>
          <w:ilvl w:val="0"/>
          <w:numId w:val="26"/>
        </w:numPr>
        <w:spacing w:line="360" w:lineRule="auto"/>
        <w:rPr>
          <w:rFonts w:ascii="Times New Roman" w:hAnsi="Times New Roman"/>
          <w:b/>
          <w:color w:val="000000" w:themeColor="text1"/>
          <w:sz w:val="24"/>
          <w:szCs w:val="24"/>
        </w:rPr>
      </w:pPr>
      <w:r w:rsidRPr="00EF7278">
        <w:rPr>
          <w:rFonts w:ascii="Times New Roman" w:hAnsi="Times New Roman"/>
          <w:b/>
          <w:color w:val="000000" w:themeColor="text1"/>
          <w:sz w:val="24"/>
          <w:szCs w:val="24"/>
        </w:rPr>
        <w:lastRenderedPageBreak/>
        <w:t>References</w:t>
      </w:r>
    </w:p>
    <w:p w14:paraId="5677D217" w14:textId="77777777" w:rsidR="003750AC" w:rsidRPr="00CD1F49" w:rsidRDefault="003750AC" w:rsidP="003750AC">
      <w:pPr>
        <w:pStyle w:val="ListParagraph"/>
        <w:widowControl/>
        <w:numPr>
          <w:ilvl w:val="0"/>
          <w:numId w:val="25"/>
        </w:numPr>
        <w:spacing w:line="360" w:lineRule="auto"/>
        <w:ind w:left="270"/>
        <w:rPr>
          <w:rFonts w:ascii="Times New Roman" w:hAnsi="Times New Roman"/>
          <w:bCs/>
          <w:color w:val="000000" w:themeColor="text1"/>
          <w:sz w:val="24"/>
          <w:szCs w:val="24"/>
        </w:rPr>
      </w:pPr>
      <w:r w:rsidRPr="00CD1F49">
        <w:rPr>
          <w:rFonts w:ascii="Times New Roman" w:hAnsi="Times New Roman"/>
          <w:bCs/>
          <w:color w:val="000000" w:themeColor="text1"/>
          <w:sz w:val="24"/>
          <w:szCs w:val="24"/>
          <w:lang w:val="fr-FR"/>
        </w:rPr>
        <w:t>Hevel JM, Marletta MA. Nitric</w:t>
      </w:r>
      <w:r w:rsidRPr="00CD1F49">
        <w:rPr>
          <w:rFonts w:ascii="Times New Roman" w:hAnsi="Times New Roman"/>
          <w:bCs/>
          <w:color w:val="000000" w:themeColor="text1"/>
          <w:sz w:val="24"/>
          <w:szCs w:val="24"/>
          <w:lang w:val="fr-FR"/>
        </w:rPr>
        <w:noBreakHyphen/>
        <w:t xml:space="preserve">oxide synthase assays. </w:t>
      </w:r>
      <w:r w:rsidRPr="00CD1F49">
        <w:rPr>
          <w:rFonts w:ascii="Times New Roman" w:hAnsi="Times New Roman"/>
          <w:bCs/>
          <w:color w:val="000000" w:themeColor="text1"/>
          <w:sz w:val="24"/>
          <w:szCs w:val="24"/>
        </w:rPr>
        <w:t>Methods Enzymol. 1994;233:250–258. </w:t>
      </w:r>
      <w:hyperlink r:id="rId37" w:tgtFrame="_blank" w:history="1">
        <w:r w:rsidRPr="00CD1F49">
          <w:rPr>
            <w:rStyle w:val="Hyperlink"/>
            <w:rFonts w:ascii="Times New Roman" w:hAnsi="Times New Roman"/>
            <w:b/>
            <w:bCs/>
            <w:sz w:val="24"/>
            <w:szCs w:val="24"/>
          </w:rPr>
          <w:t>https://doi.org/10.1016/S0076-6879(94)33028-X.[1</w:t>
        </w:r>
      </w:hyperlink>
      <w:r w:rsidRPr="00CD1F49">
        <w:rPr>
          <w:rFonts w:ascii="Times New Roman" w:hAnsi="Times New Roman"/>
          <w:bCs/>
          <w:color w:val="000000" w:themeColor="text1"/>
          <w:sz w:val="24"/>
          <w:szCs w:val="24"/>
        </w:rPr>
        <w:t>]</w:t>
      </w:r>
    </w:p>
    <w:p w14:paraId="4DC3A149" w14:textId="77777777" w:rsidR="003750AC" w:rsidRPr="00CD1F49" w:rsidRDefault="003750AC" w:rsidP="003750AC">
      <w:pPr>
        <w:pStyle w:val="ListParagraph"/>
        <w:widowControl/>
        <w:numPr>
          <w:ilvl w:val="0"/>
          <w:numId w:val="25"/>
        </w:numPr>
        <w:spacing w:line="360" w:lineRule="auto"/>
        <w:ind w:left="270"/>
        <w:rPr>
          <w:rFonts w:ascii="Times New Roman" w:hAnsi="Times New Roman"/>
          <w:bCs/>
          <w:color w:val="000000" w:themeColor="text1"/>
          <w:sz w:val="24"/>
          <w:szCs w:val="24"/>
        </w:rPr>
      </w:pPr>
      <w:r w:rsidRPr="00CD1F49">
        <w:rPr>
          <w:rFonts w:ascii="Times New Roman" w:hAnsi="Times New Roman"/>
          <w:bCs/>
          <w:color w:val="000000" w:themeColor="text1"/>
          <w:sz w:val="24"/>
          <w:szCs w:val="24"/>
        </w:rPr>
        <w:t>Do HT, Wang H</w:t>
      </w:r>
      <w:r w:rsidRPr="00CD1F49">
        <w:rPr>
          <w:rFonts w:ascii="Times New Roman" w:hAnsi="Times New Roman"/>
          <w:bCs/>
          <w:color w:val="000000" w:themeColor="text1"/>
          <w:sz w:val="24"/>
          <w:szCs w:val="24"/>
        </w:rPr>
        <w:noBreakHyphen/>
        <w:t>Y, Li H, Chreifi G, Poulos TL, Silverman RB. Improvement of cell permeability of human neuronal nitric oxide synthase inhibitors using potent and selective 2</w:t>
      </w:r>
      <w:r w:rsidRPr="00CD1F49">
        <w:rPr>
          <w:rFonts w:ascii="Times New Roman" w:hAnsi="Times New Roman"/>
          <w:bCs/>
          <w:color w:val="000000" w:themeColor="text1"/>
          <w:sz w:val="24"/>
          <w:szCs w:val="24"/>
        </w:rPr>
        <w:noBreakHyphen/>
        <w:t>aminopyridine</w:t>
      </w:r>
      <w:r w:rsidRPr="00CD1F49">
        <w:rPr>
          <w:rFonts w:ascii="Times New Roman" w:hAnsi="Times New Roman"/>
          <w:bCs/>
          <w:color w:val="000000" w:themeColor="text1"/>
          <w:sz w:val="24"/>
          <w:szCs w:val="24"/>
        </w:rPr>
        <w:noBreakHyphen/>
        <w:t>based scaffolds with a fluorobenzene linker. J Med Chem. 2017;60:9360–9375. </w:t>
      </w:r>
      <w:hyperlink r:id="rId38" w:tgtFrame="_blank" w:history="1">
        <w:r w:rsidRPr="00CD1F49">
          <w:rPr>
            <w:rStyle w:val="Hyperlink"/>
            <w:rFonts w:ascii="Times New Roman" w:hAnsi="Times New Roman"/>
            <w:b/>
            <w:bCs/>
            <w:sz w:val="24"/>
            <w:szCs w:val="24"/>
          </w:rPr>
          <w:t>https://doi.org/10.1021/acs.jmedchem.7b01245.</w:t>
        </w:r>
      </w:hyperlink>
      <w:r w:rsidRPr="00CD1F49">
        <w:rPr>
          <w:rFonts w:ascii="Times New Roman" w:hAnsi="Times New Roman"/>
          <w:bCs/>
          <w:color w:val="000000" w:themeColor="text1"/>
          <w:sz w:val="24"/>
          <w:szCs w:val="24"/>
        </w:rPr>
        <w:t>​</w:t>
      </w:r>
    </w:p>
    <w:p w14:paraId="650F3AB2" w14:textId="77777777" w:rsidR="003750AC" w:rsidRPr="00CD1F49" w:rsidRDefault="003750AC" w:rsidP="003750AC">
      <w:pPr>
        <w:pStyle w:val="ListParagraph"/>
        <w:widowControl/>
        <w:numPr>
          <w:ilvl w:val="0"/>
          <w:numId w:val="25"/>
        </w:numPr>
        <w:spacing w:line="360" w:lineRule="auto"/>
        <w:ind w:left="270"/>
        <w:rPr>
          <w:rFonts w:ascii="Times New Roman" w:hAnsi="Times New Roman"/>
          <w:bCs/>
          <w:color w:val="000000" w:themeColor="text1"/>
          <w:sz w:val="24"/>
          <w:szCs w:val="24"/>
        </w:rPr>
      </w:pPr>
      <w:r w:rsidRPr="00CD1F49">
        <w:rPr>
          <w:rFonts w:ascii="Times New Roman" w:hAnsi="Times New Roman"/>
          <w:bCs/>
          <w:color w:val="000000" w:themeColor="text1"/>
          <w:sz w:val="24"/>
          <w:szCs w:val="24"/>
        </w:rPr>
        <w:t>Roman LJ, Sheta EA, Martasek P, Gross SS, Liu Q, Masters BSS. High level expression of functional rat neuronal nitric oxide synthase in Escherichia coli. Proc Natl Acad Sci USA. 1995;92:8428–8432. </w:t>
      </w:r>
      <w:hyperlink r:id="rId39" w:tgtFrame="_blank" w:history="1">
        <w:r w:rsidRPr="00CD1F49">
          <w:rPr>
            <w:rStyle w:val="Hyperlink"/>
            <w:rFonts w:ascii="Times New Roman" w:hAnsi="Times New Roman"/>
            <w:b/>
            <w:bCs/>
            <w:sz w:val="24"/>
            <w:szCs w:val="24"/>
          </w:rPr>
          <w:t>https://doi.org/10.1073/pnas.92.18.8428.</w:t>
        </w:r>
      </w:hyperlink>
      <w:r w:rsidRPr="00CD1F49">
        <w:rPr>
          <w:rFonts w:ascii="Times New Roman" w:hAnsi="Times New Roman"/>
          <w:bCs/>
          <w:color w:val="000000" w:themeColor="text1"/>
          <w:sz w:val="24"/>
          <w:szCs w:val="24"/>
        </w:rPr>
        <w:t>​</w:t>
      </w:r>
    </w:p>
    <w:p w14:paraId="144B9BF4" w14:textId="77777777" w:rsidR="003750AC" w:rsidRPr="00CD1F49" w:rsidRDefault="003750AC" w:rsidP="003750AC">
      <w:pPr>
        <w:pStyle w:val="ListParagraph"/>
        <w:widowControl/>
        <w:numPr>
          <w:ilvl w:val="0"/>
          <w:numId w:val="25"/>
        </w:numPr>
        <w:spacing w:line="360" w:lineRule="auto"/>
        <w:ind w:left="270"/>
        <w:rPr>
          <w:rFonts w:ascii="Times New Roman" w:hAnsi="Times New Roman"/>
          <w:bCs/>
          <w:color w:val="000000" w:themeColor="text1"/>
          <w:sz w:val="24"/>
          <w:szCs w:val="24"/>
        </w:rPr>
      </w:pPr>
      <w:r w:rsidRPr="00CD1F49">
        <w:rPr>
          <w:rFonts w:ascii="Times New Roman" w:hAnsi="Times New Roman"/>
          <w:bCs/>
          <w:color w:val="000000" w:themeColor="text1"/>
          <w:sz w:val="24"/>
          <w:szCs w:val="24"/>
        </w:rPr>
        <w:t>Li H, Shimizu H, Flinspach M, Jamal J, Yang W, Xian M, Cai T, Wen EZ, Jia Q, Wang PG, Poulos TL. The novel binding mode of N</w:t>
      </w:r>
      <w:r w:rsidRPr="00CD1F49">
        <w:rPr>
          <w:rFonts w:ascii="Times New Roman" w:hAnsi="Times New Roman"/>
          <w:bCs/>
          <w:color w:val="000000" w:themeColor="text1"/>
          <w:sz w:val="24"/>
          <w:szCs w:val="24"/>
        </w:rPr>
        <w:noBreakHyphen/>
        <w:t>alkyl</w:t>
      </w:r>
      <w:r w:rsidRPr="00CD1F49">
        <w:rPr>
          <w:rFonts w:ascii="Times New Roman" w:hAnsi="Times New Roman"/>
          <w:bCs/>
          <w:color w:val="000000" w:themeColor="text1"/>
          <w:sz w:val="24"/>
          <w:szCs w:val="24"/>
        </w:rPr>
        <w:noBreakHyphen/>
        <w:t>N'</w:t>
      </w:r>
      <w:r w:rsidRPr="00CD1F49">
        <w:rPr>
          <w:rFonts w:ascii="Times New Roman" w:hAnsi="Times New Roman"/>
          <w:bCs/>
          <w:color w:val="000000" w:themeColor="text1"/>
          <w:sz w:val="24"/>
          <w:szCs w:val="24"/>
        </w:rPr>
        <w:noBreakHyphen/>
        <w:t>hydroxy guanidine to neuronal nitric oxide synthase provides mechanistic insights into NO biosynthesis. Biochemistry. 2002;41:13868–13875. </w:t>
      </w:r>
      <w:hyperlink r:id="rId40" w:tgtFrame="_blank" w:history="1">
        <w:r w:rsidRPr="00CD1F49">
          <w:rPr>
            <w:rStyle w:val="Hyperlink"/>
            <w:rFonts w:ascii="Times New Roman" w:hAnsi="Times New Roman"/>
            <w:b/>
            <w:bCs/>
            <w:sz w:val="24"/>
            <w:szCs w:val="24"/>
          </w:rPr>
          <w:t>https://doi.org/10.1021/bi020417c.</w:t>
        </w:r>
      </w:hyperlink>
      <w:r w:rsidRPr="00CD1F49">
        <w:rPr>
          <w:rFonts w:ascii="Times New Roman" w:hAnsi="Times New Roman"/>
          <w:bCs/>
          <w:color w:val="000000" w:themeColor="text1"/>
          <w:sz w:val="24"/>
          <w:szCs w:val="24"/>
        </w:rPr>
        <w:t>​</w:t>
      </w:r>
    </w:p>
    <w:p w14:paraId="33AA9896" w14:textId="77777777" w:rsidR="003750AC" w:rsidRPr="00CD1F49" w:rsidRDefault="003750AC" w:rsidP="003750AC">
      <w:pPr>
        <w:pStyle w:val="ListParagraph"/>
        <w:widowControl/>
        <w:numPr>
          <w:ilvl w:val="0"/>
          <w:numId w:val="25"/>
        </w:numPr>
        <w:spacing w:line="360" w:lineRule="auto"/>
        <w:ind w:left="270"/>
        <w:rPr>
          <w:rFonts w:ascii="Times New Roman" w:hAnsi="Times New Roman"/>
          <w:bCs/>
          <w:color w:val="000000" w:themeColor="text1"/>
          <w:sz w:val="24"/>
          <w:szCs w:val="24"/>
        </w:rPr>
      </w:pPr>
      <w:r w:rsidRPr="00CD1F49">
        <w:rPr>
          <w:rFonts w:ascii="Times New Roman" w:hAnsi="Times New Roman"/>
          <w:bCs/>
          <w:color w:val="000000" w:themeColor="text1"/>
          <w:sz w:val="24"/>
          <w:szCs w:val="24"/>
        </w:rPr>
        <w:t>Li H, Jamal J, Plaza C, Pineda SH, Chreifi G, Jing Q, Cinelli MA, Silverman RB, Poulos TL. Structures of human constitutive nitric oxide synthases. Acta Crystallogr, Sect D: Biol Crystallogr. 2014;70:2667–2674. </w:t>
      </w:r>
      <w:hyperlink r:id="rId41" w:tgtFrame="_blank" w:history="1">
        <w:r w:rsidRPr="00CD1F49">
          <w:rPr>
            <w:rStyle w:val="Hyperlink"/>
            <w:rFonts w:ascii="Times New Roman" w:hAnsi="Times New Roman"/>
            <w:b/>
            <w:bCs/>
            <w:sz w:val="24"/>
            <w:szCs w:val="24"/>
          </w:rPr>
          <w:t>https://doi.org/10.1107/S1399004714017064.</w:t>
        </w:r>
      </w:hyperlink>
      <w:r w:rsidRPr="00CD1F49">
        <w:rPr>
          <w:rFonts w:ascii="Times New Roman" w:hAnsi="Times New Roman"/>
          <w:bCs/>
          <w:color w:val="000000" w:themeColor="text1"/>
          <w:sz w:val="24"/>
          <w:szCs w:val="24"/>
        </w:rPr>
        <w:t>​</w:t>
      </w:r>
    </w:p>
    <w:p w14:paraId="32AC8E21" w14:textId="77777777" w:rsidR="003750AC" w:rsidRPr="00CD1F49" w:rsidRDefault="003750AC" w:rsidP="003750AC">
      <w:pPr>
        <w:pStyle w:val="ListParagraph"/>
        <w:widowControl/>
        <w:numPr>
          <w:ilvl w:val="0"/>
          <w:numId w:val="25"/>
        </w:numPr>
        <w:spacing w:line="360" w:lineRule="auto"/>
        <w:ind w:left="270"/>
        <w:rPr>
          <w:rFonts w:ascii="Times New Roman" w:hAnsi="Times New Roman"/>
          <w:bCs/>
          <w:color w:val="000000" w:themeColor="text1"/>
          <w:sz w:val="24"/>
          <w:szCs w:val="24"/>
        </w:rPr>
      </w:pPr>
      <w:r w:rsidRPr="00CD1F49">
        <w:rPr>
          <w:rFonts w:ascii="Times New Roman" w:hAnsi="Times New Roman"/>
          <w:bCs/>
          <w:color w:val="000000" w:themeColor="text1"/>
          <w:sz w:val="24"/>
          <w:szCs w:val="24"/>
        </w:rPr>
        <w:t>Do HT, Li H, Chreifi G, Poulos TL, Silverman RB. Optimization of blood brain barrier permeability with potent and selective human neuronal nitric oxide synthase inhibitors having a 2</w:t>
      </w:r>
      <w:r w:rsidRPr="00CD1F49">
        <w:rPr>
          <w:rFonts w:ascii="Times New Roman" w:hAnsi="Times New Roman"/>
          <w:bCs/>
          <w:color w:val="000000" w:themeColor="text1"/>
          <w:sz w:val="24"/>
          <w:szCs w:val="24"/>
        </w:rPr>
        <w:noBreakHyphen/>
        <w:t>aminopyridine scaffold. J Med Chem. 2019;62:2690–2707. </w:t>
      </w:r>
      <w:hyperlink r:id="rId42" w:tgtFrame="_blank" w:history="1">
        <w:r w:rsidRPr="00CD1F49">
          <w:rPr>
            <w:rStyle w:val="Hyperlink"/>
            <w:rFonts w:ascii="Times New Roman" w:hAnsi="Times New Roman"/>
            <w:b/>
            <w:bCs/>
            <w:sz w:val="24"/>
            <w:szCs w:val="24"/>
          </w:rPr>
          <w:t>https://doi.org/10.1021/acs.jmedchem.8b02032.</w:t>
        </w:r>
      </w:hyperlink>
      <w:r w:rsidRPr="00CD1F49">
        <w:rPr>
          <w:rFonts w:ascii="Times New Roman" w:hAnsi="Times New Roman"/>
          <w:bCs/>
          <w:color w:val="000000" w:themeColor="text1"/>
          <w:sz w:val="24"/>
          <w:szCs w:val="24"/>
        </w:rPr>
        <w:t>​</w:t>
      </w:r>
    </w:p>
    <w:p w14:paraId="20D56773" w14:textId="77777777" w:rsidR="003750AC" w:rsidRPr="00CD1F49" w:rsidRDefault="003750AC" w:rsidP="003750AC">
      <w:pPr>
        <w:pStyle w:val="ListParagraph"/>
        <w:widowControl/>
        <w:numPr>
          <w:ilvl w:val="0"/>
          <w:numId w:val="25"/>
        </w:numPr>
        <w:spacing w:line="360" w:lineRule="auto"/>
        <w:ind w:left="270"/>
        <w:rPr>
          <w:rFonts w:ascii="Times New Roman" w:hAnsi="Times New Roman"/>
          <w:bCs/>
          <w:color w:val="000000" w:themeColor="text1"/>
          <w:sz w:val="24"/>
          <w:szCs w:val="24"/>
        </w:rPr>
      </w:pPr>
      <w:r w:rsidRPr="00CD1F49">
        <w:rPr>
          <w:rFonts w:ascii="Times New Roman" w:hAnsi="Times New Roman"/>
          <w:bCs/>
          <w:color w:val="000000" w:themeColor="text1"/>
          <w:sz w:val="24"/>
          <w:szCs w:val="24"/>
        </w:rPr>
        <w:t>Cheng Y</w:t>
      </w:r>
      <w:r w:rsidRPr="00CD1F49">
        <w:rPr>
          <w:rFonts w:ascii="Times New Roman" w:hAnsi="Times New Roman"/>
          <w:bCs/>
          <w:color w:val="000000" w:themeColor="text1"/>
          <w:sz w:val="24"/>
          <w:szCs w:val="24"/>
        </w:rPr>
        <w:noBreakHyphen/>
        <w:t>C, Prusoff WH. Relationship between the inhibition constant (Ki) and the concentration of inhibitor which causes 50 percent inhibition (IC50) of an enzymatic reaction. Biochem Pharmacol. 1973;22:3099–3108. </w:t>
      </w:r>
      <w:hyperlink r:id="rId43" w:tgtFrame="_blank" w:history="1">
        <w:r w:rsidRPr="00CD1F49">
          <w:rPr>
            <w:rStyle w:val="Hyperlink"/>
            <w:rFonts w:ascii="Times New Roman" w:hAnsi="Times New Roman"/>
            <w:b/>
            <w:bCs/>
            <w:sz w:val="24"/>
            <w:szCs w:val="24"/>
          </w:rPr>
          <w:t>https://doi.org/10.1016/0006-2952(73)90196-2.[7</w:t>
        </w:r>
      </w:hyperlink>
      <w:r w:rsidRPr="00CD1F49">
        <w:rPr>
          <w:rFonts w:ascii="Times New Roman" w:hAnsi="Times New Roman"/>
          <w:bCs/>
          <w:color w:val="000000" w:themeColor="text1"/>
          <w:sz w:val="24"/>
          <w:szCs w:val="24"/>
        </w:rPr>
        <w:t>]</w:t>
      </w:r>
    </w:p>
    <w:p w14:paraId="35EE69FD" w14:textId="77777777" w:rsidR="003750AC" w:rsidRPr="00CD1F49" w:rsidRDefault="003750AC" w:rsidP="003750AC">
      <w:pPr>
        <w:pStyle w:val="ListParagraph"/>
        <w:widowControl/>
        <w:numPr>
          <w:ilvl w:val="0"/>
          <w:numId w:val="25"/>
        </w:numPr>
        <w:spacing w:line="360" w:lineRule="auto"/>
        <w:ind w:left="270"/>
        <w:rPr>
          <w:rFonts w:ascii="Times New Roman" w:hAnsi="Times New Roman"/>
          <w:bCs/>
          <w:color w:val="000000" w:themeColor="text1"/>
          <w:sz w:val="24"/>
          <w:szCs w:val="24"/>
        </w:rPr>
      </w:pPr>
      <w:r w:rsidRPr="00CD1F49">
        <w:rPr>
          <w:rFonts w:ascii="Times New Roman" w:hAnsi="Times New Roman"/>
          <w:bCs/>
          <w:color w:val="000000" w:themeColor="text1"/>
          <w:sz w:val="24"/>
          <w:szCs w:val="24"/>
        </w:rPr>
        <w:t>Leber A, Hemmens B, Klösch B, Goessler W, Raber G, Mayer B, Schmidt K. Characterization of recombinant human endothelial nitric</w:t>
      </w:r>
      <w:r w:rsidRPr="00CD1F49">
        <w:rPr>
          <w:rFonts w:ascii="Times New Roman" w:hAnsi="Times New Roman"/>
          <w:bCs/>
          <w:color w:val="000000" w:themeColor="text1"/>
          <w:sz w:val="24"/>
          <w:szCs w:val="24"/>
        </w:rPr>
        <w:noBreakHyphen/>
        <w:t>oxide synthase purified from the yeast Pichia pastoris. J Biol Chem. 1999;274:37658–37664. </w:t>
      </w:r>
      <w:hyperlink r:id="rId44" w:tgtFrame="_blank" w:history="1">
        <w:r w:rsidRPr="00CD1F49">
          <w:rPr>
            <w:rStyle w:val="Hyperlink"/>
            <w:rFonts w:ascii="Times New Roman" w:hAnsi="Times New Roman"/>
            <w:b/>
            <w:bCs/>
            <w:sz w:val="24"/>
            <w:szCs w:val="24"/>
          </w:rPr>
          <w:t>https://doi.org/10.1074/jbc.274.53.37658.</w:t>
        </w:r>
      </w:hyperlink>
      <w:r w:rsidRPr="00CD1F49">
        <w:rPr>
          <w:rFonts w:ascii="Times New Roman" w:hAnsi="Times New Roman"/>
          <w:bCs/>
          <w:color w:val="000000" w:themeColor="text1"/>
          <w:sz w:val="24"/>
          <w:szCs w:val="24"/>
        </w:rPr>
        <w:t>​</w:t>
      </w:r>
    </w:p>
    <w:p w14:paraId="1664E621" w14:textId="77777777" w:rsidR="003750AC" w:rsidRPr="00CD1F49" w:rsidRDefault="003750AC" w:rsidP="003750AC">
      <w:pPr>
        <w:pStyle w:val="ListParagraph"/>
        <w:widowControl/>
        <w:numPr>
          <w:ilvl w:val="0"/>
          <w:numId w:val="25"/>
        </w:numPr>
        <w:spacing w:line="360" w:lineRule="auto"/>
        <w:ind w:left="270"/>
        <w:rPr>
          <w:rFonts w:ascii="Times New Roman" w:hAnsi="Times New Roman"/>
          <w:bCs/>
          <w:color w:val="000000" w:themeColor="text1"/>
          <w:sz w:val="24"/>
          <w:szCs w:val="24"/>
        </w:rPr>
      </w:pPr>
      <w:r w:rsidRPr="00CD1F49">
        <w:rPr>
          <w:rFonts w:ascii="Times New Roman" w:hAnsi="Times New Roman"/>
          <w:bCs/>
          <w:color w:val="000000" w:themeColor="text1"/>
          <w:sz w:val="24"/>
          <w:szCs w:val="24"/>
        </w:rPr>
        <w:t>Di L, Kerns EH, Fan K, McConnell OJ, Carter GT. High throughput artificial membrane permeability assay for blood−brain barrier. Eur J Med Chem. 2003;38:223–232. </w:t>
      </w:r>
      <w:hyperlink r:id="rId45" w:tgtFrame="_blank" w:history="1">
        <w:r w:rsidRPr="00CD1F49">
          <w:rPr>
            <w:rStyle w:val="Hyperlink"/>
            <w:rFonts w:ascii="Times New Roman" w:hAnsi="Times New Roman"/>
            <w:b/>
            <w:bCs/>
            <w:sz w:val="24"/>
            <w:szCs w:val="24"/>
          </w:rPr>
          <w:t>https://doi.org/10.1016/S0223-5234(03)00012-6.[9</w:t>
        </w:r>
      </w:hyperlink>
      <w:r w:rsidRPr="00CD1F49">
        <w:rPr>
          <w:rFonts w:ascii="Times New Roman" w:hAnsi="Times New Roman"/>
          <w:bCs/>
          <w:color w:val="000000" w:themeColor="text1"/>
          <w:sz w:val="24"/>
          <w:szCs w:val="24"/>
        </w:rPr>
        <w:t>]</w:t>
      </w:r>
    </w:p>
    <w:p w14:paraId="37DD43F3" w14:textId="77777777" w:rsidR="003750AC" w:rsidRPr="00CD1F49" w:rsidRDefault="003750AC" w:rsidP="003750AC">
      <w:pPr>
        <w:pStyle w:val="ListParagraph"/>
        <w:widowControl/>
        <w:numPr>
          <w:ilvl w:val="0"/>
          <w:numId w:val="25"/>
        </w:numPr>
        <w:spacing w:line="360" w:lineRule="auto"/>
        <w:ind w:left="270"/>
        <w:rPr>
          <w:rFonts w:ascii="Times New Roman" w:hAnsi="Times New Roman"/>
          <w:bCs/>
          <w:color w:val="000000" w:themeColor="text1"/>
          <w:sz w:val="24"/>
          <w:szCs w:val="24"/>
        </w:rPr>
      </w:pPr>
      <w:r w:rsidRPr="00CD1F49">
        <w:rPr>
          <w:rFonts w:ascii="Times New Roman" w:hAnsi="Times New Roman"/>
          <w:bCs/>
          <w:color w:val="000000" w:themeColor="text1"/>
          <w:sz w:val="24"/>
          <w:szCs w:val="24"/>
        </w:rPr>
        <w:lastRenderedPageBreak/>
        <w:t>Cahlíková L, Pérez DI, Štěpánková Š, Chlebek J, Šafratová M, Hošt'álková A, Opletal L. In vitro inhibitory effects of 8</w:t>
      </w:r>
      <w:r w:rsidRPr="00CD1F49">
        <w:rPr>
          <w:rFonts w:ascii="Times New Roman" w:hAnsi="Times New Roman"/>
          <w:bCs/>
          <w:color w:val="000000" w:themeColor="text1"/>
          <w:sz w:val="24"/>
          <w:szCs w:val="24"/>
        </w:rPr>
        <w:noBreakHyphen/>
        <w:t>O</w:t>
      </w:r>
      <w:r w:rsidRPr="00CD1F49">
        <w:rPr>
          <w:rFonts w:ascii="Times New Roman" w:hAnsi="Times New Roman"/>
          <w:bCs/>
          <w:color w:val="000000" w:themeColor="text1"/>
          <w:sz w:val="24"/>
          <w:szCs w:val="24"/>
        </w:rPr>
        <w:noBreakHyphen/>
        <w:t>demethylmaritidine and undulatine on acetylcholinesterase and their predicted penetration across the blood−brain barrier. J Nat Prod. 2015;78:1189–1192. </w:t>
      </w:r>
      <w:hyperlink r:id="rId46" w:tgtFrame="_blank" w:history="1">
        <w:r w:rsidRPr="00CD1F49">
          <w:rPr>
            <w:rStyle w:val="Hyperlink"/>
            <w:rFonts w:ascii="Times New Roman" w:hAnsi="Times New Roman"/>
            <w:b/>
            <w:bCs/>
            <w:sz w:val="24"/>
            <w:szCs w:val="24"/>
          </w:rPr>
          <w:t>https://doi.org/10.1021/acs.jnatprod.5b00191.</w:t>
        </w:r>
      </w:hyperlink>
      <w:r w:rsidRPr="00CD1F49">
        <w:rPr>
          <w:rFonts w:ascii="Times New Roman" w:hAnsi="Times New Roman"/>
          <w:bCs/>
          <w:color w:val="000000" w:themeColor="text1"/>
          <w:sz w:val="24"/>
          <w:szCs w:val="24"/>
        </w:rPr>
        <w:t>​</w:t>
      </w:r>
    </w:p>
    <w:p w14:paraId="3E849173" w14:textId="77777777" w:rsidR="003750AC" w:rsidRPr="00CD1F49" w:rsidRDefault="003750AC" w:rsidP="003750AC">
      <w:pPr>
        <w:pStyle w:val="ListParagraph"/>
        <w:widowControl/>
        <w:numPr>
          <w:ilvl w:val="0"/>
          <w:numId w:val="25"/>
        </w:numPr>
        <w:spacing w:line="360" w:lineRule="auto"/>
        <w:ind w:left="270"/>
        <w:rPr>
          <w:rFonts w:ascii="Times New Roman" w:hAnsi="Times New Roman"/>
          <w:bCs/>
          <w:color w:val="000000" w:themeColor="text1"/>
          <w:sz w:val="24"/>
          <w:szCs w:val="24"/>
        </w:rPr>
      </w:pPr>
      <w:r w:rsidRPr="00CD1F49">
        <w:rPr>
          <w:rFonts w:ascii="Times New Roman" w:hAnsi="Times New Roman"/>
          <w:bCs/>
          <w:color w:val="000000" w:themeColor="text1"/>
          <w:sz w:val="24"/>
          <w:szCs w:val="24"/>
        </w:rPr>
        <w:t>Könczöl Á, Müller J, Földes E, Béni Z, Végh K, Kéry Á, Balogh GT. Applicability of a blood−brain barrier specific artificial membrane permeability assay at the early stage of natural product</w:t>
      </w:r>
      <w:r w:rsidRPr="00CD1F49">
        <w:rPr>
          <w:rFonts w:ascii="Times New Roman" w:hAnsi="Times New Roman"/>
          <w:bCs/>
          <w:color w:val="000000" w:themeColor="text1"/>
          <w:sz w:val="24"/>
          <w:szCs w:val="24"/>
        </w:rPr>
        <w:noBreakHyphen/>
        <w:t>based CNS drug discovery. J Nat Prod. 2013;76:655–663. </w:t>
      </w:r>
      <w:hyperlink r:id="rId47" w:tgtFrame="_blank" w:history="1">
        <w:r w:rsidRPr="00CD1F49">
          <w:rPr>
            <w:rStyle w:val="Hyperlink"/>
            <w:rFonts w:ascii="Times New Roman" w:hAnsi="Times New Roman"/>
            <w:b/>
            <w:bCs/>
            <w:sz w:val="24"/>
            <w:szCs w:val="24"/>
          </w:rPr>
          <w:t>https://doi.org/10.1021/np300882f.</w:t>
        </w:r>
      </w:hyperlink>
      <w:r w:rsidRPr="00CD1F49">
        <w:rPr>
          <w:rFonts w:ascii="Times New Roman" w:hAnsi="Times New Roman"/>
          <w:bCs/>
          <w:color w:val="000000" w:themeColor="text1"/>
          <w:sz w:val="24"/>
          <w:szCs w:val="24"/>
        </w:rPr>
        <w:t>​</w:t>
      </w:r>
    </w:p>
    <w:p w14:paraId="7ECCD040" w14:textId="77777777" w:rsidR="003750AC" w:rsidRPr="00CD1F49" w:rsidRDefault="003750AC" w:rsidP="003750AC">
      <w:pPr>
        <w:pStyle w:val="ListParagraph"/>
        <w:widowControl/>
        <w:numPr>
          <w:ilvl w:val="0"/>
          <w:numId w:val="25"/>
        </w:numPr>
        <w:spacing w:line="360" w:lineRule="auto"/>
        <w:ind w:left="270"/>
        <w:rPr>
          <w:rFonts w:ascii="Times New Roman" w:hAnsi="Times New Roman"/>
          <w:bCs/>
          <w:color w:val="000000" w:themeColor="text1"/>
          <w:sz w:val="24"/>
          <w:szCs w:val="24"/>
        </w:rPr>
      </w:pPr>
      <w:r w:rsidRPr="00CD1F49">
        <w:rPr>
          <w:rFonts w:ascii="Times New Roman" w:hAnsi="Times New Roman"/>
          <w:bCs/>
          <w:color w:val="000000" w:themeColor="text1"/>
          <w:sz w:val="24"/>
          <w:szCs w:val="24"/>
        </w:rPr>
        <w:t>Müller J, Esső K, Dargó G, Könczöl Á, Balogh GT. Tuning the predictive capacity of the PAMPA</w:t>
      </w:r>
      <w:r w:rsidRPr="00CD1F49">
        <w:rPr>
          <w:rFonts w:ascii="Times New Roman" w:hAnsi="Times New Roman"/>
          <w:bCs/>
          <w:color w:val="000000" w:themeColor="text1"/>
          <w:sz w:val="24"/>
          <w:szCs w:val="24"/>
        </w:rPr>
        <w:noBreakHyphen/>
        <w:t>BBB model. Eur J Pharm Sci. 2015;79:53–60. </w:t>
      </w:r>
      <w:hyperlink r:id="rId48" w:tgtFrame="_blank" w:history="1">
        <w:r w:rsidRPr="00CD1F49">
          <w:rPr>
            <w:rStyle w:val="Hyperlink"/>
            <w:rFonts w:ascii="Times New Roman" w:hAnsi="Times New Roman"/>
            <w:b/>
            <w:bCs/>
            <w:sz w:val="24"/>
            <w:szCs w:val="24"/>
          </w:rPr>
          <w:t>https://doi.org/10.1016/j.ejps.2015.08.007.</w:t>
        </w:r>
      </w:hyperlink>
      <w:r w:rsidRPr="00CD1F49">
        <w:rPr>
          <w:rFonts w:ascii="Times New Roman" w:hAnsi="Times New Roman"/>
          <w:bCs/>
          <w:color w:val="000000" w:themeColor="text1"/>
          <w:sz w:val="24"/>
          <w:szCs w:val="24"/>
        </w:rPr>
        <w:t xml:space="preserve">​ </w:t>
      </w:r>
    </w:p>
    <w:p w14:paraId="125E2189" w14:textId="77777777" w:rsidR="003750AC" w:rsidRPr="00CD1F49" w:rsidRDefault="003750AC" w:rsidP="003750AC">
      <w:pPr>
        <w:pStyle w:val="ListParagraph"/>
        <w:widowControl/>
        <w:numPr>
          <w:ilvl w:val="0"/>
          <w:numId w:val="25"/>
        </w:numPr>
        <w:spacing w:line="360" w:lineRule="auto"/>
        <w:ind w:left="270"/>
        <w:rPr>
          <w:rFonts w:ascii="Times New Roman" w:hAnsi="Times New Roman"/>
          <w:bCs/>
          <w:color w:val="000000" w:themeColor="text1"/>
          <w:sz w:val="24"/>
          <w:szCs w:val="24"/>
        </w:rPr>
      </w:pPr>
      <w:r w:rsidRPr="00CD1F49">
        <w:rPr>
          <w:rFonts w:ascii="Times New Roman" w:hAnsi="Times New Roman"/>
          <w:bCs/>
          <w:color w:val="000000" w:themeColor="text1"/>
          <w:sz w:val="24"/>
          <w:szCs w:val="24"/>
        </w:rPr>
        <w:t>Friesner RA, Banks JL, Murphy RB, Halgren TA, Klicic JJ, Mainz DT, Repasky MP, Knoll EH, Shelley M, Perry JK. Glide: a new approach for rapid, accurate docking and scoring. 1. Method and assessment of docking accuracy. J Med Chem. 2004;47(7):1739–1749. </w:t>
      </w:r>
      <w:hyperlink r:id="rId49" w:tgtFrame="_blank" w:history="1">
        <w:r w:rsidRPr="00CD1F49">
          <w:rPr>
            <w:rStyle w:val="Hyperlink"/>
            <w:rFonts w:ascii="Times New Roman" w:hAnsi="Times New Roman"/>
            <w:b/>
            <w:bCs/>
            <w:sz w:val="24"/>
            <w:szCs w:val="24"/>
          </w:rPr>
          <w:t>https://doi.org/10.1021/jm0306430.</w:t>
        </w:r>
      </w:hyperlink>
      <w:r w:rsidRPr="00CD1F49">
        <w:rPr>
          <w:rFonts w:ascii="Times New Roman" w:hAnsi="Times New Roman"/>
          <w:bCs/>
          <w:color w:val="000000" w:themeColor="text1"/>
          <w:sz w:val="24"/>
          <w:szCs w:val="24"/>
        </w:rPr>
        <w:t>​</w:t>
      </w:r>
    </w:p>
    <w:p w14:paraId="40394908" w14:textId="77777777" w:rsidR="003750AC" w:rsidRPr="00CD1F49" w:rsidRDefault="003750AC" w:rsidP="003750AC">
      <w:pPr>
        <w:pStyle w:val="ListParagraph"/>
        <w:widowControl/>
        <w:numPr>
          <w:ilvl w:val="0"/>
          <w:numId w:val="25"/>
        </w:numPr>
        <w:spacing w:line="360" w:lineRule="auto"/>
        <w:ind w:left="270"/>
        <w:rPr>
          <w:rFonts w:ascii="Times New Roman" w:hAnsi="Times New Roman"/>
          <w:bCs/>
          <w:color w:val="000000" w:themeColor="text1"/>
          <w:sz w:val="24"/>
          <w:szCs w:val="24"/>
        </w:rPr>
      </w:pPr>
      <w:r w:rsidRPr="00CD1F49">
        <w:rPr>
          <w:rFonts w:ascii="Times New Roman" w:hAnsi="Times New Roman"/>
          <w:bCs/>
          <w:color w:val="000000" w:themeColor="text1"/>
          <w:sz w:val="24"/>
          <w:szCs w:val="24"/>
        </w:rPr>
        <w:t>Friesner RA, Murphy RB, Repasky MP, Frye LL, Greenwood JR, Halgren TA, Sanschagrin PC, Mainz DT. Extra precision glide: docking and scoring incorporating a model of hydrophobic enclosure for protein−ligand complexes. J Med Chem. 2006;49(21):6177–6196. </w:t>
      </w:r>
      <w:hyperlink r:id="rId50" w:tgtFrame="_blank" w:history="1">
        <w:r w:rsidRPr="00CD1F49">
          <w:rPr>
            <w:rStyle w:val="Hyperlink"/>
            <w:rFonts w:ascii="Times New Roman" w:hAnsi="Times New Roman"/>
            <w:b/>
            <w:bCs/>
            <w:sz w:val="24"/>
            <w:szCs w:val="24"/>
          </w:rPr>
          <w:t>https://doi.org/10.1021/jm051256o.</w:t>
        </w:r>
      </w:hyperlink>
      <w:r w:rsidRPr="00CD1F49">
        <w:rPr>
          <w:rFonts w:ascii="Times New Roman" w:hAnsi="Times New Roman"/>
          <w:bCs/>
          <w:color w:val="000000" w:themeColor="text1"/>
          <w:sz w:val="24"/>
          <w:szCs w:val="24"/>
        </w:rPr>
        <w:t>​</w:t>
      </w:r>
    </w:p>
    <w:p w14:paraId="70B37D96" w14:textId="77777777" w:rsidR="003750AC" w:rsidRPr="00CD1F49" w:rsidRDefault="003750AC" w:rsidP="003750AC">
      <w:pPr>
        <w:pStyle w:val="ListParagraph"/>
        <w:widowControl/>
        <w:numPr>
          <w:ilvl w:val="0"/>
          <w:numId w:val="25"/>
        </w:numPr>
        <w:spacing w:line="360" w:lineRule="auto"/>
        <w:ind w:left="270"/>
        <w:rPr>
          <w:rFonts w:ascii="Times New Roman" w:hAnsi="Times New Roman"/>
          <w:bCs/>
          <w:color w:val="000000" w:themeColor="text1"/>
          <w:sz w:val="24"/>
          <w:szCs w:val="24"/>
        </w:rPr>
      </w:pPr>
      <w:r w:rsidRPr="00CD1F49">
        <w:rPr>
          <w:rFonts w:ascii="Times New Roman" w:hAnsi="Times New Roman"/>
          <w:bCs/>
          <w:color w:val="000000" w:themeColor="text1"/>
          <w:sz w:val="24"/>
          <w:szCs w:val="24"/>
        </w:rPr>
        <w:t>Berman HM, Westbrook J, Feng Z, Gilliland G, Bhat TN, Weissig H, Shindyalov IN, Bourne PE. The protein data bank. Nucleic Acids Res. 2000;28(1):235–242. </w:t>
      </w:r>
      <w:hyperlink r:id="rId51" w:tgtFrame="_blank" w:history="1">
        <w:r w:rsidRPr="00CD1F49">
          <w:rPr>
            <w:rStyle w:val="Hyperlink"/>
            <w:rFonts w:ascii="Times New Roman" w:hAnsi="Times New Roman"/>
            <w:b/>
            <w:bCs/>
            <w:sz w:val="24"/>
            <w:szCs w:val="24"/>
          </w:rPr>
          <w:t>https://doi.org/10.1093/nar/28.1.235.</w:t>
        </w:r>
      </w:hyperlink>
      <w:r w:rsidRPr="00CD1F49">
        <w:rPr>
          <w:rFonts w:ascii="Times New Roman" w:hAnsi="Times New Roman"/>
          <w:bCs/>
          <w:color w:val="000000" w:themeColor="text1"/>
          <w:sz w:val="24"/>
          <w:szCs w:val="24"/>
        </w:rPr>
        <w:t>​</w:t>
      </w:r>
    </w:p>
    <w:p w14:paraId="30E5E0D9" w14:textId="77777777" w:rsidR="003750AC" w:rsidRPr="00CD1F49" w:rsidRDefault="003750AC" w:rsidP="003750AC">
      <w:pPr>
        <w:pStyle w:val="ListParagraph"/>
        <w:widowControl/>
        <w:numPr>
          <w:ilvl w:val="0"/>
          <w:numId w:val="25"/>
        </w:numPr>
        <w:spacing w:line="360" w:lineRule="auto"/>
        <w:ind w:left="270"/>
        <w:rPr>
          <w:rFonts w:ascii="Times New Roman" w:hAnsi="Times New Roman"/>
          <w:bCs/>
          <w:color w:val="000000" w:themeColor="text1"/>
          <w:sz w:val="24"/>
          <w:szCs w:val="24"/>
        </w:rPr>
      </w:pPr>
      <w:r w:rsidRPr="00CD1F49">
        <w:rPr>
          <w:rFonts w:ascii="Times New Roman" w:hAnsi="Times New Roman"/>
          <w:bCs/>
          <w:color w:val="000000" w:themeColor="text1"/>
          <w:sz w:val="24"/>
          <w:szCs w:val="24"/>
        </w:rPr>
        <w:t>Madhavi Sastry G, Adzhigirey M, Day T, Annabhimoju R, Sherman W. Protein and ligand preparation: parameters, protocols, and influence on virtual screening enrichments. J Comput Aided Mol Des. 2013;27:221–234. </w:t>
      </w:r>
      <w:hyperlink r:id="rId52" w:tgtFrame="_blank" w:history="1">
        <w:r w:rsidRPr="00CD1F49">
          <w:rPr>
            <w:rStyle w:val="Hyperlink"/>
            <w:rFonts w:ascii="Times New Roman" w:hAnsi="Times New Roman"/>
            <w:b/>
            <w:bCs/>
            <w:sz w:val="24"/>
            <w:szCs w:val="24"/>
          </w:rPr>
          <w:t>https://doi.org/10.1007/s10822-013-9644-8.</w:t>
        </w:r>
      </w:hyperlink>
      <w:r w:rsidRPr="00CD1F49">
        <w:rPr>
          <w:rFonts w:ascii="Times New Roman" w:hAnsi="Times New Roman"/>
          <w:bCs/>
          <w:color w:val="000000" w:themeColor="text1"/>
          <w:sz w:val="24"/>
          <w:szCs w:val="24"/>
        </w:rPr>
        <w:t>​</w:t>
      </w:r>
    </w:p>
    <w:p w14:paraId="7DEFBA52" w14:textId="77777777" w:rsidR="003750AC" w:rsidRPr="00CD1F49" w:rsidRDefault="003750AC" w:rsidP="003750AC">
      <w:pPr>
        <w:pStyle w:val="ListParagraph"/>
        <w:widowControl/>
        <w:numPr>
          <w:ilvl w:val="0"/>
          <w:numId w:val="25"/>
        </w:numPr>
        <w:spacing w:line="360" w:lineRule="auto"/>
        <w:ind w:left="270"/>
        <w:rPr>
          <w:rFonts w:ascii="Times New Roman" w:hAnsi="Times New Roman"/>
          <w:bCs/>
          <w:color w:val="000000" w:themeColor="text1"/>
          <w:sz w:val="24"/>
          <w:szCs w:val="24"/>
        </w:rPr>
      </w:pPr>
      <w:r w:rsidRPr="00CD1F49">
        <w:rPr>
          <w:rFonts w:ascii="Times New Roman" w:hAnsi="Times New Roman"/>
          <w:bCs/>
          <w:color w:val="000000" w:themeColor="text1"/>
          <w:sz w:val="24"/>
          <w:szCs w:val="24"/>
        </w:rPr>
        <w:t>Jacobson MP, Pincus DL, Rapp CS, Day TJ, Honig B, Shaw DE, Friesner RA. A hierarchical approach to all‐atom protein loop prediction. Proteins. 2004;55(2):351–367. </w:t>
      </w:r>
      <w:hyperlink r:id="rId53" w:tgtFrame="_blank" w:history="1">
        <w:r w:rsidRPr="00CD1F49">
          <w:rPr>
            <w:rStyle w:val="Hyperlink"/>
            <w:rFonts w:ascii="Times New Roman" w:hAnsi="Times New Roman"/>
            <w:b/>
            <w:bCs/>
            <w:sz w:val="24"/>
            <w:szCs w:val="24"/>
          </w:rPr>
          <w:t>https://doi.org/10.1002/prot.10613.</w:t>
        </w:r>
      </w:hyperlink>
      <w:r w:rsidRPr="00CD1F49">
        <w:rPr>
          <w:rFonts w:ascii="Times New Roman" w:hAnsi="Times New Roman"/>
          <w:bCs/>
          <w:color w:val="000000" w:themeColor="text1"/>
          <w:sz w:val="24"/>
          <w:szCs w:val="24"/>
        </w:rPr>
        <w:t>​</w:t>
      </w:r>
    </w:p>
    <w:p w14:paraId="70CBE5A8" w14:textId="77777777" w:rsidR="003750AC" w:rsidRPr="00CD1F49" w:rsidRDefault="003750AC" w:rsidP="003750AC">
      <w:pPr>
        <w:pStyle w:val="ListParagraph"/>
        <w:widowControl/>
        <w:numPr>
          <w:ilvl w:val="0"/>
          <w:numId w:val="25"/>
        </w:numPr>
        <w:spacing w:line="360" w:lineRule="auto"/>
        <w:ind w:left="270"/>
        <w:rPr>
          <w:rFonts w:ascii="Times New Roman" w:hAnsi="Times New Roman"/>
          <w:bCs/>
          <w:color w:val="000000" w:themeColor="text1"/>
          <w:sz w:val="24"/>
          <w:szCs w:val="24"/>
        </w:rPr>
      </w:pPr>
      <w:r w:rsidRPr="00CD1F49">
        <w:rPr>
          <w:rFonts w:ascii="Times New Roman" w:hAnsi="Times New Roman"/>
          <w:bCs/>
          <w:color w:val="000000" w:themeColor="text1"/>
          <w:sz w:val="24"/>
          <w:szCs w:val="24"/>
        </w:rPr>
        <w:t>Lu C, Wu C, Ghoreishi D, Chen W, Wang L, Damm W, Ross GA, Dahlgren MK, Russell E, Von Bargen CD. OPLS4: Improving force field accuracy on challenging regimes of chemical space. J Chem Theory Comput. 2021;17(7):4291–4300. </w:t>
      </w:r>
      <w:hyperlink r:id="rId54" w:tgtFrame="_blank" w:history="1">
        <w:r w:rsidRPr="00CD1F49">
          <w:rPr>
            <w:rStyle w:val="Hyperlink"/>
            <w:rFonts w:ascii="Times New Roman" w:hAnsi="Times New Roman"/>
            <w:b/>
            <w:bCs/>
            <w:sz w:val="24"/>
            <w:szCs w:val="24"/>
          </w:rPr>
          <w:t>https://doi.org/10.1021/acs.jctc.1c00302.</w:t>
        </w:r>
      </w:hyperlink>
      <w:r w:rsidRPr="00CD1F49">
        <w:rPr>
          <w:rFonts w:ascii="Times New Roman" w:hAnsi="Times New Roman"/>
          <w:bCs/>
          <w:color w:val="000000" w:themeColor="text1"/>
          <w:sz w:val="24"/>
          <w:szCs w:val="24"/>
        </w:rPr>
        <w:t>​</w:t>
      </w:r>
    </w:p>
    <w:p w14:paraId="59364043" w14:textId="77777777" w:rsidR="003750AC" w:rsidRPr="00CD1F49" w:rsidRDefault="003750AC" w:rsidP="003750AC">
      <w:pPr>
        <w:pStyle w:val="ListParagraph"/>
        <w:widowControl/>
        <w:numPr>
          <w:ilvl w:val="0"/>
          <w:numId w:val="25"/>
        </w:numPr>
        <w:spacing w:line="360" w:lineRule="auto"/>
        <w:ind w:left="270"/>
        <w:rPr>
          <w:rFonts w:ascii="Times New Roman" w:hAnsi="Times New Roman"/>
          <w:bCs/>
          <w:color w:val="000000" w:themeColor="text1"/>
          <w:sz w:val="24"/>
          <w:szCs w:val="24"/>
        </w:rPr>
      </w:pPr>
      <w:r w:rsidRPr="00CD1F49">
        <w:rPr>
          <w:rFonts w:ascii="Times New Roman" w:hAnsi="Times New Roman"/>
          <w:bCs/>
          <w:color w:val="000000" w:themeColor="text1"/>
          <w:sz w:val="24"/>
          <w:szCs w:val="24"/>
        </w:rPr>
        <w:lastRenderedPageBreak/>
        <w:t>Bowers KJ, Chow E, Xu H, Dror RO, Eastwood MP, Gregersen BA, Klepeis JL, Kolossvary I, Moraes MA, Sacerdoti FD. Scalable algorithms for molecular dynamics simulations on commodity clusters. In Proceedings of the 2006 ACM/IEEE Conference on Supercomputing; 2006; pp 84–es. </w:t>
      </w:r>
      <w:hyperlink r:id="rId55" w:tgtFrame="_blank" w:history="1">
        <w:r w:rsidRPr="00CD1F49">
          <w:rPr>
            <w:rStyle w:val="Hyperlink"/>
            <w:rFonts w:ascii="Times New Roman" w:hAnsi="Times New Roman"/>
            <w:b/>
            <w:bCs/>
            <w:sz w:val="24"/>
            <w:szCs w:val="24"/>
          </w:rPr>
          <w:t>https://doi.org/10.1145/1188455.1188544.</w:t>
        </w:r>
      </w:hyperlink>
      <w:r w:rsidRPr="00CD1F49">
        <w:rPr>
          <w:rFonts w:ascii="Times New Roman" w:hAnsi="Times New Roman"/>
          <w:bCs/>
          <w:color w:val="000000" w:themeColor="text1"/>
          <w:sz w:val="24"/>
          <w:szCs w:val="24"/>
        </w:rPr>
        <w:t>​</w:t>
      </w:r>
    </w:p>
    <w:p w14:paraId="114C2947" w14:textId="77777777" w:rsidR="003750AC" w:rsidRPr="00CD1F49" w:rsidRDefault="003750AC" w:rsidP="003750AC">
      <w:pPr>
        <w:pStyle w:val="ListParagraph"/>
        <w:widowControl/>
        <w:numPr>
          <w:ilvl w:val="0"/>
          <w:numId w:val="25"/>
        </w:numPr>
        <w:spacing w:line="360" w:lineRule="auto"/>
        <w:ind w:left="270"/>
        <w:rPr>
          <w:rFonts w:ascii="Times New Roman" w:hAnsi="Times New Roman"/>
          <w:bCs/>
          <w:color w:val="000000" w:themeColor="text1"/>
          <w:sz w:val="24"/>
          <w:szCs w:val="24"/>
        </w:rPr>
      </w:pPr>
      <w:r w:rsidRPr="00CD1F49">
        <w:rPr>
          <w:rFonts w:ascii="Times New Roman" w:hAnsi="Times New Roman"/>
          <w:bCs/>
          <w:color w:val="000000" w:themeColor="text1"/>
          <w:sz w:val="24"/>
          <w:szCs w:val="24"/>
        </w:rPr>
        <w:t>Martyna GJ, Klein ML, Tuckerman M. Nosé–Hoover chains: The canonical ensemble via continuous dynamics. J Chem Phys. 1992;97(4):2635–2643. </w:t>
      </w:r>
      <w:hyperlink r:id="rId56" w:tgtFrame="_blank" w:history="1">
        <w:r w:rsidRPr="003750AC">
          <w:rPr>
            <w:rStyle w:val="Hyperlink"/>
            <w:rFonts w:ascii="Times New Roman" w:hAnsi="Times New Roman"/>
            <w:b/>
            <w:bCs/>
            <w:sz w:val="24"/>
            <w:szCs w:val="24"/>
          </w:rPr>
          <w:t>https://doi.org/10.1063/1.463940.</w:t>
        </w:r>
      </w:hyperlink>
      <w:r w:rsidRPr="003750AC">
        <w:rPr>
          <w:rFonts w:ascii="Times New Roman" w:hAnsi="Times New Roman"/>
          <w:bCs/>
          <w:color w:val="000000" w:themeColor="text1"/>
          <w:sz w:val="24"/>
          <w:szCs w:val="24"/>
        </w:rPr>
        <w:t>​</w:t>
      </w:r>
    </w:p>
    <w:p w14:paraId="31D84197" w14:textId="77777777" w:rsidR="003750AC" w:rsidRPr="00D304A3" w:rsidRDefault="003750AC" w:rsidP="003750AC">
      <w:pPr>
        <w:pStyle w:val="ListParagraph"/>
        <w:widowControl/>
        <w:numPr>
          <w:ilvl w:val="0"/>
          <w:numId w:val="25"/>
        </w:numPr>
        <w:spacing w:line="360" w:lineRule="auto"/>
        <w:ind w:left="270"/>
        <w:rPr>
          <w:rFonts w:ascii="Times New Roman" w:hAnsi="Times New Roman"/>
          <w:bCs/>
          <w:color w:val="000000" w:themeColor="text1"/>
          <w:sz w:val="24"/>
          <w:szCs w:val="24"/>
          <w:lang w:val="fr-FR"/>
        </w:rPr>
      </w:pPr>
      <w:r w:rsidRPr="00CD1F49">
        <w:rPr>
          <w:rFonts w:ascii="Times New Roman" w:hAnsi="Times New Roman"/>
          <w:bCs/>
          <w:color w:val="000000" w:themeColor="text1"/>
          <w:sz w:val="24"/>
          <w:szCs w:val="24"/>
        </w:rPr>
        <w:t xml:space="preserve">Martyna GJ, Tobias DJ, Klein ML. </w:t>
      </w:r>
      <w:r w:rsidRPr="00CD1F49">
        <w:rPr>
          <w:rFonts w:ascii="Times New Roman" w:hAnsi="Times New Roman"/>
          <w:bCs/>
          <w:color w:val="000000" w:themeColor="text1"/>
          <w:sz w:val="24"/>
          <w:szCs w:val="24"/>
          <w:lang w:val="fr-FR"/>
        </w:rPr>
        <w:t>Constant pressure molecular dynamics algorithms. J Chem Phys. 1994;101(5):4177–4189. </w:t>
      </w:r>
      <w:hyperlink r:id="rId57" w:tgtFrame="_blank" w:history="1">
        <w:r w:rsidRPr="00CD1F49">
          <w:rPr>
            <w:rStyle w:val="Hyperlink"/>
            <w:rFonts w:ascii="Times New Roman" w:hAnsi="Times New Roman"/>
            <w:b/>
            <w:bCs/>
            <w:sz w:val="24"/>
            <w:szCs w:val="24"/>
            <w:lang w:val="fr-FR"/>
          </w:rPr>
          <w:t>https://doi.org/10.1063/1.467468.</w:t>
        </w:r>
      </w:hyperlink>
      <w:r w:rsidRPr="00CD1F49">
        <w:rPr>
          <w:rFonts w:ascii="Times New Roman" w:hAnsi="Times New Roman"/>
          <w:bCs/>
          <w:color w:val="000000" w:themeColor="text1"/>
          <w:sz w:val="24"/>
          <w:szCs w:val="24"/>
          <w:lang w:val="fr-FR"/>
        </w:rPr>
        <w:t>​</w:t>
      </w:r>
    </w:p>
    <w:p w14:paraId="50590B8E" w14:textId="77777777" w:rsidR="003750AC" w:rsidRPr="00CD1F49" w:rsidRDefault="003750AC" w:rsidP="003750AC">
      <w:pPr>
        <w:pStyle w:val="ListParagraph"/>
        <w:widowControl/>
        <w:numPr>
          <w:ilvl w:val="0"/>
          <w:numId w:val="25"/>
        </w:numPr>
        <w:spacing w:line="360" w:lineRule="auto"/>
        <w:ind w:left="270"/>
        <w:rPr>
          <w:rFonts w:ascii="Times New Roman" w:hAnsi="Times New Roman"/>
          <w:bCs/>
          <w:color w:val="000000" w:themeColor="text1"/>
          <w:sz w:val="24"/>
          <w:szCs w:val="24"/>
        </w:rPr>
      </w:pPr>
      <w:r w:rsidRPr="003750AC">
        <w:rPr>
          <w:rFonts w:ascii="Times New Roman" w:hAnsi="Times New Roman"/>
          <w:bCs/>
          <w:color w:val="000000" w:themeColor="text1"/>
          <w:sz w:val="24"/>
          <w:szCs w:val="24"/>
        </w:rPr>
        <w:t xml:space="preserve">Awasthi A, Patel A, Ha L, Li H, Hardy C, Poulos T, Ansari A, Yang S, Silverman RB. </w:t>
      </w:r>
      <w:r w:rsidRPr="00CD1F49">
        <w:rPr>
          <w:rFonts w:ascii="Times New Roman" w:hAnsi="Times New Roman"/>
          <w:bCs/>
          <w:color w:val="000000" w:themeColor="text1"/>
          <w:sz w:val="24"/>
          <w:szCs w:val="24"/>
        </w:rPr>
        <w:t>New inhibitors of neuronal nitric oxide synthase for the treatment of melanoma. J Med Chem. 2026. Accepted; </w:t>
      </w:r>
      <w:hyperlink r:id="rId58" w:tgtFrame="_blank" w:history="1">
        <w:r w:rsidRPr="00CD1F49">
          <w:rPr>
            <w:rStyle w:val="Hyperlink"/>
            <w:rFonts w:ascii="Times New Roman" w:hAnsi="Times New Roman"/>
            <w:b/>
            <w:bCs/>
            <w:sz w:val="24"/>
            <w:szCs w:val="24"/>
          </w:rPr>
          <w:t>https://doi.org/10.1021/acs.jmedchem.5c02154.</w:t>
        </w:r>
      </w:hyperlink>
      <w:r w:rsidRPr="00CD1F49">
        <w:rPr>
          <w:rFonts w:ascii="Times New Roman" w:hAnsi="Times New Roman"/>
          <w:bCs/>
          <w:color w:val="000000" w:themeColor="text1"/>
          <w:sz w:val="24"/>
          <w:szCs w:val="24"/>
        </w:rPr>
        <w:t>​</w:t>
      </w:r>
    </w:p>
    <w:p w14:paraId="031D2E4A" w14:textId="77777777" w:rsidR="003750AC" w:rsidRPr="00045C44" w:rsidRDefault="003750AC" w:rsidP="003750AC">
      <w:pPr>
        <w:widowControl/>
        <w:ind w:left="270"/>
        <w:rPr>
          <w:rFonts w:ascii="Times New Roman" w:hAnsi="Times New Roman"/>
          <w:bCs/>
          <w:color w:val="000000" w:themeColor="text1"/>
          <w:sz w:val="24"/>
          <w:szCs w:val="24"/>
        </w:rPr>
      </w:pPr>
    </w:p>
    <w:p w14:paraId="4B69E936" w14:textId="4C18EB5A" w:rsidR="00C869CF" w:rsidRPr="002A00D1" w:rsidRDefault="00C869CF" w:rsidP="003750AC">
      <w:pPr>
        <w:widowControl/>
        <w:rPr>
          <w:rFonts w:ascii="Times New Roman" w:hAnsi="Times New Roman"/>
          <w:color w:val="000000" w:themeColor="text1"/>
          <w:sz w:val="24"/>
          <w:szCs w:val="24"/>
        </w:rPr>
      </w:pPr>
    </w:p>
    <w:sectPr w:rsidR="00C869CF" w:rsidRPr="002A00D1" w:rsidSect="00865A73">
      <w:footerReference w:type="even" r:id="rId59"/>
      <w:footerReference w:type="default" r:id="rId60"/>
      <w:endnotePr>
        <w:numFmt w:val="decimal"/>
      </w:endnotePr>
      <w:pgSz w:w="12240" w:h="15840"/>
      <w:pgMar w:top="1440" w:right="180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BEE29" w14:textId="77777777" w:rsidR="006D7155" w:rsidRDefault="006D7155" w:rsidP="00066C14">
      <w:r>
        <w:separator/>
      </w:r>
    </w:p>
  </w:endnote>
  <w:endnote w:type="continuationSeparator" w:id="0">
    <w:p w14:paraId="5FBB158D" w14:textId="77777777" w:rsidR="006D7155" w:rsidRDefault="006D7155" w:rsidP="00066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Liberation Sans">
    <w:altName w:val="Arial"/>
    <w:charset w:val="01"/>
    <w:family w:val="roman"/>
    <w:pitch w:val="variable"/>
  </w:font>
  <w:font w:name="Source Han Sans CN Regular">
    <w:panose1 w:val="00000000000000000000"/>
    <w:charset w:val="00"/>
    <w:family w:val="roman"/>
    <w:notTrueType/>
    <w:pitch w:val="default"/>
  </w:font>
  <w:font w:name="Lohit Devanagari">
    <w:altName w:val="Cambria"/>
    <w:panose1 w:val="00000000000000000000"/>
    <w:charset w:val="00"/>
    <w:family w:val="roman"/>
    <w:notTrueType/>
    <w:pitch w:val="default"/>
  </w:font>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DF43E" w14:textId="77777777" w:rsidR="008522E0" w:rsidRDefault="008522E0" w:rsidP="00C9317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47AC46A" w14:textId="77777777" w:rsidR="008522E0" w:rsidRDefault="008522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9973866"/>
      <w:docPartObj>
        <w:docPartGallery w:val="Page Numbers (Bottom of Page)"/>
        <w:docPartUnique/>
      </w:docPartObj>
    </w:sdtPr>
    <w:sdtEndPr>
      <w:rPr>
        <w:noProof/>
      </w:rPr>
    </w:sdtEndPr>
    <w:sdtContent>
      <w:p w14:paraId="2F2E4AFF" w14:textId="70AF8D3A" w:rsidR="00D76721" w:rsidRDefault="003569DA">
        <w:pPr>
          <w:pStyle w:val="Footer"/>
          <w:jc w:val="right"/>
        </w:pPr>
        <w:r w:rsidRPr="00FA0AEC">
          <w:t>S</w:t>
        </w:r>
        <w:r w:rsidR="00D76721" w:rsidRPr="00FA0AEC">
          <w:fldChar w:fldCharType="begin"/>
        </w:r>
        <w:r w:rsidR="00D76721" w:rsidRPr="00FA0AEC">
          <w:instrText xml:space="preserve"> PAGE   \* MERGEFORMAT </w:instrText>
        </w:r>
        <w:r w:rsidR="00D76721" w:rsidRPr="00FA0AEC">
          <w:fldChar w:fldCharType="separate"/>
        </w:r>
        <w:r w:rsidR="00D76721" w:rsidRPr="00FA0AEC">
          <w:rPr>
            <w:noProof/>
          </w:rPr>
          <w:t>2</w:t>
        </w:r>
        <w:r w:rsidR="00D76721" w:rsidRPr="00FA0AEC">
          <w:rPr>
            <w:noProof/>
          </w:rPr>
          <w:fldChar w:fldCharType="end"/>
        </w:r>
      </w:p>
    </w:sdtContent>
  </w:sdt>
  <w:p w14:paraId="778D9454" w14:textId="77777777" w:rsidR="00D76721" w:rsidRDefault="00D767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A2DA6" w14:textId="77777777" w:rsidR="006D7155" w:rsidRDefault="006D7155" w:rsidP="00066C14">
      <w:r>
        <w:separator/>
      </w:r>
    </w:p>
  </w:footnote>
  <w:footnote w:type="continuationSeparator" w:id="0">
    <w:p w14:paraId="64B1FA6E" w14:textId="77777777" w:rsidR="006D7155" w:rsidRDefault="006D7155" w:rsidP="00066C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237E"/>
    <w:multiLevelType w:val="hybridMultilevel"/>
    <w:tmpl w:val="FFA290D0"/>
    <w:lvl w:ilvl="0" w:tplc="FFFFFFFF">
      <w:start w:val="1"/>
      <w:numFmt w:val="decimal"/>
      <w:lvlText w:val="%1."/>
      <w:lvlJc w:val="left"/>
      <w:pPr>
        <w:ind w:left="725" w:hanging="360"/>
      </w:pPr>
    </w:lvl>
    <w:lvl w:ilvl="1" w:tplc="FFFFFFFF" w:tentative="1">
      <w:start w:val="1"/>
      <w:numFmt w:val="lowerLetter"/>
      <w:lvlText w:val="%2."/>
      <w:lvlJc w:val="left"/>
      <w:pPr>
        <w:ind w:left="1445" w:hanging="360"/>
      </w:pPr>
    </w:lvl>
    <w:lvl w:ilvl="2" w:tplc="FFFFFFFF" w:tentative="1">
      <w:start w:val="1"/>
      <w:numFmt w:val="lowerRoman"/>
      <w:lvlText w:val="%3."/>
      <w:lvlJc w:val="right"/>
      <w:pPr>
        <w:ind w:left="2165" w:hanging="180"/>
      </w:pPr>
    </w:lvl>
    <w:lvl w:ilvl="3" w:tplc="FFFFFFFF" w:tentative="1">
      <w:start w:val="1"/>
      <w:numFmt w:val="decimal"/>
      <w:lvlText w:val="%4."/>
      <w:lvlJc w:val="left"/>
      <w:pPr>
        <w:ind w:left="2885" w:hanging="360"/>
      </w:pPr>
    </w:lvl>
    <w:lvl w:ilvl="4" w:tplc="FFFFFFFF" w:tentative="1">
      <w:start w:val="1"/>
      <w:numFmt w:val="lowerLetter"/>
      <w:lvlText w:val="%5."/>
      <w:lvlJc w:val="left"/>
      <w:pPr>
        <w:ind w:left="3605" w:hanging="360"/>
      </w:pPr>
    </w:lvl>
    <w:lvl w:ilvl="5" w:tplc="FFFFFFFF" w:tentative="1">
      <w:start w:val="1"/>
      <w:numFmt w:val="lowerRoman"/>
      <w:lvlText w:val="%6."/>
      <w:lvlJc w:val="right"/>
      <w:pPr>
        <w:ind w:left="4325" w:hanging="180"/>
      </w:pPr>
    </w:lvl>
    <w:lvl w:ilvl="6" w:tplc="FFFFFFFF" w:tentative="1">
      <w:start w:val="1"/>
      <w:numFmt w:val="decimal"/>
      <w:lvlText w:val="%7."/>
      <w:lvlJc w:val="left"/>
      <w:pPr>
        <w:ind w:left="5045" w:hanging="360"/>
      </w:pPr>
    </w:lvl>
    <w:lvl w:ilvl="7" w:tplc="FFFFFFFF" w:tentative="1">
      <w:start w:val="1"/>
      <w:numFmt w:val="lowerLetter"/>
      <w:lvlText w:val="%8."/>
      <w:lvlJc w:val="left"/>
      <w:pPr>
        <w:ind w:left="5765" w:hanging="360"/>
      </w:pPr>
    </w:lvl>
    <w:lvl w:ilvl="8" w:tplc="FFFFFFFF" w:tentative="1">
      <w:start w:val="1"/>
      <w:numFmt w:val="lowerRoman"/>
      <w:lvlText w:val="%9."/>
      <w:lvlJc w:val="right"/>
      <w:pPr>
        <w:ind w:left="6485" w:hanging="180"/>
      </w:pPr>
    </w:lvl>
  </w:abstractNum>
  <w:abstractNum w:abstractNumId="1" w15:restartNumberingAfterBreak="0">
    <w:nsid w:val="04C36417"/>
    <w:multiLevelType w:val="hybridMultilevel"/>
    <w:tmpl w:val="FFA290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7B3F42"/>
    <w:multiLevelType w:val="hybridMultilevel"/>
    <w:tmpl w:val="D284B3E2"/>
    <w:lvl w:ilvl="0" w:tplc="548CE6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656628"/>
    <w:multiLevelType w:val="hybridMultilevel"/>
    <w:tmpl w:val="728617F8"/>
    <w:lvl w:ilvl="0" w:tplc="307EB384">
      <w:start w:val="3"/>
      <w:numFmt w:val="decimal"/>
      <w:lvlText w:val="%1."/>
      <w:lvlJc w:val="left"/>
      <w:pPr>
        <w:ind w:left="3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B549E1"/>
    <w:multiLevelType w:val="hybridMultilevel"/>
    <w:tmpl w:val="FFA290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270940"/>
    <w:multiLevelType w:val="hybridMultilevel"/>
    <w:tmpl w:val="FFA290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444896"/>
    <w:multiLevelType w:val="hybridMultilevel"/>
    <w:tmpl w:val="21DEB52A"/>
    <w:lvl w:ilvl="0" w:tplc="89144F9A">
      <w:start w:val="1"/>
      <w:numFmt w:val="low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EAD18F2"/>
    <w:multiLevelType w:val="hybridMultilevel"/>
    <w:tmpl w:val="FFA290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EBD6E73"/>
    <w:multiLevelType w:val="hybridMultilevel"/>
    <w:tmpl w:val="CB5616E0"/>
    <w:lvl w:ilvl="0" w:tplc="91365C14">
      <w:start w:val="1"/>
      <w:numFmt w:val="lowerRoman"/>
      <w:lvlText w:val="(%1)"/>
      <w:lvlJc w:val="left"/>
      <w:pPr>
        <w:ind w:left="720" w:hanging="720"/>
      </w:pPr>
      <w:rPr>
        <w:rFonts w:hint="default"/>
        <w: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20D252A2"/>
    <w:multiLevelType w:val="hybridMultilevel"/>
    <w:tmpl w:val="FFA290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48E10CA"/>
    <w:multiLevelType w:val="hybridMultilevel"/>
    <w:tmpl w:val="8C8E8E3C"/>
    <w:lvl w:ilvl="0" w:tplc="432E8FBC">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11" w15:restartNumberingAfterBreak="0">
    <w:nsid w:val="25DF02DA"/>
    <w:multiLevelType w:val="hybridMultilevel"/>
    <w:tmpl w:val="2C307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243997"/>
    <w:multiLevelType w:val="hybridMultilevel"/>
    <w:tmpl w:val="FFA290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D2C31A7"/>
    <w:multiLevelType w:val="hybridMultilevel"/>
    <w:tmpl w:val="964A2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1579E3"/>
    <w:multiLevelType w:val="hybridMultilevel"/>
    <w:tmpl w:val="FFA290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70D2011"/>
    <w:multiLevelType w:val="hybridMultilevel"/>
    <w:tmpl w:val="FFA290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8DA4775"/>
    <w:multiLevelType w:val="hybridMultilevel"/>
    <w:tmpl w:val="4EA0B114"/>
    <w:lvl w:ilvl="0" w:tplc="6B226CB4">
      <w:start w:val="1"/>
      <w:numFmt w:val="low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3AE948E7"/>
    <w:multiLevelType w:val="hybridMultilevel"/>
    <w:tmpl w:val="C3A87B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C316ACF"/>
    <w:multiLevelType w:val="hybridMultilevel"/>
    <w:tmpl w:val="FFA290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F473DB7"/>
    <w:multiLevelType w:val="hybridMultilevel"/>
    <w:tmpl w:val="FFA290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F613783"/>
    <w:multiLevelType w:val="hybridMultilevel"/>
    <w:tmpl w:val="FFA290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2063155"/>
    <w:multiLevelType w:val="multilevel"/>
    <w:tmpl w:val="6F20B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7C1B03"/>
    <w:multiLevelType w:val="hybridMultilevel"/>
    <w:tmpl w:val="1744EB40"/>
    <w:lvl w:ilvl="0" w:tplc="7402CB34">
      <w:start w:val="1"/>
      <w:numFmt w:val="bullet"/>
      <w:lvlText w:val=""/>
      <w:lvlJc w:val="left"/>
      <w:pPr>
        <w:ind w:left="720" w:hanging="360"/>
      </w:pPr>
      <w:rPr>
        <w:rFonts w:ascii="Symbol" w:eastAsia="PMingLiU"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8C339D"/>
    <w:multiLevelType w:val="hybridMultilevel"/>
    <w:tmpl w:val="9394FEE0"/>
    <w:lvl w:ilvl="0" w:tplc="6B226CB4">
      <w:start w:val="1"/>
      <w:numFmt w:val="low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5D9E5347"/>
    <w:multiLevelType w:val="hybridMultilevel"/>
    <w:tmpl w:val="649668FC"/>
    <w:lvl w:ilvl="0" w:tplc="0486FD94">
      <w:start w:val="1"/>
      <w:numFmt w:val="decimal"/>
      <w:lvlText w:val="%1."/>
      <w:lvlJc w:val="left"/>
      <w:pPr>
        <w:ind w:left="720" w:hanging="360"/>
      </w:pPr>
      <w:rPr>
        <w:rFonts w:ascii="Times New Roman" w:hAnsi="Times New Roman" w:cs="Times New Roman"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2F5673"/>
    <w:multiLevelType w:val="hybridMultilevel"/>
    <w:tmpl w:val="C3A87B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0842208">
    <w:abstractNumId w:val="10"/>
  </w:num>
  <w:num w:numId="2" w16cid:durableId="38018727">
    <w:abstractNumId w:val="21"/>
  </w:num>
  <w:num w:numId="3" w16cid:durableId="270355192">
    <w:abstractNumId w:val="8"/>
  </w:num>
  <w:num w:numId="4" w16cid:durableId="389816369">
    <w:abstractNumId w:val="6"/>
  </w:num>
  <w:num w:numId="5" w16cid:durableId="1363553399">
    <w:abstractNumId w:val="23"/>
  </w:num>
  <w:num w:numId="6" w16cid:durableId="754671671">
    <w:abstractNumId w:val="16"/>
  </w:num>
  <w:num w:numId="7" w16cid:durableId="1953584000">
    <w:abstractNumId w:val="22"/>
  </w:num>
  <w:num w:numId="8" w16cid:durableId="1578636778">
    <w:abstractNumId w:val="24"/>
  </w:num>
  <w:num w:numId="9" w16cid:durableId="1056928587">
    <w:abstractNumId w:val="9"/>
  </w:num>
  <w:num w:numId="10" w16cid:durableId="2085057854">
    <w:abstractNumId w:val="20"/>
  </w:num>
  <w:num w:numId="11" w16cid:durableId="956255572">
    <w:abstractNumId w:val="14"/>
  </w:num>
  <w:num w:numId="12" w16cid:durableId="710886085">
    <w:abstractNumId w:val="15"/>
  </w:num>
  <w:num w:numId="13" w16cid:durableId="1231229787">
    <w:abstractNumId w:val="18"/>
  </w:num>
  <w:num w:numId="14" w16cid:durableId="2116250443">
    <w:abstractNumId w:val="4"/>
  </w:num>
  <w:num w:numId="15" w16cid:durableId="638073620">
    <w:abstractNumId w:val="12"/>
  </w:num>
  <w:num w:numId="16" w16cid:durableId="1172455433">
    <w:abstractNumId w:val="1"/>
  </w:num>
  <w:num w:numId="17" w16cid:durableId="1996914018">
    <w:abstractNumId w:val="0"/>
  </w:num>
  <w:num w:numId="18" w16cid:durableId="1361859611">
    <w:abstractNumId w:val="7"/>
  </w:num>
  <w:num w:numId="19" w16cid:durableId="1981154356">
    <w:abstractNumId w:val="19"/>
  </w:num>
  <w:num w:numId="20" w16cid:durableId="794106671">
    <w:abstractNumId w:val="5"/>
  </w:num>
  <w:num w:numId="21" w16cid:durableId="1213466646">
    <w:abstractNumId w:val="2"/>
  </w:num>
  <w:num w:numId="22" w16cid:durableId="2037541829">
    <w:abstractNumId w:val="13"/>
  </w:num>
  <w:num w:numId="23" w16cid:durableId="2052724869">
    <w:abstractNumId w:val="25"/>
  </w:num>
  <w:num w:numId="24" w16cid:durableId="170608037">
    <w:abstractNumId w:val="17"/>
  </w:num>
  <w:num w:numId="25" w16cid:durableId="1973896777">
    <w:abstractNumId w:val="11"/>
  </w:num>
  <w:num w:numId="26" w16cid:durableId="7047198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6A5"/>
    <w:rsid w:val="00007D8B"/>
    <w:rsid w:val="0001190C"/>
    <w:rsid w:val="00016DC0"/>
    <w:rsid w:val="000179B5"/>
    <w:rsid w:val="00020A33"/>
    <w:rsid w:val="00024BE9"/>
    <w:rsid w:val="00027BC4"/>
    <w:rsid w:val="000304F1"/>
    <w:rsid w:val="00030D7F"/>
    <w:rsid w:val="000349C5"/>
    <w:rsid w:val="00042DC5"/>
    <w:rsid w:val="00044B0C"/>
    <w:rsid w:val="000462EA"/>
    <w:rsid w:val="00046E4A"/>
    <w:rsid w:val="000518B1"/>
    <w:rsid w:val="000518FB"/>
    <w:rsid w:val="00052534"/>
    <w:rsid w:val="00053DB4"/>
    <w:rsid w:val="00060E13"/>
    <w:rsid w:val="00063189"/>
    <w:rsid w:val="00063C75"/>
    <w:rsid w:val="00064F8C"/>
    <w:rsid w:val="000650A9"/>
    <w:rsid w:val="00066C14"/>
    <w:rsid w:val="000678E1"/>
    <w:rsid w:val="0008211F"/>
    <w:rsid w:val="00086A06"/>
    <w:rsid w:val="00086A09"/>
    <w:rsid w:val="00087281"/>
    <w:rsid w:val="000976FF"/>
    <w:rsid w:val="00097907"/>
    <w:rsid w:val="000A0B1C"/>
    <w:rsid w:val="000A67B7"/>
    <w:rsid w:val="000C160E"/>
    <w:rsid w:val="000C17C9"/>
    <w:rsid w:val="000C3B5F"/>
    <w:rsid w:val="000C3DB6"/>
    <w:rsid w:val="000C425C"/>
    <w:rsid w:val="000C7E4F"/>
    <w:rsid w:val="000C7F8D"/>
    <w:rsid w:val="000D4382"/>
    <w:rsid w:val="000D7426"/>
    <w:rsid w:val="000E0517"/>
    <w:rsid w:val="000E220D"/>
    <w:rsid w:val="000E24FB"/>
    <w:rsid w:val="000E5976"/>
    <w:rsid w:val="000E617F"/>
    <w:rsid w:val="000E6519"/>
    <w:rsid w:val="000F17D6"/>
    <w:rsid w:val="000F2DFD"/>
    <w:rsid w:val="000F3651"/>
    <w:rsid w:val="000F3C89"/>
    <w:rsid w:val="000F7CAD"/>
    <w:rsid w:val="00103ADB"/>
    <w:rsid w:val="00105391"/>
    <w:rsid w:val="00107A26"/>
    <w:rsid w:val="00107DB0"/>
    <w:rsid w:val="00111395"/>
    <w:rsid w:val="001121BC"/>
    <w:rsid w:val="00114FE8"/>
    <w:rsid w:val="001155BF"/>
    <w:rsid w:val="0011566A"/>
    <w:rsid w:val="001159A4"/>
    <w:rsid w:val="001210A2"/>
    <w:rsid w:val="001372BF"/>
    <w:rsid w:val="0013765F"/>
    <w:rsid w:val="00140F1D"/>
    <w:rsid w:val="0014341B"/>
    <w:rsid w:val="00145478"/>
    <w:rsid w:val="00154B1A"/>
    <w:rsid w:val="00154BE5"/>
    <w:rsid w:val="00156763"/>
    <w:rsid w:val="001633D5"/>
    <w:rsid w:val="00164798"/>
    <w:rsid w:val="0016486D"/>
    <w:rsid w:val="001662CA"/>
    <w:rsid w:val="00166F76"/>
    <w:rsid w:val="00181CCA"/>
    <w:rsid w:val="00182A8E"/>
    <w:rsid w:val="00193FB3"/>
    <w:rsid w:val="001A1E3E"/>
    <w:rsid w:val="001A4079"/>
    <w:rsid w:val="001A52E2"/>
    <w:rsid w:val="001B3600"/>
    <w:rsid w:val="001B5F54"/>
    <w:rsid w:val="001B7BF7"/>
    <w:rsid w:val="001C50A6"/>
    <w:rsid w:val="001D50A7"/>
    <w:rsid w:val="001D667C"/>
    <w:rsid w:val="001D6763"/>
    <w:rsid w:val="001E1857"/>
    <w:rsid w:val="001E60F9"/>
    <w:rsid w:val="001E7388"/>
    <w:rsid w:val="001F18FA"/>
    <w:rsid w:val="002002D4"/>
    <w:rsid w:val="002100AF"/>
    <w:rsid w:val="0021425E"/>
    <w:rsid w:val="00225645"/>
    <w:rsid w:val="0022616E"/>
    <w:rsid w:val="00226E0F"/>
    <w:rsid w:val="002321BB"/>
    <w:rsid w:val="00233E28"/>
    <w:rsid w:val="0024594A"/>
    <w:rsid w:val="00247BCD"/>
    <w:rsid w:val="00250FDA"/>
    <w:rsid w:val="00262CF4"/>
    <w:rsid w:val="00274B12"/>
    <w:rsid w:val="002773DE"/>
    <w:rsid w:val="00280788"/>
    <w:rsid w:val="00280C63"/>
    <w:rsid w:val="0028463E"/>
    <w:rsid w:val="00285BEE"/>
    <w:rsid w:val="0028731E"/>
    <w:rsid w:val="00287575"/>
    <w:rsid w:val="00296118"/>
    <w:rsid w:val="002977C7"/>
    <w:rsid w:val="002A00D1"/>
    <w:rsid w:val="002B10A1"/>
    <w:rsid w:val="002B2AC1"/>
    <w:rsid w:val="002C5B3A"/>
    <w:rsid w:val="002C71C6"/>
    <w:rsid w:val="002D2CB5"/>
    <w:rsid w:val="002D734F"/>
    <w:rsid w:val="002E0636"/>
    <w:rsid w:val="002E2AAD"/>
    <w:rsid w:val="002F106F"/>
    <w:rsid w:val="002F28D7"/>
    <w:rsid w:val="002F6F1F"/>
    <w:rsid w:val="003010FD"/>
    <w:rsid w:val="00312FB9"/>
    <w:rsid w:val="0031403C"/>
    <w:rsid w:val="003169B7"/>
    <w:rsid w:val="00324AC7"/>
    <w:rsid w:val="0033268B"/>
    <w:rsid w:val="00333E8C"/>
    <w:rsid w:val="00340CE3"/>
    <w:rsid w:val="00345FF8"/>
    <w:rsid w:val="003516AB"/>
    <w:rsid w:val="00353D2A"/>
    <w:rsid w:val="00355835"/>
    <w:rsid w:val="003569DA"/>
    <w:rsid w:val="00363E90"/>
    <w:rsid w:val="003671EF"/>
    <w:rsid w:val="00367C8F"/>
    <w:rsid w:val="003743BE"/>
    <w:rsid w:val="003750AC"/>
    <w:rsid w:val="00375985"/>
    <w:rsid w:val="00390A29"/>
    <w:rsid w:val="00390C9A"/>
    <w:rsid w:val="00391788"/>
    <w:rsid w:val="00394907"/>
    <w:rsid w:val="00394AB8"/>
    <w:rsid w:val="00395F49"/>
    <w:rsid w:val="00395FB9"/>
    <w:rsid w:val="003B3CF8"/>
    <w:rsid w:val="003B40E9"/>
    <w:rsid w:val="003C226C"/>
    <w:rsid w:val="003C4F7D"/>
    <w:rsid w:val="003D07A3"/>
    <w:rsid w:val="003D0842"/>
    <w:rsid w:val="003D154B"/>
    <w:rsid w:val="003D7D08"/>
    <w:rsid w:val="003E0A90"/>
    <w:rsid w:val="003E222D"/>
    <w:rsid w:val="003E6A8D"/>
    <w:rsid w:val="003E738C"/>
    <w:rsid w:val="003F21C2"/>
    <w:rsid w:val="003F2D13"/>
    <w:rsid w:val="003F5DDC"/>
    <w:rsid w:val="003F7F48"/>
    <w:rsid w:val="00403E69"/>
    <w:rsid w:val="00405E5F"/>
    <w:rsid w:val="00410B27"/>
    <w:rsid w:val="00415476"/>
    <w:rsid w:val="00421A0A"/>
    <w:rsid w:val="0042418F"/>
    <w:rsid w:val="00425392"/>
    <w:rsid w:val="0043586C"/>
    <w:rsid w:val="00436D7D"/>
    <w:rsid w:val="004374C7"/>
    <w:rsid w:val="00437F4D"/>
    <w:rsid w:val="004416B5"/>
    <w:rsid w:val="004443ED"/>
    <w:rsid w:val="004457E3"/>
    <w:rsid w:val="00450A16"/>
    <w:rsid w:val="0045486F"/>
    <w:rsid w:val="00475ED5"/>
    <w:rsid w:val="0048456B"/>
    <w:rsid w:val="004934F4"/>
    <w:rsid w:val="004A38E3"/>
    <w:rsid w:val="004A7C8C"/>
    <w:rsid w:val="004B052F"/>
    <w:rsid w:val="004B1B08"/>
    <w:rsid w:val="004B4C81"/>
    <w:rsid w:val="004C4C19"/>
    <w:rsid w:val="004D1274"/>
    <w:rsid w:val="004D18DF"/>
    <w:rsid w:val="004D34D1"/>
    <w:rsid w:val="004D4778"/>
    <w:rsid w:val="004E4C9B"/>
    <w:rsid w:val="004F09D7"/>
    <w:rsid w:val="004F1451"/>
    <w:rsid w:val="004F17D4"/>
    <w:rsid w:val="004F25CB"/>
    <w:rsid w:val="004F2F40"/>
    <w:rsid w:val="0050482F"/>
    <w:rsid w:val="005053DF"/>
    <w:rsid w:val="0050553A"/>
    <w:rsid w:val="00513405"/>
    <w:rsid w:val="005166AF"/>
    <w:rsid w:val="005325C0"/>
    <w:rsid w:val="00541D12"/>
    <w:rsid w:val="005507A7"/>
    <w:rsid w:val="005530BB"/>
    <w:rsid w:val="005534B5"/>
    <w:rsid w:val="00553884"/>
    <w:rsid w:val="005616A7"/>
    <w:rsid w:val="0057108B"/>
    <w:rsid w:val="0057414D"/>
    <w:rsid w:val="00576227"/>
    <w:rsid w:val="00577140"/>
    <w:rsid w:val="00592906"/>
    <w:rsid w:val="00592F44"/>
    <w:rsid w:val="005A2956"/>
    <w:rsid w:val="005A6343"/>
    <w:rsid w:val="005B0D4A"/>
    <w:rsid w:val="005B1F3D"/>
    <w:rsid w:val="005B4C81"/>
    <w:rsid w:val="005C2621"/>
    <w:rsid w:val="005C3357"/>
    <w:rsid w:val="005D5DBE"/>
    <w:rsid w:val="005E04A2"/>
    <w:rsid w:val="005E1196"/>
    <w:rsid w:val="005F2A9A"/>
    <w:rsid w:val="005F43F4"/>
    <w:rsid w:val="00600AB0"/>
    <w:rsid w:val="00601D3C"/>
    <w:rsid w:val="00614345"/>
    <w:rsid w:val="00617BFC"/>
    <w:rsid w:val="0062178D"/>
    <w:rsid w:val="006226D5"/>
    <w:rsid w:val="0062437B"/>
    <w:rsid w:val="00625480"/>
    <w:rsid w:val="00632A4A"/>
    <w:rsid w:val="00634090"/>
    <w:rsid w:val="006342D7"/>
    <w:rsid w:val="00635788"/>
    <w:rsid w:val="0064022F"/>
    <w:rsid w:val="006434EA"/>
    <w:rsid w:val="0065731F"/>
    <w:rsid w:val="006625CD"/>
    <w:rsid w:val="00675BA1"/>
    <w:rsid w:val="00677756"/>
    <w:rsid w:val="00682617"/>
    <w:rsid w:val="0069009A"/>
    <w:rsid w:val="006962E4"/>
    <w:rsid w:val="006A03EC"/>
    <w:rsid w:val="006A04AE"/>
    <w:rsid w:val="006A106E"/>
    <w:rsid w:val="006A1C9F"/>
    <w:rsid w:val="006A23DC"/>
    <w:rsid w:val="006A3519"/>
    <w:rsid w:val="006A39B4"/>
    <w:rsid w:val="006A3D4F"/>
    <w:rsid w:val="006A4107"/>
    <w:rsid w:val="006B0ACD"/>
    <w:rsid w:val="006B0C72"/>
    <w:rsid w:val="006B626B"/>
    <w:rsid w:val="006C6F95"/>
    <w:rsid w:val="006C753D"/>
    <w:rsid w:val="006D0557"/>
    <w:rsid w:val="006D1158"/>
    <w:rsid w:val="006D13D2"/>
    <w:rsid w:val="006D2C39"/>
    <w:rsid w:val="006D562A"/>
    <w:rsid w:val="006D7155"/>
    <w:rsid w:val="006D7C91"/>
    <w:rsid w:val="006E1667"/>
    <w:rsid w:val="006E1E02"/>
    <w:rsid w:val="006F5178"/>
    <w:rsid w:val="006F6C4A"/>
    <w:rsid w:val="006F771C"/>
    <w:rsid w:val="00701844"/>
    <w:rsid w:val="00710514"/>
    <w:rsid w:val="007201C1"/>
    <w:rsid w:val="00720861"/>
    <w:rsid w:val="00721327"/>
    <w:rsid w:val="00721722"/>
    <w:rsid w:val="00722D0B"/>
    <w:rsid w:val="00730079"/>
    <w:rsid w:val="00734741"/>
    <w:rsid w:val="00737753"/>
    <w:rsid w:val="00742D79"/>
    <w:rsid w:val="00742DF8"/>
    <w:rsid w:val="007438B8"/>
    <w:rsid w:val="00751D2E"/>
    <w:rsid w:val="00754503"/>
    <w:rsid w:val="007547CA"/>
    <w:rsid w:val="0076198C"/>
    <w:rsid w:val="007743A5"/>
    <w:rsid w:val="00776A12"/>
    <w:rsid w:val="00780963"/>
    <w:rsid w:val="00781E00"/>
    <w:rsid w:val="00784D24"/>
    <w:rsid w:val="0079546B"/>
    <w:rsid w:val="00795C91"/>
    <w:rsid w:val="00795F91"/>
    <w:rsid w:val="00797A84"/>
    <w:rsid w:val="007A27EF"/>
    <w:rsid w:val="007A420F"/>
    <w:rsid w:val="007A6BAB"/>
    <w:rsid w:val="007B4469"/>
    <w:rsid w:val="007B7B74"/>
    <w:rsid w:val="007C0EF7"/>
    <w:rsid w:val="007C16AC"/>
    <w:rsid w:val="007D00A5"/>
    <w:rsid w:val="007D0F5A"/>
    <w:rsid w:val="007E1151"/>
    <w:rsid w:val="007E2E85"/>
    <w:rsid w:val="007F7E10"/>
    <w:rsid w:val="00801D23"/>
    <w:rsid w:val="00806D4D"/>
    <w:rsid w:val="00810384"/>
    <w:rsid w:val="0081226D"/>
    <w:rsid w:val="00823B5F"/>
    <w:rsid w:val="0083247B"/>
    <w:rsid w:val="008339DB"/>
    <w:rsid w:val="00836C14"/>
    <w:rsid w:val="008410A8"/>
    <w:rsid w:val="00843D25"/>
    <w:rsid w:val="008522E0"/>
    <w:rsid w:val="00857893"/>
    <w:rsid w:val="008615A2"/>
    <w:rsid w:val="008635C2"/>
    <w:rsid w:val="00865A73"/>
    <w:rsid w:val="00866AF1"/>
    <w:rsid w:val="00871868"/>
    <w:rsid w:val="008721D1"/>
    <w:rsid w:val="00874184"/>
    <w:rsid w:val="00880DFA"/>
    <w:rsid w:val="008810F9"/>
    <w:rsid w:val="00887D52"/>
    <w:rsid w:val="00891659"/>
    <w:rsid w:val="00893508"/>
    <w:rsid w:val="00893723"/>
    <w:rsid w:val="008967CC"/>
    <w:rsid w:val="008A29A2"/>
    <w:rsid w:val="008A385A"/>
    <w:rsid w:val="008A5AB1"/>
    <w:rsid w:val="008B4BC9"/>
    <w:rsid w:val="008C0161"/>
    <w:rsid w:val="008C72C7"/>
    <w:rsid w:val="008E0495"/>
    <w:rsid w:val="008E2C9C"/>
    <w:rsid w:val="008F20E0"/>
    <w:rsid w:val="009004A7"/>
    <w:rsid w:val="0090075B"/>
    <w:rsid w:val="009011FD"/>
    <w:rsid w:val="00901436"/>
    <w:rsid w:val="009065A4"/>
    <w:rsid w:val="00910DA5"/>
    <w:rsid w:val="009130E4"/>
    <w:rsid w:val="00914EBD"/>
    <w:rsid w:val="00915AAC"/>
    <w:rsid w:val="00916809"/>
    <w:rsid w:val="00916BE6"/>
    <w:rsid w:val="0091704D"/>
    <w:rsid w:val="00925A30"/>
    <w:rsid w:val="00925C79"/>
    <w:rsid w:val="00933458"/>
    <w:rsid w:val="0094187C"/>
    <w:rsid w:val="00942716"/>
    <w:rsid w:val="00945650"/>
    <w:rsid w:val="009554D7"/>
    <w:rsid w:val="00955FD1"/>
    <w:rsid w:val="00957580"/>
    <w:rsid w:val="00961C2C"/>
    <w:rsid w:val="0096295B"/>
    <w:rsid w:val="00971931"/>
    <w:rsid w:val="0097472C"/>
    <w:rsid w:val="00975DF2"/>
    <w:rsid w:val="00982F60"/>
    <w:rsid w:val="009835AF"/>
    <w:rsid w:val="009966B6"/>
    <w:rsid w:val="009A277D"/>
    <w:rsid w:val="009A3AAB"/>
    <w:rsid w:val="009A4BDC"/>
    <w:rsid w:val="009B6F50"/>
    <w:rsid w:val="009C061C"/>
    <w:rsid w:val="009C2CC3"/>
    <w:rsid w:val="009D7704"/>
    <w:rsid w:val="009E33A7"/>
    <w:rsid w:val="009E5E82"/>
    <w:rsid w:val="009F1C70"/>
    <w:rsid w:val="009F2DEE"/>
    <w:rsid w:val="009F3DAE"/>
    <w:rsid w:val="00A0073B"/>
    <w:rsid w:val="00A032AA"/>
    <w:rsid w:val="00A05DE1"/>
    <w:rsid w:val="00A106A7"/>
    <w:rsid w:val="00A15837"/>
    <w:rsid w:val="00A15AA1"/>
    <w:rsid w:val="00A17304"/>
    <w:rsid w:val="00A2180F"/>
    <w:rsid w:val="00A23ABC"/>
    <w:rsid w:val="00A25248"/>
    <w:rsid w:val="00A25525"/>
    <w:rsid w:val="00A31CCB"/>
    <w:rsid w:val="00A3215D"/>
    <w:rsid w:val="00A36C59"/>
    <w:rsid w:val="00A43328"/>
    <w:rsid w:val="00A438D3"/>
    <w:rsid w:val="00A43A34"/>
    <w:rsid w:val="00A46F34"/>
    <w:rsid w:val="00A56E05"/>
    <w:rsid w:val="00A6566E"/>
    <w:rsid w:val="00A67F52"/>
    <w:rsid w:val="00A84B7B"/>
    <w:rsid w:val="00A8642A"/>
    <w:rsid w:val="00A93171"/>
    <w:rsid w:val="00A94111"/>
    <w:rsid w:val="00A96419"/>
    <w:rsid w:val="00A97ACC"/>
    <w:rsid w:val="00AA3E6B"/>
    <w:rsid w:val="00AB28AE"/>
    <w:rsid w:val="00AC003F"/>
    <w:rsid w:val="00AC1CBE"/>
    <w:rsid w:val="00AC56FA"/>
    <w:rsid w:val="00AC5EC4"/>
    <w:rsid w:val="00AD0C67"/>
    <w:rsid w:val="00AE1DB9"/>
    <w:rsid w:val="00AE2A49"/>
    <w:rsid w:val="00AE32C5"/>
    <w:rsid w:val="00AE4C97"/>
    <w:rsid w:val="00B006A5"/>
    <w:rsid w:val="00B01F3F"/>
    <w:rsid w:val="00B0380B"/>
    <w:rsid w:val="00B123FF"/>
    <w:rsid w:val="00B15FF7"/>
    <w:rsid w:val="00B16D2F"/>
    <w:rsid w:val="00B2311D"/>
    <w:rsid w:val="00B23823"/>
    <w:rsid w:val="00B245B9"/>
    <w:rsid w:val="00B25090"/>
    <w:rsid w:val="00B30993"/>
    <w:rsid w:val="00B327A4"/>
    <w:rsid w:val="00B332BF"/>
    <w:rsid w:val="00B351A3"/>
    <w:rsid w:val="00B3751E"/>
    <w:rsid w:val="00B40648"/>
    <w:rsid w:val="00B513C4"/>
    <w:rsid w:val="00B535E7"/>
    <w:rsid w:val="00B53661"/>
    <w:rsid w:val="00B54C2F"/>
    <w:rsid w:val="00B56AD6"/>
    <w:rsid w:val="00B57511"/>
    <w:rsid w:val="00B66282"/>
    <w:rsid w:val="00B67EAB"/>
    <w:rsid w:val="00B73DB4"/>
    <w:rsid w:val="00B74AEB"/>
    <w:rsid w:val="00B813F8"/>
    <w:rsid w:val="00B81F92"/>
    <w:rsid w:val="00B95952"/>
    <w:rsid w:val="00B96DFF"/>
    <w:rsid w:val="00BA3B6A"/>
    <w:rsid w:val="00BA6012"/>
    <w:rsid w:val="00BB05D2"/>
    <w:rsid w:val="00BB19D9"/>
    <w:rsid w:val="00BB2B1D"/>
    <w:rsid w:val="00BB3BF0"/>
    <w:rsid w:val="00BB5816"/>
    <w:rsid w:val="00BC2FB6"/>
    <w:rsid w:val="00BC613E"/>
    <w:rsid w:val="00BD4282"/>
    <w:rsid w:val="00BE1876"/>
    <w:rsid w:val="00BE5F4E"/>
    <w:rsid w:val="00BE7539"/>
    <w:rsid w:val="00BF04F0"/>
    <w:rsid w:val="00BF0EAC"/>
    <w:rsid w:val="00BF21C7"/>
    <w:rsid w:val="00BF240E"/>
    <w:rsid w:val="00C12775"/>
    <w:rsid w:val="00C209BB"/>
    <w:rsid w:val="00C2169E"/>
    <w:rsid w:val="00C2250D"/>
    <w:rsid w:val="00C25014"/>
    <w:rsid w:val="00C3591D"/>
    <w:rsid w:val="00C376B4"/>
    <w:rsid w:val="00C45EBA"/>
    <w:rsid w:val="00C63412"/>
    <w:rsid w:val="00C63471"/>
    <w:rsid w:val="00C669BD"/>
    <w:rsid w:val="00C7368A"/>
    <w:rsid w:val="00C770A6"/>
    <w:rsid w:val="00C77221"/>
    <w:rsid w:val="00C84B9F"/>
    <w:rsid w:val="00C869CF"/>
    <w:rsid w:val="00C93178"/>
    <w:rsid w:val="00C93EA3"/>
    <w:rsid w:val="00C9423F"/>
    <w:rsid w:val="00CA652C"/>
    <w:rsid w:val="00CB3918"/>
    <w:rsid w:val="00CD7619"/>
    <w:rsid w:val="00CE0865"/>
    <w:rsid w:val="00CE477C"/>
    <w:rsid w:val="00CE5D27"/>
    <w:rsid w:val="00CE65DA"/>
    <w:rsid w:val="00CF4A46"/>
    <w:rsid w:val="00D03EC9"/>
    <w:rsid w:val="00D0623D"/>
    <w:rsid w:val="00D070B0"/>
    <w:rsid w:val="00D11847"/>
    <w:rsid w:val="00D1227D"/>
    <w:rsid w:val="00D16CD8"/>
    <w:rsid w:val="00D21A29"/>
    <w:rsid w:val="00D304A3"/>
    <w:rsid w:val="00D31E4E"/>
    <w:rsid w:val="00D32EAC"/>
    <w:rsid w:val="00D34900"/>
    <w:rsid w:val="00D3687F"/>
    <w:rsid w:val="00D37D87"/>
    <w:rsid w:val="00D4008C"/>
    <w:rsid w:val="00D45074"/>
    <w:rsid w:val="00D76721"/>
    <w:rsid w:val="00D76B99"/>
    <w:rsid w:val="00D82C77"/>
    <w:rsid w:val="00D84D19"/>
    <w:rsid w:val="00D84E16"/>
    <w:rsid w:val="00D93A09"/>
    <w:rsid w:val="00DB4B49"/>
    <w:rsid w:val="00DB4C53"/>
    <w:rsid w:val="00DB58D8"/>
    <w:rsid w:val="00DC05FA"/>
    <w:rsid w:val="00DC3339"/>
    <w:rsid w:val="00DC3693"/>
    <w:rsid w:val="00DC665D"/>
    <w:rsid w:val="00DD09DA"/>
    <w:rsid w:val="00DD172D"/>
    <w:rsid w:val="00DD7393"/>
    <w:rsid w:val="00DE44CD"/>
    <w:rsid w:val="00DF306F"/>
    <w:rsid w:val="00E035B0"/>
    <w:rsid w:val="00E06AD2"/>
    <w:rsid w:val="00E06DFC"/>
    <w:rsid w:val="00E0788B"/>
    <w:rsid w:val="00E113D4"/>
    <w:rsid w:val="00E15997"/>
    <w:rsid w:val="00E160D2"/>
    <w:rsid w:val="00E177AB"/>
    <w:rsid w:val="00E17950"/>
    <w:rsid w:val="00E233D0"/>
    <w:rsid w:val="00E2451C"/>
    <w:rsid w:val="00E31D20"/>
    <w:rsid w:val="00E34682"/>
    <w:rsid w:val="00E41F85"/>
    <w:rsid w:val="00E458EA"/>
    <w:rsid w:val="00E54D33"/>
    <w:rsid w:val="00E62431"/>
    <w:rsid w:val="00E67151"/>
    <w:rsid w:val="00E73F88"/>
    <w:rsid w:val="00E768F1"/>
    <w:rsid w:val="00E95411"/>
    <w:rsid w:val="00EB5E83"/>
    <w:rsid w:val="00EB748C"/>
    <w:rsid w:val="00EC631D"/>
    <w:rsid w:val="00ED3855"/>
    <w:rsid w:val="00ED3B1E"/>
    <w:rsid w:val="00EE092F"/>
    <w:rsid w:val="00EE0BE4"/>
    <w:rsid w:val="00EE1DD4"/>
    <w:rsid w:val="00EE7584"/>
    <w:rsid w:val="00EF0DCC"/>
    <w:rsid w:val="00EF4E97"/>
    <w:rsid w:val="00EF7278"/>
    <w:rsid w:val="00F0259C"/>
    <w:rsid w:val="00F11273"/>
    <w:rsid w:val="00F17E91"/>
    <w:rsid w:val="00F23928"/>
    <w:rsid w:val="00F23F48"/>
    <w:rsid w:val="00F3058F"/>
    <w:rsid w:val="00F41D80"/>
    <w:rsid w:val="00F442A9"/>
    <w:rsid w:val="00F44B95"/>
    <w:rsid w:val="00F53F4A"/>
    <w:rsid w:val="00F60935"/>
    <w:rsid w:val="00F611A9"/>
    <w:rsid w:val="00F64D83"/>
    <w:rsid w:val="00F706F7"/>
    <w:rsid w:val="00F7496F"/>
    <w:rsid w:val="00F74CF1"/>
    <w:rsid w:val="00F8154D"/>
    <w:rsid w:val="00F861F6"/>
    <w:rsid w:val="00F9702A"/>
    <w:rsid w:val="00FA0AEC"/>
    <w:rsid w:val="00FA0EBA"/>
    <w:rsid w:val="00FA1E16"/>
    <w:rsid w:val="00FA397B"/>
    <w:rsid w:val="00FA7652"/>
    <w:rsid w:val="00FB3A1F"/>
    <w:rsid w:val="00FC1A47"/>
    <w:rsid w:val="00FC4678"/>
    <w:rsid w:val="00FD0F33"/>
    <w:rsid w:val="00FD22DD"/>
    <w:rsid w:val="00FD4108"/>
    <w:rsid w:val="00FD4252"/>
    <w:rsid w:val="00FD5438"/>
    <w:rsid w:val="00FD56FD"/>
    <w:rsid w:val="00FD5B63"/>
    <w:rsid w:val="00FD75FD"/>
    <w:rsid w:val="00FD7689"/>
    <w:rsid w:val="00FE714C"/>
    <w:rsid w:val="00FF0E6C"/>
    <w:rsid w:val="00FF1AA8"/>
    <w:rsid w:val="00FF299D"/>
    <w:rsid w:val="00FF345A"/>
    <w:rsid w:val="00FF7286"/>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E111CA1"/>
  <w15:docId w15:val="{2C772F56-FB78-4D95-B39B-AAC9CCE1B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06A5"/>
    <w:pPr>
      <w:widowControl w:val="0"/>
      <w:jc w:val="both"/>
    </w:pPr>
    <w:rPr>
      <w:rFonts w:ascii="Calibri" w:eastAsia="SimSun" w:hAnsi="Calibri" w:cs="Times New Roman"/>
      <w:kern w:val="2"/>
      <w:sz w:val="21"/>
      <w:szCs w:val="22"/>
      <w:lang w:eastAsia="zh-CN"/>
    </w:rPr>
  </w:style>
  <w:style w:type="paragraph" w:styleId="Heading1">
    <w:name w:val="heading 1"/>
    <w:basedOn w:val="Normal"/>
    <w:link w:val="Heading1Char"/>
    <w:uiPriority w:val="9"/>
    <w:qFormat/>
    <w:rsid w:val="005530BB"/>
    <w:pPr>
      <w:widowControl/>
      <w:spacing w:beforeLines="1" w:afterLines="1"/>
      <w:jc w:val="left"/>
      <w:outlineLvl w:val="0"/>
    </w:pPr>
    <w:rPr>
      <w:rFonts w:ascii="Times" w:hAnsi="Times"/>
      <w:b/>
      <w:kern w:val="36"/>
      <w:sz w:val="48"/>
      <w:szCs w:val="20"/>
    </w:rPr>
  </w:style>
  <w:style w:type="paragraph" w:styleId="Heading2">
    <w:name w:val="heading 2"/>
    <w:basedOn w:val="Normal"/>
    <w:next w:val="Normal"/>
    <w:link w:val="Heading2Char"/>
    <w:uiPriority w:val="9"/>
    <w:unhideWhenUsed/>
    <w:qFormat/>
    <w:rsid w:val="00617BFC"/>
    <w:pPr>
      <w:keepNext/>
      <w:keepLines/>
      <w:widowControl/>
      <w:spacing w:before="160" w:after="80" w:line="259" w:lineRule="auto"/>
      <w:jc w:val="left"/>
      <w:outlineLvl w:val="1"/>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link w:val="Heading3Char"/>
    <w:uiPriority w:val="9"/>
    <w:qFormat/>
    <w:rsid w:val="005530BB"/>
    <w:pPr>
      <w:widowControl/>
      <w:spacing w:beforeLines="1" w:afterLines="1"/>
      <w:jc w:val="left"/>
      <w:outlineLvl w:val="2"/>
    </w:pPr>
    <w:rPr>
      <w:rFonts w:ascii="Times" w:hAnsi="Times"/>
      <w:b/>
      <w:kern w:val="0"/>
      <w:sz w:val="27"/>
      <w:szCs w:val="20"/>
    </w:rPr>
  </w:style>
  <w:style w:type="paragraph" w:styleId="Heading4">
    <w:name w:val="heading 4"/>
    <w:basedOn w:val="Normal"/>
    <w:next w:val="Normal"/>
    <w:link w:val="Heading4Char"/>
    <w:uiPriority w:val="9"/>
    <w:qFormat/>
    <w:rsid w:val="005530BB"/>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17BFC"/>
    <w:pPr>
      <w:keepNext/>
      <w:keepLines/>
      <w:widowControl/>
      <w:spacing w:before="80" w:after="40" w:line="259" w:lineRule="auto"/>
      <w:jc w:val="left"/>
      <w:outlineLvl w:val="4"/>
    </w:pPr>
    <w:rPr>
      <w:rFonts w:asciiTheme="minorHAnsi" w:eastAsiaTheme="majorEastAsia" w:hAnsiTheme="minorHAnsi" w:cstheme="majorBidi"/>
      <w:color w:val="365F91" w:themeColor="accent1" w:themeShade="BF"/>
      <w:sz w:val="22"/>
      <w:lang w:eastAsia="en-US"/>
    </w:rPr>
  </w:style>
  <w:style w:type="paragraph" w:styleId="Heading6">
    <w:name w:val="heading 6"/>
    <w:basedOn w:val="Normal"/>
    <w:next w:val="Normal"/>
    <w:link w:val="Heading6Char"/>
    <w:uiPriority w:val="9"/>
    <w:semiHidden/>
    <w:unhideWhenUsed/>
    <w:qFormat/>
    <w:rsid w:val="00617BFC"/>
    <w:pPr>
      <w:keepNext/>
      <w:keepLines/>
      <w:widowControl/>
      <w:spacing w:before="40" w:line="259" w:lineRule="auto"/>
      <w:jc w:val="left"/>
      <w:outlineLvl w:val="5"/>
    </w:pPr>
    <w:rPr>
      <w:rFonts w:asciiTheme="minorHAnsi" w:eastAsiaTheme="majorEastAsia" w:hAnsiTheme="minorHAnsi" w:cstheme="majorBidi"/>
      <w:i/>
      <w:iCs/>
      <w:color w:val="595959" w:themeColor="text1" w:themeTint="A6"/>
      <w:sz w:val="22"/>
      <w:lang w:eastAsia="en-US"/>
    </w:rPr>
  </w:style>
  <w:style w:type="paragraph" w:styleId="Heading7">
    <w:name w:val="heading 7"/>
    <w:basedOn w:val="Normal"/>
    <w:next w:val="Normal"/>
    <w:link w:val="Heading7Char"/>
    <w:uiPriority w:val="9"/>
    <w:semiHidden/>
    <w:unhideWhenUsed/>
    <w:qFormat/>
    <w:rsid w:val="00617BFC"/>
    <w:pPr>
      <w:keepNext/>
      <w:keepLines/>
      <w:widowControl/>
      <w:spacing w:before="40" w:line="259" w:lineRule="auto"/>
      <w:jc w:val="left"/>
      <w:outlineLvl w:val="6"/>
    </w:pPr>
    <w:rPr>
      <w:rFonts w:asciiTheme="minorHAnsi" w:eastAsiaTheme="majorEastAsia" w:hAnsiTheme="minorHAnsi" w:cstheme="majorBidi"/>
      <w:color w:val="595959" w:themeColor="text1" w:themeTint="A6"/>
      <w:sz w:val="22"/>
      <w:lang w:eastAsia="en-US"/>
    </w:rPr>
  </w:style>
  <w:style w:type="paragraph" w:styleId="Heading8">
    <w:name w:val="heading 8"/>
    <w:basedOn w:val="Normal"/>
    <w:next w:val="Normal"/>
    <w:link w:val="Heading8Char"/>
    <w:uiPriority w:val="9"/>
    <w:semiHidden/>
    <w:unhideWhenUsed/>
    <w:qFormat/>
    <w:rsid w:val="00617BFC"/>
    <w:pPr>
      <w:keepNext/>
      <w:keepLines/>
      <w:widowControl/>
      <w:spacing w:line="259" w:lineRule="auto"/>
      <w:jc w:val="left"/>
      <w:outlineLvl w:val="7"/>
    </w:pPr>
    <w:rPr>
      <w:rFonts w:asciiTheme="minorHAnsi" w:eastAsiaTheme="majorEastAsia" w:hAnsiTheme="minorHAnsi" w:cstheme="majorBidi"/>
      <w:i/>
      <w:iCs/>
      <w:color w:val="272727" w:themeColor="text1" w:themeTint="D8"/>
      <w:sz w:val="22"/>
      <w:lang w:eastAsia="en-US"/>
    </w:rPr>
  </w:style>
  <w:style w:type="paragraph" w:styleId="Heading9">
    <w:name w:val="heading 9"/>
    <w:basedOn w:val="Normal"/>
    <w:next w:val="Normal"/>
    <w:link w:val="Heading9Char"/>
    <w:uiPriority w:val="9"/>
    <w:semiHidden/>
    <w:unhideWhenUsed/>
    <w:qFormat/>
    <w:rsid w:val="00617BFC"/>
    <w:pPr>
      <w:keepNext/>
      <w:keepLines/>
      <w:widowControl/>
      <w:spacing w:line="259" w:lineRule="auto"/>
      <w:jc w:val="left"/>
      <w:outlineLvl w:val="8"/>
    </w:pPr>
    <w:rPr>
      <w:rFonts w:asciiTheme="minorHAnsi" w:eastAsiaTheme="majorEastAsia" w:hAnsiTheme="minorHAnsi" w:cstheme="majorBidi"/>
      <w:color w:val="272727" w:themeColor="text1" w:themeTint="D8"/>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006A5"/>
    <w:pPr>
      <w:autoSpaceDE w:val="0"/>
      <w:autoSpaceDN w:val="0"/>
      <w:adjustRightInd w:val="0"/>
    </w:pPr>
    <w:rPr>
      <w:rFonts w:ascii="Times New Roman" w:eastAsia="SimSun" w:hAnsi="Times New Roman" w:cs="Times New Roman"/>
      <w:color w:val="000000"/>
    </w:rPr>
  </w:style>
  <w:style w:type="paragraph" w:styleId="BalloonText">
    <w:name w:val="Balloon Text"/>
    <w:basedOn w:val="Normal"/>
    <w:link w:val="BalloonTextChar"/>
    <w:uiPriority w:val="99"/>
    <w:semiHidden/>
    <w:unhideWhenUsed/>
    <w:qFormat/>
    <w:rsid w:val="0057108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qFormat/>
    <w:rsid w:val="0057108B"/>
    <w:rPr>
      <w:rFonts w:ascii="Lucida Grande" w:eastAsia="SimSun" w:hAnsi="Lucida Grande" w:cs="Lucida Grande"/>
      <w:kern w:val="2"/>
      <w:sz w:val="18"/>
      <w:szCs w:val="18"/>
      <w:lang w:eastAsia="zh-CN"/>
    </w:rPr>
  </w:style>
  <w:style w:type="table" w:customStyle="1" w:styleId="TableGrid">
    <w:name w:val="TableGrid"/>
    <w:rsid w:val="005534B5"/>
    <w:rPr>
      <w:kern w:val="2"/>
      <w:sz w:val="22"/>
      <w:szCs w:val="22"/>
      <w14:ligatures w14:val="standardContextual"/>
    </w:rPr>
    <w:tblPr>
      <w:tblCellMar>
        <w:top w:w="0" w:type="dxa"/>
        <w:left w:w="0" w:type="dxa"/>
        <w:bottom w:w="0" w:type="dxa"/>
        <w:right w:w="0" w:type="dxa"/>
      </w:tblCellMar>
    </w:tblPr>
  </w:style>
  <w:style w:type="paragraph" w:styleId="ListParagraph">
    <w:name w:val="List Paragraph"/>
    <w:basedOn w:val="Normal"/>
    <w:uiPriority w:val="34"/>
    <w:qFormat/>
    <w:rsid w:val="0079546B"/>
    <w:pPr>
      <w:ind w:left="720"/>
      <w:contextualSpacing/>
    </w:pPr>
  </w:style>
  <w:style w:type="paragraph" w:styleId="EndnoteText">
    <w:name w:val="endnote text"/>
    <w:basedOn w:val="Normal"/>
    <w:link w:val="EndnoteTextChar"/>
    <w:uiPriority w:val="99"/>
    <w:unhideWhenUsed/>
    <w:rsid w:val="00066C14"/>
    <w:rPr>
      <w:sz w:val="20"/>
      <w:szCs w:val="20"/>
    </w:rPr>
  </w:style>
  <w:style w:type="character" w:customStyle="1" w:styleId="EndnoteTextChar">
    <w:name w:val="Endnote Text Char"/>
    <w:basedOn w:val="DefaultParagraphFont"/>
    <w:link w:val="EndnoteText"/>
    <w:uiPriority w:val="99"/>
    <w:rsid w:val="00066C14"/>
    <w:rPr>
      <w:rFonts w:ascii="Calibri" w:eastAsia="SimSun" w:hAnsi="Calibri" w:cs="Times New Roman"/>
      <w:kern w:val="2"/>
      <w:sz w:val="20"/>
      <w:szCs w:val="20"/>
      <w:lang w:eastAsia="zh-CN"/>
    </w:rPr>
  </w:style>
  <w:style w:type="character" w:styleId="EndnoteReference">
    <w:name w:val="endnote reference"/>
    <w:basedOn w:val="DefaultParagraphFont"/>
    <w:uiPriority w:val="99"/>
    <w:semiHidden/>
    <w:unhideWhenUsed/>
    <w:rsid w:val="00066C14"/>
    <w:rPr>
      <w:vertAlign w:val="superscript"/>
    </w:rPr>
  </w:style>
  <w:style w:type="paragraph" w:customStyle="1" w:styleId="Authors">
    <w:name w:val="Authors"/>
    <w:basedOn w:val="Normal"/>
    <w:rsid w:val="00436D7D"/>
    <w:pPr>
      <w:widowControl/>
      <w:spacing w:before="120" w:after="360"/>
      <w:jc w:val="center"/>
    </w:pPr>
    <w:rPr>
      <w:rFonts w:ascii="Times New Roman" w:eastAsia="Times New Roman" w:hAnsi="Times New Roman"/>
      <w:kern w:val="0"/>
      <w:sz w:val="24"/>
      <w:szCs w:val="24"/>
      <w:lang w:eastAsia="en-US"/>
    </w:rPr>
  </w:style>
  <w:style w:type="character" w:customStyle="1" w:styleId="Heading1Char">
    <w:name w:val="Heading 1 Char"/>
    <w:basedOn w:val="DefaultParagraphFont"/>
    <w:link w:val="Heading1"/>
    <w:uiPriority w:val="9"/>
    <w:qFormat/>
    <w:rsid w:val="005530BB"/>
    <w:rPr>
      <w:rFonts w:ascii="Times" w:eastAsia="SimSun" w:hAnsi="Times" w:cs="Times New Roman"/>
      <w:b/>
      <w:kern w:val="36"/>
      <w:sz w:val="48"/>
      <w:szCs w:val="20"/>
      <w:lang w:eastAsia="zh-CN"/>
    </w:rPr>
  </w:style>
  <w:style w:type="character" w:customStyle="1" w:styleId="Heading3Char">
    <w:name w:val="Heading 3 Char"/>
    <w:basedOn w:val="DefaultParagraphFont"/>
    <w:link w:val="Heading3"/>
    <w:uiPriority w:val="9"/>
    <w:qFormat/>
    <w:rsid w:val="005530BB"/>
    <w:rPr>
      <w:rFonts w:ascii="Times" w:eastAsia="SimSun" w:hAnsi="Times" w:cs="Times New Roman"/>
      <w:b/>
      <w:sz w:val="27"/>
      <w:szCs w:val="20"/>
      <w:lang w:eastAsia="zh-CN"/>
    </w:rPr>
  </w:style>
  <w:style w:type="character" w:customStyle="1" w:styleId="Heading4Char">
    <w:name w:val="Heading 4 Char"/>
    <w:basedOn w:val="DefaultParagraphFont"/>
    <w:link w:val="Heading4"/>
    <w:uiPriority w:val="9"/>
    <w:rsid w:val="005530BB"/>
    <w:rPr>
      <w:rFonts w:asciiTheme="majorHAnsi" w:eastAsiaTheme="majorEastAsia" w:hAnsiTheme="majorHAnsi" w:cstheme="majorBidi"/>
      <w:b/>
      <w:bCs/>
      <w:i/>
      <w:iCs/>
      <w:color w:val="4F81BD" w:themeColor="accent1"/>
      <w:kern w:val="2"/>
      <w:sz w:val="21"/>
      <w:szCs w:val="22"/>
      <w:lang w:eastAsia="zh-CN"/>
    </w:rPr>
  </w:style>
  <w:style w:type="character" w:customStyle="1" w:styleId="HeaderChar">
    <w:name w:val="Header Char"/>
    <w:link w:val="Header"/>
    <w:uiPriority w:val="99"/>
    <w:qFormat/>
    <w:rsid w:val="005530BB"/>
    <w:rPr>
      <w:rFonts w:ascii="Calibri" w:eastAsia="SimSun" w:hAnsi="Calibri" w:cs="Times New Roman"/>
      <w:kern w:val="2"/>
      <w:sz w:val="18"/>
      <w:szCs w:val="18"/>
      <w:lang w:eastAsia="zh-CN"/>
    </w:rPr>
  </w:style>
  <w:style w:type="paragraph" w:styleId="Header">
    <w:name w:val="header"/>
    <w:basedOn w:val="Normal"/>
    <w:link w:val="HeaderChar"/>
    <w:uiPriority w:val="99"/>
    <w:unhideWhenUsed/>
    <w:rsid w:val="005530BB"/>
    <w:pPr>
      <w:pBdr>
        <w:bottom w:val="single" w:sz="6" w:space="1" w:color="auto"/>
      </w:pBdr>
      <w:tabs>
        <w:tab w:val="center" w:pos="4153"/>
        <w:tab w:val="right" w:pos="8306"/>
      </w:tabs>
      <w:snapToGrid w:val="0"/>
      <w:jc w:val="center"/>
    </w:pPr>
    <w:rPr>
      <w:sz w:val="18"/>
      <w:szCs w:val="18"/>
    </w:rPr>
  </w:style>
  <w:style w:type="character" w:customStyle="1" w:styleId="HeaderChar1">
    <w:name w:val="Header Char1"/>
    <w:basedOn w:val="DefaultParagraphFont"/>
    <w:uiPriority w:val="99"/>
    <w:semiHidden/>
    <w:rsid w:val="005530BB"/>
    <w:rPr>
      <w:rFonts w:ascii="Calibri" w:eastAsia="SimSun" w:hAnsi="Calibri" w:cs="Times New Roman"/>
      <w:kern w:val="2"/>
      <w:sz w:val="21"/>
      <w:szCs w:val="22"/>
      <w:lang w:eastAsia="zh-CN"/>
    </w:rPr>
  </w:style>
  <w:style w:type="character" w:customStyle="1" w:styleId="FooterChar">
    <w:name w:val="Footer Char"/>
    <w:link w:val="Footer"/>
    <w:uiPriority w:val="99"/>
    <w:qFormat/>
    <w:rsid w:val="005530BB"/>
    <w:rPr>
      <w:rFonts w:ascii="Calibri" w:eastAsia="SimSun" w:hAnsi="Calibri" w:cs="Times New Roman"/>
      <w:kern w:val="2"/>
      <w:sz w:val="18"/>
      <w:szCs w:val="18"/>
      <w:lang w:eastAsia="zh-CN"/>
    </w:rPr>
  </w:style>
  <w:style w:type="paragraph" w:styleId="Footer">
    <w:name w:val="footer"/>
    <w:basedOn w:val="Normal"/>
    <w:link w:val="FooterChar"/>
    <w:uiPriority w:val="99"/>
    <w:unhideWhenUsed/>
    <w:rsid w:val="005530BB"/>
    <w:pPr>
      <w:tabs>
        <w:tab w:val="center" w:pos="4153"/>
        <w:tab w:val="right" w:pos="8306"/>
      </w:tabs>
      <w:snapToGrid w:val="0"/>
      <w:jc w:val="left"/>
    </w:pPr>
    <w:rPr>
      <w:sz w:val="18"/>
      <w:szCs w:val="18"/>
    </w:rPr>
  </w:style>
  <w:style w:type="character" w:customStyle="1" w:styleId="FooterChar1">
    <w:name w:val="Footer Char1"/>
    <w:basedOn w:val="DefaultParagraphFont"/>
    <w:uiPriority w:val="99"/>
    <w:semiHidden/>
    <w:rsid w:val="005530BB"/>
    <w:rPr>
      <w:rFonts w:ascii="Calibri" w:eastAsia="SimSun" w:hAnsi="Calibri" w:cs="Times New Roman"/>
      <w:kern w:val="2"/>
      <w:sz w:val="21"/>
      <w:szCs w:val="22"/>
      <w:lang w:eastAsia="zh-CN"/>
    </w:rPr>
  </w:style>
  <w:style w:type="paragraph" w:styleId="BodyText">
    <w:name w:val="Body Text"/>
    <w:basedOn w:val="Normal"/>
    <w:link w:val="BodyTextChar"/>
    <w:rsid w:val="005530BB"/>
    <w:pPr>
      <w:widowControl/>
      <w:jc w:val="left"/>
    </w:pPr>
    <w:rPr>
      <w:rFonts w:ascii="Times New Roman" w:hAnsi="Times New Roman"/>
      <w:i/>
      <w:iCs/>
      <w:kern w:val="0"/>
      <w:sz w:val="20"/>
      <w:szCs w:val="20"/>
    </w:rPr>
  </w:style>
  <w:style w:type="character" w:customStyle="1" w:styleId="BodyTextChar">
    <w:name w:val="Body Text Char"/>
    <w:basedOn w:val="DefaultParagraphFont"/>
    <w:link w:val="BodyText"/>
    <w:qFormat/>
    <w:rsid w:val="005530BB"/>
    <w:rPr>
      <w:rFonts w:ascii="Times New Roman" w:eastAsia="SimSun" w:hAnsi="Times New Roman" w:cs="Times New Roman"/>
      <w:i/>
      <w:iCs/>
      <w:sz w:val="20"/>
      <w:szCs w:val="20"/>
      <w:lang w:eastAsia="zh-CN"/>
    </w:rPr>
  </w:style>
  <w:style w:type="character" w:styleId="Hyperlink">
    <w:name w:val="Hyperlink"/>
    <w:uiPriority w:val="99"/>
    <w:rsid w:val="005530BB"/>
    <w:rPr>
      <w:color w:val="0000FF"/>
      <w:u w:val="single"/>
    </w:rPr>
  </w:style>
  <w:style w:type="character" w:customStyle="1" w:styleId="apple-style-span">
    <w:name w:val="apple-style-span"/>
    <w:basedOn w:val="DefaultParagraphFont"/>
    <w:qFormat/>
    <w:rsid w:val="005530BB"/>
  </w:style>
  <w:style w:type="character" w:customStyle="1" w:styleId="st1">
    <w:name w:val="st1"/>
    <w:basedOn w:val="DefaultParagraphFont"/>
    <w:qFormat/>
    <w:rsid w:val="005530BB"/>
  </w:style>
  <w:style w:type="paragraph" w:customStyle="1" w:styleId="TAMainText">
    <w:name w:val="TA_Main_Text"/>
    <w:qFormat/>
    <w:rsid w:val="005530BB"/>
    <w:pPr>
      <w:spacing w:line="240" w:lineRule="exact"/>
      <w:ind w:firstLine="202"/>
      <w:jc w:val="both"/>
    </w:pPr>
    <w:rPr>
      <w:rFonts w:ascii="Times" w:eastAsia="SimSun" w:hAnsi="Times" w:cs="Times New Roman"/>
      <w:noProof/>
      <w:sz w:val="20"/>
      <w:szCs w:val="20"/>
    </w:rPr>
  </w:style>
  <w:style w:type="character" w:customStyle="1" w:styleId="BalloonTextChar1">
    <w:name w:val="Balloon Text Char1"/>
    <w:basedOn w:val="DefaultParagraphFont"/>
    <w:uiPriority w:val="99"/>
    <w:semiHidden/>
    <w:rsid w:val="005530BB"/>
    <w:rPr>
      <w:rFonts w:ascii="Lucida Grande" w:eastAsia="SimSun" w:hAnsi="Lucida Grande" w:cs="Lucida Grande"/>
      <w:kern w:val="2"/>
      <w:sz w:val="18"/>
      <w:szCs w:val="18"/>
      <w:lang w:eastAsia="zh-CN"/>
    </w:rPr>
  </w:style>
  <w:style w:type="character" w:customStyle="1" w:styleId="highlight">
    <w:name w:val="highlight"/>
    <w:basedOn w:val="DefaultParagraphFont"/>
    <w:qFormat/>
    <w:rsid w:val="005530BB"/>
  </w:style>
  <w:style w:type="table" w:styleId="TableGrid0">
    <w:name w:val="Table Grid"/>
    <w:basedOn w:val="TableNormal"/>
    <w:uiPriority w:val="39"/>
    <w:rsid w:val="005530B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5530BB"/>
    <w:pPr>
      <w:widowControl/>
      <w:tabs>
        <w:tab w:val="right" w:leader="dot" w:pos="9016"/>
      </w:tabs>
      <w:spacing w:after="100" w:line="276" w:lineRule="auto"/>
      <w:ind w:left="142"/>
    </w:pPr>
    <w:rPr>
      <w:rFonts w:asciiTheme="minorHAnsi" w:eastAsiaTheme="minorHAnsi" w:hAnsiTheme="minorHAnsi" w:cstheme="minorBidi"/>
      <w:kern w:val="0"/>
      <w:sz w:val="22"/>
      <w:lang w:val="en-IN" w:eastAsia="en-US"/>
    </w:rPr>
  </w:style>
  <w:style w:type="paragraph" w:styleId="TOC2">
    <w:name w:val="toc 2"/>
    <w:basedOn w:val="Normal"/>
    <w:next w:val="Normal"/>
    <w:autoRedefine/>
    <w:uiPriority w:val="39"/>
    <w:unhideWhenUsed/>
    <w:rsid w:val="005530BB"/>
    <w:pPr>
      <w:widowControl/>
      <w:spacing w:after="100" w:line="276" w:lineRule="auto"/>
      <w:ind w:left="220"/>
    </w:pPr>
    <w:rPr>
      <w:rFonts w:asciiTheme="minorHAnsi" w:eastAsiaTheme="minorHAnsi" w:hAnsiTheme="minorHAnsi" w:cstheme="minorBidi"/>
      <w:kern w:val="0"/>
      <w:sz w:val="22"/>
      <w:lang w:val="en-IN" w:eastAsia="en-US"/>
    </w:rPr>
  </w:style>
  <w:style w:type="paragraph" w:styleId="TOC3">
    <w:name w:val="toc 3"/>
    <w:basedOn w:val="Normal"/>
    <w:next w:val="Normal"/>
    <w:autoRedefine/>
    <w:uiPriority w:val="39"/>
    <w:unhideWhenUsed/>
    <w:rsid w:val="005530BB"/>
    <w:pPr>
      <w:widowControl/>
      <w:tabs>
        <w:tab w:val="right" w:leader="dot" w:pos="9016"/>
      </w:tabs>
      <w:spacing w:after="100" w:line="276" w:lineRule="auto"/>
      <w:ind w:left="284"/>
    </w:pPr>
    <w:rPr>
      <w:rFonts w:asciiTheme="minorHAnsi" w:eastAsiaTheme="minorHAnsi" w:hAnsiTheme="minorHAnsi" w:cstheme="minorBidi"/>
      <w:kern w:val="0"/>
      <w:sz w:val="22"/>
      <w:lang w:val="en-IN" w:eastAsia="en-US"/>
    </w:rPr>
  </w:style>
  <w:style w:type="paragraph" w:styleId="TOCHeading">
    <w:name w:val="TOC Heading"/>
    <w:basedOn w:val="Heading1"/>
    <w:next w:val="Normal"/>
    <w:uiPriority w:val="39"/>
    <w:unhideWhenUsed/>
    <w:qFormat/>
    <w:rsid w:val="005530BB"/>
    <w:pPr>
      <w:keepNext/>
      <w:keepLines/>
      <w:spacing w:beforeLines="0" w:afterLines="0" w:line="276" w:lineRule="auto"/>
      <w:outlineLvl w:val="9"/>
    </w:pPr>
    <w:rPr>
      <w:rFonts w:asciiTheme="majorHAnsi" w:eastAsiaTheme="majorEastAsia" w:hAnsiTheme="majorHAnsi" w:cstheme="majorBidi"/>
      <w:bCs/>
      <w:color w:val="365F91" w:themeColor="accent1" w:themeShade="BF"/>
      <w:kern w:val="0"/>
      <w:sz w:val="28"/>
      <w:szCs w:val="28"/>
      <w:lang w:eastAsia="ja-JP"/>
    </w:rPr>
  </w:style>
  <w:style w:type="character" w:styleId="CommentReference">
    <w:name w:val="annotation reference"/>
    <w:basedOn w:val="DefaultParagraphFont"/>
    <w:uiPriority w:val="99"/>
    <w:semiHidden/>
    <w:unhideWhenUsed/>
    <w:rsid w:val="005530BB"/>
    <w:rPr>
      <w:sz w:val="16"/>
      <w:szCs w:val="16"/>
    </w:rPr>
  </w:style>
  <w:style w:type="paragraph" w:styleId="CommentText">
    <w:name w:val="annotation text"/>
    <w:basedOn w:val="Normal"/>
    <w:link w:val="CommentTextChar"/>
    <w:uiPriority w:val="99"/>
    <w:unhideWhenUsed/>
    <w:rsid w:val="005530BB"/>
    <w:rPr>
      <w:sz w:val="20"/>
      <w:szCs w:val="20"/>
    </w:rPr>
  </w:style>
  <w:style w:type="character" w:customStyle="1" w:styleId="CommentTextChar">
    <w:name w:val="Comment Text Char"/>
    <w:basedOn w:val="DefaultParagraphFont"/>
    <w:link w:val="CommentText"/>
    <w:uiPriority w:val="99"/>
    <w:rsid w:val="005530BB"/>
    <w:rPr>
      <w:rFonts w:ascii="Calibri" w:eastAsia="SimSun" w:hAnsi="Calibri" w:cs="Times New Roman"/>
      <w:kern w:val="2"/>
      <w:sz w:val="20"/>
      <w:szCs w:val="20"/>
      <w:lang w:eastAsia="zh-CN"/>
    </w:rPr>
  </w:style>
  <w:style w:type="paragraph" w:styleId="CommentSubject">
    <w:name w:val="annotation subject"/>
    <w:basedOn w:val="CommentText"/>
    <w:next w:val="CommentText"/>
    <w:link w:val="CommentSubjectChar"/>
    <w:uiPriority w:val="99"/>
    <w:semiHidden/>
    <w:unhideWhenUsed/>
    <w:rsid w:val="005530BB"/>
    <w:rPr>
      <w:b/>
      <w:bCs/>
    </w:rPr>
  </w:style>
  <w:style w:type="character" w:customStyle="1" w:styleId="CommentSubjectChar">
    <w:name w:val="Comment Subject Char"/>
    <w:basedOn w:val="CommentTextChar"/>
    <w:link w:val="CommentSubject"/>
    <w:uiPriority w:val="99"/>
    <w:semiHidden/>
    <w:rsid w:val="005530BB"/>
    <w:rPr>
      <w:rFonts w:ascii="Calibri" w:eastAsia="SimSun" w:hAnsi="Calibri" w:cs="Times New Roman"/>
      <w:b/>
      <w:bCs/>
      <w:kern w:val="2"/>
      <w:sz w:val="20"/>
      <w:szCs w:val="20"/>
      <w:lang w:eastAsia="zh-CN"/>
    </w:rPr>
  </w:style>
  <w:style w:type="paragraph" w:styleId="Revision">
    <w:name w:val="Revision"/>
    <w:hidden/>
    <w:uiPriority w:val="99"/>
    <w:semiHidden/>
    <w:rsid w:val="005530BB"/>
    <w:rPr>
      <w:rFonts w:ascii="Calibri" w:eastAsia="SimSun" w:hAnsi="Calibri" w:cs="Times New Roman"/>
      <w:kern w:val="2"/>
      <w:sz w:val="21"/>
      <w:szCs w:val="22"/>
      <w:lang w:eastAsia="zh-CN"/>
    </w:rPr>
  </w:style>
  <w:style w:type="paragraph" w:styleId="NormalWeb">
    <w:name w:val="Normal (Web)"/>
    <w:basedOn w:val="Normal"/>
    <w:uiPriority w:val="99"/>
    <w:unhideWhenUsed/>
    <w:rsid w:val="005530BB"/>
    <w:pPr>
      <w:widowControl/>
      <w:spacing w:before="100" w:beforeAutospacing="1" w:after="100" w:afterAutospacing="1"/>
      <w:jc w:val="left"/>
    </w:pPr>
    <w:rPr>
      <w:rFonts w:ascii="Times New Roman" w:eastAsia="Times New Roman" w:hAnsi="Times New Roman"/>
      <w:kern w:val="0"/>
      <w:sz w:val="24"/>
      <w:szCs w:val="24"/>
      <w:lang w:eastAsia="en-US"/>
    </w:rPr>
  </w:style>
  <w:style w:type="character" w:styleId="Strong">
    <w:name w:val="Strong"/>
    <w:basedOn w:val="DefaultParagraphFont"/>
    <w:uiPriority w:val="22"/>
    <w:qFormat/>
    <w:rsid w:val="005530BB"/>
    <w:rPr>
      <w:b/>
      <w:bCs/>
    </w:rPr>
  </w:style>
  <w:style w:type="character" w:styleId="Emphasis">
    <w:name w:val="Emphasis"/>
    <w:basedOn w:val="DefaultParagraphFont"/>
    <w:uiPriority w:val="20"/>
    <w:qFormat/>
    <w:rsid w:val="005530BB"/>
    <w:rPr>
      <w:i/>
      <w:iCs/>
    </w:rPr>
  </w:style>
  <w:style w:type="character" w:customStyle="1" w:styleId="ql-writer-texthighlight">
    <w:name w:val="ql-writer-texthighlight"/>
    <w:basedOn w:val="DefaultParagraphFont"/>
    <w:rsid w:val="005530BB"/>
  </w:style>
  <w:style w:type="character" w:styleId="FollowedHyperlink">
    <w:name w:val="FollowedHyperlink"/>
    <w:basedOn w:val="DefaultParagraphFont"/>
    <w:semiHidden/>
    <w:unhideWhenUsed/>
    <w:rsid w:val="005530BB"/>
    <w:rPr>
      <w:color w:val="800080" w:themeColor="followedHyperlink"/>
      <w:u w:val="single"/>
    </w:rPr>
  </w:style>
  <w:style w:type="character" w:customStyle="1" w:styleId="InternetLink">
    <w:name w:val="Internet Link"/>
    <w:rsid w:val="005530BB"/>
    <w:rPr>
      <w:color w:val="0000FF"/>
      <w:u w:val="single"/>
    </w:rPr>
  </w:style>
  <w:style w:type="character" w:customStyle="1" w:styleId="ListLabel1">
    <w:name w:val="ListLabel 1"/>
    <w:qFormat/>
    <w:rsid w:val="005530BB"/>
    <w:rPr>
      <w:sz w:val="20"/>
    </w:rPr>
  </w:style>
  <w:style w:type="character" w:customStyle="1" w:styleId="ListLabel2">
    <w:name w:val="ListLabel 2"/>
    <w:qFormat/>
    <w:rsid w:val="005530BB"/>
    <w:rPr>
      <w:sz w:val="20"/>
    </w:rPr>
  </w:style>
  <w:style w:type="character" w:customStyle="1" w:styleId="ListLabel3">
    <w:name w:val="ListLabel 3"/>
    <w:qFormat/>
    <w:rsid w:val="005530BB"/>
    <w:rPr>
      <w:sz w:val="20"/>
    </w:rPr>
  </w:style>
  <w:style w:type="character" w:customStyle="1" w:styleId="ListLabel4">
    <w:name w:val="ListLabel 4"/>
    <w:qFormat/>
    <w:rsid w:val="005530BB"/>
    <w:rPr>
      <w:sz w:val="20"/>
    </w:rPr>
  </w:style>
  <w:style w:type="character" w:customStyle="1" w:styleId="ListLabel5">
    <w:name w:val="ListLabel 5"/>
    <w:qFormat/>
    <w:rsid w:val="005530BB"/>
    <w:rPr>
      <w:sz w:val="20"/>
    </w:rPr>
  </w:style>
  <w:style w:type="character" w:customStyle="1" w:styleId="ListLabel6">
    <w:name w:val="ListLabel 6"/>
    <w:qFormat/>
    <w:rsid w:val="005530BB"/>
    <w:rPr>
      <w:sz w:val="20"/>
    </w:rPr>
  </w:style>
  <w:style w:type="character" w:customStyle="1" w:styleId="ListLabel7">
    <w:name w:val="ListLabel 7"/>
    <w:qFormat/>
    <w:rsid w:val="005530BB"/>
    <w:rPr>
      <w:sz w:val="20"/>
    </w:rPr>
  </w:style>
  <w:style w:type="character" w:customStyle="1" w:styleId="ListLabel8">
    <w:name w:val="ListLabel 8"/>
    <w:qFormat/>
    <w:rsid w:val="005530BB"/>
    <w:rPr>
      <w:sz w:val="20"/>
    </w:rPr>
  </w:style>
  <w:style w:type="character" w:customStyle="1" w:styleId="ListLabel9">
    <w:name w:val="ListLabel 9"/>
    <w:qFormat/>
    <w:rsid w:val="005530BB"/>
    <w:rPr>
      <w:sz w:val="20"/>
    </w:rPr>
  </w:style>
  <w:style w:type="character" w:customStyle="1" w:styleId="ListLabel10">
    <w:name w:val="ListLabel 10"/>
    <w:qFormat/>
    <w:rsid w:val="005530BB"/>
    <w:rPr>
      <w:i/>
    </w:rPr>
  </w:style>
  <w:style w:type="character" w:customStyle="1" w:styleId="ListLabel11">
    <w:name w:val="ListLabel 11"/>
    <w:qFormat/>
    <w:rsid w:val="005530BB"/>
    <w:rPr>
      <w:rFonts w:eastAsia="PMingLiU" w:cs="Times New Roman"/>
    </w:rPr>
  </w:style>
  <w:style w:type="paragraph" w:customStyle="1" w:styleId="Heading">
    <w:name w:val="Heading"/>
    <w:basedOn w:val="Normal"/>
    <w:next w:val="BodyText"/>
    <w:qFormat/>
    <w:rsid w:val="005530BB"/>
    <w:pPr>
      <w:keepNext/>
      <w:spacing w:before="240" w:after="120"/>
    </w:pPr>
    <w:rPr>
      <w:rFonts w:ascii="Liberation Sans" w:eastAsia="Source Han Sans CN Regular" w:hAnsi="Liberation Sans" w:cs="Lohit Devanagari"/>
      <w:kern w:val="0"/>
      <w:sz w:val="28"/>
      <w:szCs w:val="28"/>
    </w:rPr>
  </w:style>
  <w:style w:type="paragraph" w:styleId="List">
    <w:name w:val="List"/>
    <w:basedOn w:val="BodyText"/>
    <w:rsid w:val="005530BB"/>
    <w:rPr>
      <w:rFonts w:cs="Lohit Devanagari"/>
    </w:rPr>
  </w:style>
  <w:style w:type="paragraph" w:styleId="Caption">
    <w:name w:val="caption"/>
    <w:basedOn w:val="Normal"/>
    <w:uiPriority w:val="35"/>
    <w:qFormat/>
    <w:rsid w:val="005530BB"/>
    <w:pPr>
      <w:suppressLineNumbers/>
      <w:spacing w:before="120" w:after="120"/>
    </w:pPr>
    <w:rPr>
      <w:rFonts w:cs="Lohit Devanagari"/>
      <w:i/>
      <w:iCs/>
      <w:kern w:val="0"/>
      <w:sz w:val="24"/>
      <w:szCs w:val="24"/>
    </w:rPr>
  </w:style>
  <w:style w:type="paragraph" w:customStyle="1" w:styleId="Index">
    <w:name w:val="Index"/>
    <w:basedOn w:val="Normal"/>
    <w:qFormat/>
    <w:rsid w:val="005530BB"/>
    <w:pPr>
      <w:suppressLineNumbers/>
    </w:pPr>
    <w:rPr>
      <w:rFonts w:cs="Lohit Devanagari"/>
      <w:kern w:val="0"/>
    </w:rPr>
  </w:style>
  <w:style w:type="paragraph" w:customStyle="1" w:styleId="EndNoteBibliography">
    <w:name w:val="EndNote Bibliography"/>
    <w:basedOn w:val="Normal"/>
    <w:link w:val="EndNoteBibliographyChar"/>
    <w:rsid w:val="0028731E"/>
    <w:pPr>
      <w:widowControl/>
      <w:spacing w:after="160" w:line="480" w:lineRule="auto"/>
      <w:jc w:val="left"/>
    </w:pPr>
    <w:rPr>
      <w:rFonts w:ascii="Times New Roman" w:eastAsiaTheme="minorEastAsia" w:hAnsi="Times New Roman"/>
      <w:noProof/>
      <w:sz w:val="24"/>
      <w:szCs w:val="24"/>
      <w:lang w:eastAsia="ko-KR"/>
      <w14:ligatures w14:val="standardContextual"/>
    </w:rPr>
  </w:style>
  <w:style w:type="character" w:customStyle="1" w:styleId="EndNoteBibliographyChar">
    <w:name w:val="EndNote Bibliography Char"/>
    <w:basedOn w:val="DefaultParagraphFont"/>
    <w:link w:val="EndNoteBibliography"/>
    <w:rsid w:val="0028731E"/>
    <w:rPr>
      <w:rFonts w:ascii="Times New Roman" w:hAnsi="Times New Roman" w:cs="Times New Roman"/>
      <w:noProof/>
      <w:kern w:val="2"/>
      <w:lang w:eastAsia="ko-KR"/>
      <w14:ligatures w14:val="standardContextual"/>
    </w:rPr>
  </w:style>
  <w:style w:type="character" w:styleId="PageNumber">
    <w:name w:val="page number"/>
    <w:basedOn w:val="DefaultParagraphFont"/>
    <w:uiPriority w:val="99"/>
    <w:semiHidden/>
    <w:unhideWhenUsed/>
    <w:rsid w:val="00C93178"/>
  </w:style>
  <w:style w:type="character" w:customStyle="1" w:styleId="Heading2Char">
    <w:name w:val="Heading 2 Char"/>
    <w:basedOn w:val="DefaultParagraphFont"/>
    <w:link w:val="Heading2"/>
    <w:uiPriority w:val="9"/>
    <w:rsid w:val="00617BFC"/>
    <w:rPr>
      <w:rFonts w:asciiTheme="majorHAnsi" w:eastAsiaTheme="majorEastAsia" w:hAnsiTheme="majorHAnsi" w:cstheme="majorBidi"/>
      <w:color w:val="365F91" w:themeColor="accent1" w:themeShade="BF"/>
      <w:kern w:val="2"/>
      <w:sz w:val="32"/>
      <w:szCs w:val="32"/>
    </w:rPr>
  </w:style>
  <w:style w:type="character" w:customStyle="1" w:styleId="Heading5Char">
    <w:name w:val="Heading 5 Char"/>
    <w:basedOn w:val="DefaultParagraphFont"/>
    <w:link w:val="Heading5"/>
    <w:uiPriority w:val="9"/>
    <w:semiHidden/>
    <w:rsid w:val="00617BFC"/>
    <w:rPr>
      <w:rFonts w:eastAsiaTheme="majorEastAsia" w:cstheme="majorBidi"/>
      <w:color w:val="365F91" w:themeColor="accent1" w:themeShade="BF"/>
      <w:kern w:val="2"/>
      <w:sz w:val="22"/>
      <w:szCs w:val="22"/>
    </w:rPr>
  </w:style>
  <w:style w:type="character" w:customStyle="1" w:styleId="Heading6Char">
    <w:name w:val="Heading 6 Char"/>
    <w:basedOn w:val="DefaultParagraphFont"/>
    <w:link w:val="Heading6"/>
    <w:uiPriority w:val="9"/>
    <w:semiHidden/>
    <w:rsid w:val="00617BFC"/>
    <w:rPr>
      <w:rFonts w:eastAsiaTheme="majorEastAsia" w:cstheme="majorBidi"/>
      <w:i/>
      <w:iCs/>
      <w:color w:val="595959" w:themeColor="text1" w:themeTint="A6"/>
      <w:kern w:val="2"/>
      <w:sz w:val="22"/>
      <w:szCs w:val="22"/>
    </w:rPr>
  </w:style>
  <w:style w:type="character" w:customStyle="1" w:styleId="Heading7Char">
    <w:name w:val="Heading 7 Char"/>
    <w:basedOn w:val="DefaultParagraphFont"/>
    <w:link w:val="Heading7"/>
    <w:uiPriority w:val="9"/>
    <w:semiHidden/>
    <w:rsid w:val="00617BFC"/>
    <w:rPr>
      <w:rFonts w:eastAsiaTheme="majorEastAsia" w:cstheme="majorBidi"/>
      <w:color w:val="595959" w:themeColor="text1" w:themeTint="A6"/>
      <w:kern w:val="2"/>
      <w:sz w:val="22"/>
      <w:szCs w:val="22"/>
    </w:rPr>
  </w:style>
  <w:style w:type="character" w:customStyle="1" w:styleId="Heading8Char">
    <w:name w:val="Heading 8 Char"/>
    <w:basedOn w:val="DefaultParagraphFont"/>
    <w:link w:val="Heading8"/>
    <w:uiPriority w:val="9"/>
    <w:semiHidden/>
    <w:rsid w:val="00617BFC"/>
    <w:rPr>
      <w:rFonts w:eastAsiaTheme="majorEastAsia" w:cstheme="majorBidi"/>
      <w:i/>
      <w:iCs/>
      <w:color w:val="272727" w:themeColor="text1" w:themeTint="D8"/>
      <w:kern w:val="2"/>
      <w:sz w:val="22"/>
      <w:szCs w:val="22"/>
    </w:rPr>
  </w:style>
  <w:style w:type="character" w:customStyle="1" w:styleId="Heading9Char">
    <w:name w:val="Heading 9 Char"/>
    <w:basedOn w:val="DefaultParagraphFont"/>
    <w:link w:val="Heading9"/>
    <w:uiPriority w:val="9"/>
    <w:semiHidden/>
    <w:rsid w:val="00617BFC"/>
    <w:rPr>
      <w:rFonts w:eastAsiaTheme="majorEastAsia" w:cstheme="majorBidi"/>
      <w:color w:val="272727" w:themeColor="text1" w:themeTint="D8"/>
      <w:kern w:val="2"/>
      <w:sz w:val="22"/>
      <w:szCs w:val="22"/>
    </w:rPr>
  </w:style>
  <w:style w:type="paragraph" w:styleId="Title">
    <w:name w:val="Title"/>
    <w:basedOn w:val="Normal"/>
    <w:next w:val="Normal"/>
    <w:link w:val="TitleChar"/>
    <w:uiPriority w:val="10"/>
    <w:qFormat/>
    <w:rsid w:val="00617BFC"/>
    <w:pPr>
      <w:widowControl/>
      <w:spacing w:after="80"/>
      <w:contextualSpacing/>
      <w:jc w:val="left"/>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617B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7BFC"/>
    <w:pPr>
      <w:widowControl/>
      <w:numPr>
        <w:ilvl w:val="1"/>
      </w:numPr>
      <w:spacing w:after="160" w:line="259" w:lineRule="auto"/>
      <w:jc w:val="left"/>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617BFC"/>
    <w:rPr>
      <w:rFonts w:eastAsiaTheme="majorEastAsia" w:cstheme="majorBidi"/>
      <w:color w:val="595959" w:themeColor="text1" w:themeTint="A6"/>
      <w:spacing w:val="15"/>
      <w:kern w:val="2"/>
      <w:sz w:val="28"/>
      <w:szCs w:val="28"/>
    </w:rPr>
  </w:style>
  <w:style w:type="paragraph" w:styleId="Quote">
    <w:name w:val="Quote"/>
    <w:basedOn w:val="Normal"/>
    <w:next w:val="Normal"/>
    <w:link w:val="QuoteChar"/>
    <w:uiPriority w:val="29"/>
    <w:qFormat/>
    <w:rsid w:val="00617BFC"/>
    <w:pPr>
      <w:widowControl/>
      <w:spacing w:before="160" w:after="160" w:line="259" w:lineRule="auto"/>
      <w:jc w:val="center"/>
    </w:pPr>
    <w:rPr>
      <w:rFonts w:asciiTheme="minorHAnsi" w:eastAsia="Batang" w:hAnsiTheme="minorHAnsi" w:cstheme="minorBidi"/>
      <w:i/>
      <w:iCs/>
      <w:color w:val="404040" w:themeColor="text1" w:themeTint="BF"/>
      <w:sz w:val="22"/>
      <w:lang w:eastAsia="en-US"/>
    </w:rPr>
  </w:style>
  <w:style w:type="character" w:customStyle="1" w:styleId="QuoteChar">
    <w:name w:val="Quote Char"/>
    <w:basedOn w:val="DefaultParagraphFont"/>
    <w:link w:val="Quote"/>
    <w:uiPriority w:val="29"/>
    <w:rsid w:val="00617BFC"/>
    <w:rPr>
      <w:rFonts w:eastAsia="Batang"/>
      <w:i/>
      <w:iCs/>
      <w:color w:val="404040" w:themeColor="text1" w:themeTint="BF"/>
      <w:kern w:val="2"/>
      <w:sz w:val="22"/>
      <w:szCs w:val="22"/>
    </w:rPr>
  </w:style>
  <w:style w:type="character" w:styleId="IntenseEmphasis">
    <w:name w:val="Intense Emphasis"/>
    <w:basedOn w:val="DefaultParagraphFont"/>
    <w:uiPriority w:val="21"/>
    <w:qFormat/>
    <w:rsid w:val="00617BFC"/>
    <w:rPr>
      <w:i/>
      <w:iCs/>
      <w:color w:val="365F91" w:themeColor="accent1" w:themeShade="BF"/>
    </w:rPr>
  </w:style>
  <w:style w:type="paragraph" w:styleId="IntenseQuote">
    <w:name w:val="Intense Quote"/>
    <w:basedOn w:val="Normal"/>
    <w:next w:val="Normal"/>
    <w:link w:val="IntenseQuoteChar"/>
    <w:uiPriority w:val="30"/>
    <w:qFormat/>
    <w:rsid w:val="00617BFC"/>
    <w:pPr>
      <w:widowControl/>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Batang" w:hAnsiTheme="minorHAnsi" w:cstheme="minorBidi"/>
      <w:i/>
      <w:iCs/>
      <w:color w:val="365F91" w:themeColor="accent1" w:themeShade="BF"/>
      <w:sz w:val="22"/>
      <w:lang w:eastAsia="en-US"/>
    </w:rPr>
  </w:style>
  <w:style w:type="character" w:customStyle="1" w:styleId="IntenseQuoteChar">
    <w:name w:val="Intense Quote Char"/>
    <w:basedOn w:val="DefaultParagraphFont"/>
    <w:link w:val="IntenseQuote"/>
    <w:uiPriority w:val="30"/>
    <w:rsid w:val="00617BFC"/>
    <w:rPr>
      <w:rFonts w:eastAsia="Batang"/>
      <w:i/>
      <w:iCs/>
      <w:color w:val="365F91" w:themeColor="accent1" w:themeShade="BF"/>
      <w:kern w:val="2"/>
      <w:sz w:val="22"/>
      <w:szCs w:val="22"/>
    </w:rPr>
  </w:style>
  <w:style w:type="character" w:styleId="IntenseReference">
    <w:name w:val="Intense Reference"/>
    <w:basedOn w:val="DefaultParagraphFont"/>
    <w:uiPriority w:val="32"/>
    <w:qFormat/>
    <w:rsid w:val="00617BFC"/>
    <w:rPr>
      <w:b/>
      <w:bCs/>
      <w:smallCaps/>
      <w:color w:val="365F91" w:themeColor="accent1" w:themeShade="BF"/>
      <w:spacing w:val="5"/>
    </w:rPr>
  </w:style>
  <w:style w:type="character" w:customStyle="1" w:styleId="UnresolvedMention1">
    <w:name w:val="Unresolved Mention1"/>
    <w:basedOn w:val="DefaultParagraphFont"/>
    <w:uiPriority w:val="99"/>
    <w:semiHidden/>
    <w:unhideWhenUsed/>
    <w:rsid w:val="00617B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hyperlink" Target="https://doi.org/10.1073/pnas.92.18.8428." TargetMode="External"/><Relationship Id="rId21" Type="http://schemas.openxmlformats.org/officeDocument/2006/relationships/image" Target="media/image8.emf"/><Relationship Id="rId34" Type="http://schemas.openxmlformats.org/officeDocument/2006/relationships/oleObject" Target="embeddings/oleObject11.bin"/><Relationship Id="rId42" Type="http://schemas.openxmlformats.org/officeDocument/2006/relationships/hyperlink" Target="https://doi.org/10.1021/acs.jmedchem.8b02032." TargetMode="External"/><Relationship Id="rId47" Type="http://schemas.openxmlformats.org/officeDocument/2006/relationships/hyperlink" Target="https://doi.org/10.1021/np300882f." TargetMode="External"/><Relationship Id="rId50" Type="http://schemas.openxmlformats.org/officeDocument/2006/relationships/hyperlink" Target="https://doi.org/10.1021/jm051256o." TargetMode="External"/><Relationship Id="rId55" Type="http://schemas.openxmlformats.org/officeDocument/2006/relationships/hyperlink" Target="https://doi.org/10.1145/1188455.1188544."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2.bin"/><Relationship Id="rId29" Type="http://schemas.openxmlformats.org/officeDocument/2006/relationships/image" Target="media/image12.emf"/><Relationship Id="rId11" Type="http://schemas.openxmlformats.org/officeDocument/2006/relationships/image" Target="media/image2.png"/><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hyperlink" Target="https://doi.org/10.1016/S0076-6879(94)33028-X.%5B1" TargetMode="External"/><Relationship Id="rId40" Type="http://schemas.openxmlformats.org/officeDocument/2006/relationships/hyperlink" Target="https://doi.org/10.1021/bi020417c." TargetMode="External"/><Relationship Id="rId45" Type="http://schemas.openxmlformats.org/officeDocument/2006/relationships/hyperlink" Target="https://doi.org/10.1016/S0223-5234(03)00012-6.%5B9" TargetMode="External"/><Relationship Id="rId53" Type="http://schemas.openxmlformats.org/officeDocument/2006/relationships/hyperlink" Target="https://doi.org/10.1002/prot.10613." TargetMode="External"/><Relationship Id="rId58" Type="http://schemas.openxmlformats.org/officeDocument/2006/relationships/hyperlink" Target="https://doi.org/10.1021/acs.jmedchem.5c02154."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7.emf"/><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11.emf"/><Relationship Id="rId30" Type="http://schemas.openxmlformats.org/officeDocument/2006/relationships/oleObject" Target="embeddings/oleObject9.bin"/><Relationship Id="rId35" Type="http://schemas.openxmlformats.org/officeDocument/2006/relationships/image" Target="media/image15.emf"/><Relationship Id="rId43" Type="http://schemas.openxmlformats.org/officeDocument/2006/relationships/hyperlink" Target="https://doi.org/10.1016/0006-2952(73)90196-2.%5B7" TargetMode="External"/><Relationship Id="rId48" Type="http://schemas.openxmlformats.org/officeDocument/2006/relationships/hyperlink" Target="https://doi.org/10.1016/j.ejps.2015.08.007." TargetMode="External"/><Relationship Id="rId56" Type="http://schemas.openxmlformats.org/officeDocument/2006/relationships/hyperlink" Target="https://doi.org/10.1063/1.463940." TargetMode="External"/><Relationship Id="rId8" Type="http://schemas.openxmlformats.org/officeDocument/2006/relationships/hyperlink" Target="http://orcid.org/0000-0001-9034-1084" TargetMode="External"/><Relationship Id="rId51" Type="http://schemas.openxmlformats.org/officeDocument/2006/relationships/hyperlink" Target="https://doi.org/10.1093/nar/28.1.235."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hyperlink" Target="https://doi.org/10.1021/acs.jmedchem.7b01245." TargetMode="External"/><Relationship Id="rId46" Type="http://schemas.openxmlformats.org/officeDocument/2006/relationships/hyperlink" Target="https://doi.org/10.1021/acs.jnatprod.5b00191." TargetMode="External"/><Relationship Id="rId59" Type="http://schemas.openxmlformats.org/officeDocument/2006/relationships/footer" Target="footer1.xml"/><Relationship Id="rId20" Type="http://schemas.openxmlformats.org/officeDocument/2006/relationships/oleObject" Target="embeddings/oleObject4.bin"/><Relationship Id="rId41" Type="http://schemas.openxmlformats.org/officeDocument/2006/relationships/hyperlink" Target="https://doi.org/10.1107/S1399004714017064." TargetMode="External"/><Relationship Id="rId54" Type="http://schemas.openxmlformats.org/officeDocument/2006/relationships/hyperlink" Target="https://doi.org/10.1021/acs.jctc.1c00302."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hyperlink" Target="https://doi.org/10.1021/jm0306430." TargetMode="External"/><Relationship Id="rId57" Type="http://schemas.openxmlformats.org/officeDocument/2006/relationships/hyperlink" Target="https://doi.org/10.1063/1.467468." TargetMode="External"/><Relationship Id="rId10" Type="http://schemas.openxmlformats.org/officeDocument/2006/relationships/image" Target="media/image1.png"/><Relationship Id="rId31" Type="http://schemas.openxmlformats.org/officeDocument/2006/relationships/image" Target="media/image13.emf"/><Relationship Id="rId44" Type="http://schemas.openxmlformats.org/officeDocument/2006/relationships/hyperlink" Target="https://doi.org/10.1074/jbc.274.53.37658." TargetMode="External"/><Relationship Id="rId52" Type="http://schemas.openxmlformats.org/officeDocument/2006/relationships/hyperlink" Target="https://doi.org/10.1007/s10822-013-9644-8." TargetMode="External"/><Relationship Id="rId6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Agman@chem.northwestern.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30C9CE-34E6-B446-8473-98E0F9D73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15</Pages>
  <Words>3413</Words>
  <Characters>19456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UCI</Company>
  <LinksUpToDate>false</LinksUpToDate>
  <CharactersWithSpaces>22824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Huiying Li</dc:creator>
  <cp:keywords/>
  <dc:description/>
  <cp:lastModifiedBy>AMARDEEP AWASTHI</cp:lastModifiedBy>
  <cp:revision>24</cp:revision>
  <dcterms:created xsi:type="dcterms:W3CDTF">2026-02-09T17:02:00Z</dcterms:created>
  <dcterms:modified xsi:type="dcterms:W3CDTF">2026-03-19T21:03:00Z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c43c9ebf-b7d5-423b-ab31-f9153c271e8d</vt:lpwstr>
  </property>
</Properties>
</file>