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8C8" w:rsidRDefault="00D808C8" w:rsidP="00D808C8">
      <w:pPr>
        <w:spacing w:line="360" w:lineRule="auto"/>
        <w:jc w:val="both"/>
        <w:rPr>
          <w:rFonts w:ascii="Arial" w:hAnsi="Arial" w:cs="Arial"/>
          <w:b/>
          <w:color w:val="000000" w:themeColor="text1"/>
          <w:lang w:val="en-US"/>
        </w:rPr>
      </w:pPr>
      <w:r>
        <w:rPr>
          <w:rFonts w:ascii="Arial" w:hAnsi="Arial" w:cs="Arial"/>
          <w:b/>
          <w:color w:val="000000" w:themeColor="text1"/>
          <w:lang w:val="en-US"/>
        </w:rPr>
        <w:t>Online Resource 1</w:t>
      </w:r>
    </w:p>
    <w:p w:rsidR="00D808C8" w:rsidRDefault="00D808C8" w:rsidP="00D808C8">
      <w:pPr>
        <w:spacing w:line="360" w:lineRule="auto"/>
        <w:jc w:val="both"/>
        <w:rPr>
          <w:rFonts w:ascii="Arial" w:hAnsi="Arial" w:cs="Arial"/>
          <w:b/>
          <w:color w:val="000000" w:themeColor="text1"/>
          <w:lang w:val="en-US"/>
        </w:rPr>
      </w:pPr>
      <w:r>
        <w:rPr>
          <w:rFonts w:ascii="Arial" w:hAnsi="Arial" w:cs="Arial"/>
          <w:b/>
          <w:color w:val="000000" w:themeColor="text1"/>
          <w:lang w:val="en-US"/>
        </w:rPr>
        <w:t>Microstructural white matter alterations in cognitively impaired patients at early stages of Multiple Sclerosis</w:t>
      </w:r>
    </w:p>
    <w:p w:rsidR="00D808C8" w:rsidRDefault="00D808C8" w:rsidP="00D808C8">
      <w:pPr>
        <w:spacing w:line="240" w:lineRule="auto"/>
        <w:jc w:val="both"/>
        <w:rPr>
          <w:rFonts w:ascii="Arial" w:hAnsi="Arial" w:cs="Arial"/>
          <w:color w:val="000000" w:themeColor="text1"/>
        </w:rPr>
      </w:pPr>
      <w:r>
        <w:rPr>
          <w:rFonts w:ascii="Arial" w:hAnsi="Arial" w:cs="Arial"/>
          <w:color w:val="000000" w:themeColor="text1"/>
        </w:rPr>
        <w:t>Ruth Schneider</w:t>
      </w:r>
      <w:r>
        <w:rPr>
          <w:rFonts w:ascii="Arial" w:hAnsi="Arial" w:cs="Arial"/>
          <w:color w:val="000000" w:themeColor="text1"/>
          <w:vertAlign w:val="superscript"/>
        </w:rPr>
        <w:t>1</w:t>
      </w:r>
      <w:r>
        <w:rPr>
          <w:rFonts w:ascii="Arial" w:hAnsi="Arial" w:cs="Arial"/>
          <w:color w:val="000000" w:themeColor="text1"/>
        </w:rPr>
        <w:t>*, Britta Matusche</w:t>
      </w:r>
      <w:r>
        <w:rPr>
          <w:rFonts w:ascii="Arial" w:hAnsi="Arial" w:cs="Arial"/>
          <w:color w:val="000000" w:themeColor="text1"/>
          <w:vertAlign w:val="superscript"/>
        </w:rPr>
        <w:t>2</w:t>
      </w:r>
      <w:r>
        <w:rPr>
          <w:rFonts w:ascii="Arial" w:hAnsi="Arial" w:cs="Arial"/>
          <w:color w:val="000000" w:themeColor="text1"/>
        </w:rPr>
        <w:t>, Erhan Genç</w:t>
      </w:r>
      <w:r>
        <w:rPr>
          <w:rFonts w:ascii="Arial" w:hAnsi="Arial" w:cs="Arial"/>
          <w:color w:val="000000" w:themeColor="text1"/>
          <w:vertAlign w:val="superscript"/>
        </w:rPr>
        <w:t>3</w:t>
      </w:r>
      <w:r>
        <w:rPr>
          <w:rFonts w:ascii="Arial" w:hAnsi="Arial" w:cs="Arial"/>
          <w:color w:val="000000" w:themeColor="text1"/>
        </w:rPr>
        <w:t>, Ralf Gold</w:t>
      </w:r>
      <w:r>
        <w:rPr>
          <w:rFonts w:ascii="Arial" w:hAnsi="Arial" w:cs="Arial"/>
          <w:color w:val="000000" w:themeColor="text1"/>
          <w:vertAlign w:val="superscript"/>
        </w:rPr>
        <w:t>1</w:t>
      </w:r>
      <w:r>
        <w:rPr>
          <w:rFonts w:ascii="Arial" w:hAnsi="Arial" w:cs="Arial"/>
          <w:color w:val="000000" w:themeColor="text1"/>
        </w:rPr>
        <w:t>, Barbara Bellenberg</w:t>
      </w:r>
      <w:r>
        <w:rPr>
          <w:rFonts w:ascii="Arial" w:hAnsi="Arial" w:cs="Arial"/>
          <w:color w:val="000000" w:themeColor="text1"/>
          <w:vertAlign w:val="superscript"/>
        </w:rPr>
        <w:t>2</w:t>
      </w:r>
      <w:r>
        <w:rPr>
          <w:rFonts w:ascii="Arial" w:hAnsi="Arial" w:cs="Arial"/>
          <w:color w:val="000000" w:themeColor="text1"/>
        </w:rPr>
        <w:t>, Carsten Lukas</w:t>
      </w:r>
      <w:r>
        <w:rPr>
          <w:rFonts w:ascii="Arial" w:hAnsi="Arial" w:cs="Arial"/>
          <w:color w:val="000000" w:themeColor="text1"/>
          <w:vertAlign w:val="superscript"/>
        </w:rPr>
        <w:t>2,4</w:t>
      </w:r>
      <w:r>
        <w:rPr>
          <w:rFonts w:ascii="Arial" w:hAnsi="Arial" w:cs="Arial"/>
          <w:color w:val="000000" w:themeColor="text1"/>
        </w:rPr>
        <w:t xml:space="preserve"> </w:t>
      </w:r>
    </w:p>
    <w:p w:rsidR="00D808C8" w:rsidRDefault="00D808C8" w:rsidP="00D808C8">
      <w:pPr>
        <w:spacing w:line="240" w:lineRule="auto"/>
        <w:jc w:val="both"/>
        <w:rPr>
          <w:rFonts w:ascii="Arial" w:hAnsi="Arial" w:cs="Arial"/>
          <w:color w:val="000000" w:themeColor="text1"/>
          <w:lang w:val="en-US"/>
        </w:rPr>
      </w:pPr>
      <w:r>
        <w:rPr>
          <w:rFonts w:ascii="Arial" w:hAnsi="Arial" w:cs="Arial"/>
          <w:color w:val="000000" w:themeColor="text1"/>
          <w:vertAlign w:val="superscript"/>
          <w:lang w:val="en-US"/>
        </w:rPr>
        <w:t>1</w:t>
      </w:r>
      <w:r>
        <w:rPr>
          <w:rFonts w:ascii="Arial" w:hAnsi="Arial" w:cs="Arial"/>
          <w:color w:val="000000" w:themeColor="text1"/>
          <w:lang w:val="en-US"/>
        </w:rPr>
        <w:t>Department of Neurology, St. Josef Hospital, Ruhr-University Bochum, Bochum, Germany</w:t>
      </w:r>
    </w:p>
    <w:p w:rsidR="00D808C8" w:rsidRDefault="00D808C8" w:rsidP="00D808C8">
      <w:pPr>
        <w:spacing w:line="240" w:lineRule="auto"/>
        <w:jc w:val="both"/>
        <w:rPr>
          <w:rFonts w:ascii="Arial" w:hAnsi="Arial" w:cs="Arial"/>
          <w:color w:val="000000" w:themeColor="text1"/>
          <w:lang w:val="en-US"/>
        </w:rPr>
      </w:pPr>
      <w:r>
        <w:rPr>
          <w:rFonts w:ascii="Arial" w:hAnsi="Arial" w:cs="Arial"/>
          <w:color w:val="000000" w:themeColor="text1"/>
          <w:vertAlign w:val="superscript"/>
          <w:lang w:val="en-US"/>
        </w:rPr>
        <w:t>2</w:t>
      </w:r>
      <w:r>
        <w:rPr>
          <w:rFonts w:ascii="Arial" w:hAnsi="Arial" w:cs="Arial"/>
          <w:color w:val="000000" w:themeColor="text1"/>
          <w:lang w:val="en-US"/>
        </w:rPr>
        <w:t>Institute of Neuroradiology, St. Josef Hospital, Ruhr-University Bochum, Bochum, Germany</w:t>
      </w:r>
    </w:p>
    <w:p w:rsidR="00D808C8" w:rsidRDefault="00D808C8" w:rsidP="00D808C8">
      <w:pPr>
        <w:spacing w:line="240" w:lineRule="auto"/>
        <w:jc w:val="both"/>
        <w:rPr>
          <w:rFonts w:ascii="Arial" w:hAnsi="Arial" w:cs="Arial"/>
          <w:color w:val="000000" w:themeColor="text1"/>
          <w:lang w:val="en-US"/>
        </w:rPr>
      </w:pPr>
      <w:r>
        <w:rPr>
          <w:rFonts w:ascii="Arial" w:hAnsi="Arial" w:cs="Arial"/>
          <w:color w:val="000000" w:themeColor="text1"/>
          <w:vertAlign w:val="superscript"/>
          <w:lang w:val="en-US"/>
        </w:rPr>
        <w:t>3</w:t>
      </w:r>
      <w:r>
        <w:rPr>
          <w:rFonts w:ascii="Arial" w:hAnsi="Arial" w:cs="Arial"/>
          <w:color w:val="000000" w:themeColor="text1"/>
          <w:lang w:val="en-US"/>
        </w:rPr>
        <w:t>Department of Biopsychology, Institute of Cognitive Neuroscience Ruhr-University Bochum, Bochum, Germany</w:t>
      </w:r>
    </w:p>
    <w:p w:rsidR="00D808C8" w:rsidRDefault="00D808C8" w:rsidP="00D808C8">
      <w:pPr>
        <w:spacing w:line="240" w:lineRule="auto"/>
        <w:jc w:val="both"/>
        <w:rPr>
          <w:rFonts w:ascii="Arial" w:hAnsi="Arial" w:cs="Arial"/>
          <w:color w:val="000000" w:themeColor="text1"/>
          <w:lang w:val="en-US"/>
        </w:rPr>
      </w:pPr>
      <w:r>
        <w:rPr>
          <w:rFonts w:ascii="Arial" w:hAnsi="Arial" w:cs="Arial"/>
          <w:color w:val="000000" w:themeColor="text1"/>
          <w:vertAlign w:val="superscript"/>
          <w:lang w:val="en-US"/>
        </w:rPr>
        <w:t>4</w:t>
      </w:r>
      <w:r>
        <w:rPr>
          <w:rFonts w:ascii="Arial" w:hAnsi="Arial" w:cs="Arial"/>
          <w:color w:val="000000" w:themeColor="text1"/>
          <w:lang w:val="en-US"/>
        </w:rPr>
        <w:t>Department of Diagnostic and Interventional Radiology and Nuclear Medicine, St. Josef Hospital, Ruhr-University Bochum, Bochum, Germany</w:t>
      </w:r>
    </w:p>
    <w:p w:rsidR="00D808C8" w:rsidRDefault="00D808C8" w:rsidP="00D808C8">
      <w:pPr>
        <w:spacing w:line="240" w:lineRule="auto"/>
        <w:jc w:val="both"/>
        <w:rPr>
          <w:rFonts w:ascii="Arial" w:hAnsi="Arial" w:cs="Arial"/>
          <w:color w:val="000000" w:themeColor="text1"/>
          <w:lang w:val="en-US"/>
        </w:rPr>
      </w:pPr>
    </w:p>
    <w:p w:rsidR="00D808C8" w:rsidRDefault="00D808C8" w:rsidP="00D808C8">
      <w:pPr>
        <w:spacing w:line="240" w:lineRule="auto"/>
        <w:jc w:val="both"/>
        <w:rPr>
          <w:rFonts w:ascii="Arial" w:hAnsi="Arial" w:cs="Arial"/>
          <w:color w:val="000000" w:themeColor="text1"/>
          <w:lang w:val="en-US"/>
        </w:rPr>
      </w:pPr>
      <w:r>
        <w:rPr>
          <w:rFonts w:ascii="Arial" w:hAnsi="Arial" w:cs="Arial"/>
          <w:color w:val="000000" w:themeColor="text1"/>
          <w:lang w:val="en-US"/>
        </w:rPr>
        <w:t xml:space="preserve">*Correspondence: </w:t>
      </w:r>
    </w:p>
    <w:p w:rsidR="00D808C8" w:rsidRDefault="00D808C8" w:rsidP="00D808C8">
      <w:pPr>
        <w:spacing w:line="240" w:lineRule="auto"/>
        <w:jc w:val="both"/>
        <w:rPr>
          <w:rFonts w:ascii="Arial" w:hAnsi="Arial" w:cs="Arial"/>
          <w:color w:val="000000" w:themeColor="text1"/>
          <w:lang w:val="en-US"/>
        </w:rPr>
      </w:pPr>
      <w:r>
        <w:rPr>
          <w:rFonts w:ascii="Arial" w:hAnsi="Arial" w:cs="Arial"/>
          <w:color w:val="000000" w:themeColor="text1"/>
          <w:lang w:val="en-US"/>
        </w:rPr>
        <w:t>Corresponding Author</w:t>
      </w:r>
    </w:p>
    <w:p w:rsidR="00D808C8" w:rsidRDefault="00C3728F" w:rsidP="00D808C8">
      <w:pPr>
        <w:spacing w:line="240" w:lineRule="auto"/>
        <w:jc w:val="both"/>
        <w:rPr>
          <w:rFonts w:ascii="Arial" w:hAnsi="Arial" w:cs="Arial"/>
          <w:color w:val="000000" w:themeColor="text1"/>
          <w:lang w:val="en-US"/>
        </w:rPr>
      </w:pPr>
      <w:r>
        <w:fldChar w:fldCharType="begin"/>
      </w:r>
      <w:r w:rsidRPr="00C3728F">
        <w:rPr>
          <w:lang w:val="en-US"/>
        </w:rPr>
        <w:instrText xml:space="preserve"> HYPERLINK "mailto:Ruth.Schneider@rub.de" </w:instrText>
      </w:r>
      <w:r>
        <w:fldChar w:fldCharType="separate"/>
      </w:r>
      <w:r w:rsidR="00D808C8">
        <w:rPr>
          <w:rStyle w:val="Hyperlink"/>
          <w:rFonts w:ascii="Arial" w:hAnsi="Arial" w:cs="Arial"/>
          <w:lang w:val="en-US"/>
        </w:rPr>
        <w:t>Ruth.Schneider@rub.de</w:t>
      </w:r>
      <w:r>
        <w:rPr>
          <w:rStyle w:val="Hyperlink"/>
          <w:rFonts w:ascii="Arial" w:hAnsi="Arial" w:cs="Arial"/>
          <w:lang w:val="en-US"/>
        </w:rPr>
        <w:fldChar w:fldCharType="end"/>
      </w:r>
    </w:p>
    <w:p w:rsidR="00D808C8" w:rsidRDefault="00D808C8" w:rsidP="00D808C8">
      <w:pPr>
        <w:spacing w:line="240" w:lineRule="auto"/>
        <w:jc w:val="both"/>
        <w:rPr>
          <w:rFonts w:ascii="Arial" w:hAnsi="Arial" w:cs="Arial"/>
          <w:color w:val="000000" w:themeColor="text1"/>
          <w:lang w:val="en-US"/>
        </w:rPr>
      </w:pPr>
      <w:r>
        <w:rPr>
          <w:rFonts w:ascii="Arial" w:hAnsi="Arial" w:cs="Arial"/>
          <w:color w:val="000000" w:themeColor="text1"/>
          <w:lang w:val="en-US"/>
        </w:rPr>
        <w:t>OCRID 0000-0002-0997-2725</w:t>
      </w:r>
    </w:p>
    <w:p w:rsidR="00A86957" w:rsidRDefault="00A86957">
      <w:pPr>
        <w:rPr>
          <w:rFonts w:ascii="Arial" w:hAnsi="Arial" w:cs="Arial"/>
          <w:b/>
          <w:lang w:val="en-US"/>
        </w:rPr>
      </w:pPr>
      <w:r>
        <w:rPr>
          <w:rFonts w:ascii="Arial" w:hAnsi="Arial" w:cs="Arial"/>
          <w:b/>
          <w:lang w:val="en-US"/>
        </w:rPr>
        <w:br w:type="page"/>
      </w:r>
    </w:p>
    <w:p w:rsidR="008C2485" w:rsidRPr="002E11BA" w:rsidRDefault="008C2485" w:rsidP="002E11BA">
      <w:pPr>
        <w:pStyle w:val="Listenabsatz"/>
        <w:numPr>
          <w:ilvl w:val="0"/>
          <w:numId w:val="1"/>
        </w:numPr>
        <w:rPr>
          <w:rFonts w:ascii="Arial" w:hAnsi="Arial" w:cs="Arial"/>
          <w:b/>
          <w:lang w:val="en-US"/>
        </w:rPr>
      </w:pPr>
      <w:r w:rsidRPr="002E11BA">
        <w:rPr>
          <w:rFonts w:ascii="Arial" w:hAnsi="Arial" w:cs="Arial"/>
          <w:b/>
          <w:lang w:val="en-US"/>
        </w:rPr>
        <w:lastRenderedPageBreak/>
        <w:t>Comparison of patient groups with or without cognitive testing</w:t>
      </w:r>
    </w:p>
    <w:p w:rsidR="008C2485" w:rsidRPr="008C2485" w:rsidRDefault="008C2485" w:rsidP="00A86957">
      <w:pPr>
        <w:rPr>
          <w:rFonts w:ascii="Arial" w:hAnsi="Arial" w:cs="Arial"/>
          <w:lang w:val="en-US"/>
        </w:rPr>
      </w:pPr>
      <w:r w:rsidRPr="008C2485">
        <w:rPr>
          <w:rFonts w:ascii="Arial" w:hAnsi="Arial" w:cs="Arial"/>
          <w:lang w:val="en-US"/>
        </w:rPr>
        <w:t>In the present study</w:t>
      </w:r>
      <w:r>
        <w:rPr>
          <w:rFonts w:ascii="Arial" w:hAnsi="Arial" w:cs="Arial"/>
          <w:lang w:val="en-US"/>
        </w:rPr>
        <w:t xml:space="preserve"> patients who received screening for cognitive impairment  (n=95)  were selected from a larger patient population (n=106) , for which quantitative DTI metrics had been investigated in a preceding TBSS analysis </w:t>
      </w:r>
      <w:r>
        <w:rPr>
          <w:rFonts w:ascii="Arial" w:hAnsi="Arial" w:cs="Arial"/>
          <w:lang w:val="en-US"/>
        </w:rPr>
        <w:fldChar w:fldCharType="begin"/>
      </w:r>
      <w:r>
        <w:rPr>
          <w:rFonts w:ascii="Arial" w:hAnsi="Arial" w:cs="Arial"/>
          <w:lang w:val="en-US"/>
        </w:rPr>
        <w:instrText xml:space="preserve"> ADDIN EN.CITE &lt;EndNote&gt;&lt;Cite&gt;&lt;Author&gt;Schneider&lt;/Author&gt;&lt;Year&gt;2019&lt;/Year&gt;&lt;RecNum&gt;65&lt;/RecNum&gt;&lt;DisplayText&gt;[15]&lt;/DisplayText&gt;&lt;record&gt;&lt;rec-number&gt;65&lt;/rec-number&gt;&lt;foreign-keys&gt;&lt;key app="EN" db-id="dxz05xaxsr9pdbevzzzvv22eedszfxa2ss2w" timestamp="1590937072"&gt;65&lt;/key&gt;&lt;/foreign-keys&gt;&lt;ref-type name="Journal Article"&gt;17&lt;/ref-type&gt;&lt;contributors&gt;&lt;authors&gt;&lt;author&gt;Schneider, R.&lt;/author&gt;&lt;author&gt;Genç, E.&lt;/author&gt;&lt;author&gt;Ahlborn, C.&lt;/author&gt;&lt;author&gt;Gold, R.&lt;/author&gt;&lt;author&gt;Lukas, C.&lt;/author&gt;&lt;author&gt;Bellenberg, B.&lt;/author&gt;&lt;/authors&gt;&lt;/contributors&gt;&lt;auth-address&gt;Department of Neurology, St. Josef Hospital, Ruhr University Bochum, Bochum, Germany.&amp;#xD;Department of Biopsychology, Institute of Cognitive Neuroscience, Ruhr University Bochum, Bochum, Germany.&amp;#xD;Institute of Neuroradiology, St. Josef Hospital, Ruhr University Bochum, Bochum, Germany.&lt;/auth-address&gt;&lt;titles&gt;&lt;title&gt;Temporal Dynamics of Diffusion Metrics in Early Multiple Sclerosis and Clinically Isolated Syndrome: A 2-Year Follow-Up Tract-Based Spatial Statistics Study&lt;/title&gt;&lt;secondary-title&gt;Front Neurol&lt;/secondary-title&gt;&lt;alt-title&gt;Frontiers in neurology&lt;/alt-title&gt;&lt;/titles&gt;&lt;periodical&gt;&lt;full-title&gt;Frontiers in neurology&lt;/full-title&gt;&lt;abbr-1&gt;Front Neurol&lt;/abbr-1&gt;&lt;/periodical&gt;&lt;alt-periodical&gt;&lt;full-title&gt;Frontiers in neurology&lt;/full-title&gt;&lt;abbr-1&gt;Front Neurol&lt;/abbr-1&gt;&lt;/alt-periodical&gt;&lt;pages&gt;1165&lt;/pages&gt;&lt;volume&gt;10&lt;/volume&gt;&lt;edition&gt;2019/11/22&lt;/edition&gt;&lt;keywords&gt;&lt;keyword&gt;clinically isolated syndrome (CIS)&lt;/keyword&gt;&lt;keyword&gt;diffusion tensor imaging (DTI)&lt;/keyword&gt;&lt;keyword&gt;fractional anisotropy (FA)&lt;/keyword&gt;&lt;keyword&gt;multiple sclerosis (MS)&lt;/keyword&gt;&lt;keyword&gt;radial diffusivity (RD)&lt;/keyword&gt;&lt;keyword&gt;tract-based spatial statistics (TBSS)&lt;/keyword&gt;&lt;/keywords&gt;&lt;dates&gt;&lt;year&gt;2019&lt;/year&gt;&lt;/dates&gt;&lt;isbn&gt;1664-2295 (Print)&amp;#xD;1664-2295&lt;/isbn&gt;&lt;accession-num&gt;31749760&lt;/accession-num&gt;&lt;urls&gt;&lt;/urls&gt;&lt;custom2&gt;PMC6848258&lt;/custom2&gt;&lt;electronic-resource-num&gt;10.3389/fneur.2019.01165&lt;/electronic-resource-num&gt;&lt;remote-database-provider&gt;NLM&lt;/remote-database-provider&gt;&lt;language&gt;eng&lt;/language&gt;&lt;/record&gt;&lt;/Cite&gt;&lt;/EndNote&gt;</w:instrText>
      </w:r>
      <w:r>
        <w:rPr>
          <w:rFonts w:ascii="Arial" w:hAnsi="Arial" w:cs="Arial"/>
          <w:lang w:val="en-US"/>
        </w:rPr>
        <w:fldChar w:fldCharType="separate"/>
      </w:r>
      <w:r>
        <w:rPr>
          <w:rFonts w:ascii="Arial" w:hAnsi="Arial" w:cs="Arial"/>
          <w:noProof/>
          <w:lang w:val="en-US"/>
        </w:rPr>
        <w:t>[Schneider R. et al , 2019]</w:t>
      </w:r>
      <w:r>
        <w:rPr>
          <w:rFonts w:ascii="Arial" w:hAnsi="Arial" w:cs="Arial"/>
          <w:lang w:val="en-US"/>
        </w:rPr>
        <w:fldChar w:fldCharType="end"/>
      </w:r>
      <w:r>
        <w:rPr>
          <w:rFonts w:ascii="Arial" w:hAnsi="Arial" w:cs="Arial"/>
          <w:lang w:val="en-US"/>
        </w:rPr>
        <w:t xml:space="preserve">. To confirm that there was no significant selection induced bias in the group of patients who were screened for cognitive impairment, we investigated group differences between the patient groups with or without cognitive testing. The results are shown in table S-1. </w:t>
      </w:r>
      <w:r w:rsidRPr="008C2485">
        <w:rPr>
          <w:rFonts w:ascii="Arial" w:hAnsi="Arial" w:cs="Arial"/>
          <w:lang w:val="en-US"/>
        </w:rPr>
        <w:t>There were no significant differences regarding age, EDSS or brain lesion load between the groups of patients who did or did not receive cognitive screening</w:t>
      </w:r>
      <w:r>
        <w:rPr>
          <w:rFonts w:ascii="Arial" w:hAnsi="Arial" w:cs="Arial"/>
          <w:lang w:val="en-US"/>
        </w:rPr>
        <w:t>.</w:t>
      </w:r>
    </w:p>
    <w:p w:rsidR="00A86957" w:rsidRPr="000C6C98" w:rsidRDefault="00A86957" w:rsidP="00A86957">
      <w:pPr>
        <w:rPr>
          <w:rFonts w:ascii="Arial" w:hAnsi="Arial" w:cs="Arial"/>
          <w:lang w:val="en-US"/>
        </w:rPr>
      </w:pPr>
      <w:r w:rsidRPr="000C6C98">
        <w:rPr>
          <w:rFonts w:ascii="Arial" w:hAnsi="Arial" w:cs="Arial"/>
          <w:b/>
          <w:lang w:val="en-US"/>
        </w:rPr>
        <w:t xml:space="preserve">Table </w:t>
      </w:r>
      <w:r>
        <w:rPr>
          <w:rFonts w:ascii="Arial" w:hAnsi="Arial" w:cs="Arial"/>
          <w:b/>
          <w:lang w:val="en-US"/>
        </w:rPr>
        <w:t>S-</w:t>
      </w:r>
      <w:r w:rsidRPr="000C6C98">
        <w:rPr>
          <w:rFonts w:ascii="Arial" w:hAnsi="Arial" w:cs="Arial"/>
          <w:b/>
          <w:lang w:val="en-US"/>
        </w:rPr>
        <w:t xml:space="preserve">1 </w:t>
      </w:r>
      <w:r>
        <w:rPr>
          <w:rFonts w:ascii="Arial" w:hAnsi="Arial" w:cs="Arial"/>
          <w:lang w:val="en-US"/>
        </w:rPr>
        <w:t>Comparison of demographic and clinical data of the patient group who were</w:t>
      </w:r>
      <w:r w:rsidRPr="000C6C98">
        <w:rPr>
          <w:rFonts w:ascii="Arial" w:hAnsi="Arial" w:cs="Arial"/>
          <w:lang w:val="en-US"/>
        </w:rPr>
        <w:t xml:space="preserve"> screen</w:t>
      </w:r>
      <w:r>
        <w:rPr>
          <w:rFonts w:ascii="Arial" w:hAnsi="Arial" w:cs="Arial"/>
          <w:lang w:val="en-US"/>
        </w:rPr>
        <w:t xml:space="preserve">ed </w:t>
      </w:r>
      <w:r w:rsidRPr="000C6C98">
        <w:rPr>
          <w:rFonts w:ascii="Arial" w:hAnsi="Arial" w:cs="Arial"/>
          <w:lang w:val="en-US"/>
        </w:rPr>
        <w:t>for CI</w:t>
      </w:r>
      <w:r>
        <w:rPr>
          <w:rFonts w:ascii="Arial" w:hAnsi="Arial" w:cs="Arial"/>
          <w:lang w:val="en-US"/>
        </w:rPr>
        <w:t xml:space="preserve"> </w:t>
      </w:r>
      <w:r w:rsidRPr="000C6C98">
        <w:rPr>
          <w:rFonts w:ascii="Arial" w:hAnsi="Arial" w:cs="Arial"/>
          <w:lang w:val="en-US"/>
        </w:rPr>
        <w:t>(MUSIC-cognition</w:t>
      </w:r>
      <w:r>
        <w:rPr>
          <w:rFonts w:ascii="Arial" w:hAnsi="Arial" w:cs="Arial"/>
          <w:lang w:val="en-US"/>
        </w:rPr>
        <w:t xml:space="preserve"> test</w:t>
      </w:r>
      <w:r w:rsidRPr="000C6C98">
        <w:rPr>
          <w:rFonts w:ascii="Arial" w:hAnsi="Arial" w:cs="Arial"/>
          <w:lang w:val="en-US"/>
        </w:rPr>
        <w:t>)</w:t>
      </w:r>
      <w:r>
        <w:rPr>
          <w:rFonts w:ascii="Arial" w:hAnsi="Arial" w:cs="Arial"/>
          <w:lang w:val="en-US"/>
        </w:rPr>
        <w:t xml:space="preserve"> compared to the patients who did not receive cognitive testing. The entire patient population refers to the participants of the preceding TBSS analysis </w:t>
      </w:r>
      <w:r>
        <w:rPr>
          <w:rFonts w:ascii="Arial" w:hAnsi="Arial" w:cs="Arial"/>
          <w:lang w:val="en-US"/>
        </w:rPr>
        <w:fldChar w:fldCharType="begin"/>
      </w:r>
      <w:r>
        <w:rPr>
          <w:rFonts w:ascii="Arial" w:hAnsi="Arial" w:cs="Arial"/>
          <w:lang w:val="en-US"/>
        </w:rPr>
        <w:instrText xml:space="preserve"> ADDIN EN.CITE &lt;EndNote&gt;&lt;Cite&gt;&lt;Author&gt;Schneider&lt;/Author&gt;&lt;Year&gt;2019&lt;/Year&gt;&lt;RecNum&gt;65&lt;/RecNum&gt;&lt;DisplayText&gt;[15]&lt;/DisplayText&gt;&lt;record&gt;&lt;rec-number&gt;65&lt;/rec-number&gt;&lt;foreign-keys&gt;&lt;key app="EN" db-id="dxz05xaxsr9pdbevzzzvv22eedszfxa2ss2w" timestamp="1590937072"&gt;65&lt;/key&gt;&lt;/foreign-keys&gt;&lt;ref-type name="Journal Article"&gt;17&lt;/ref-type&gt;&lt;contributors&gt;&lt;authors&gt;&lt;author&gt;Schneider, R.&lt;/author&gt;&lt;author&gt;Genç, E.&lt;/author&gt;&lt;author&gt;Ahlborn, C.&lt;/author&gt;&lt;author&gt;Gold, R.&lt;/author&gt;&lt;author&gt;Lukas, C.&lt;/author&gt;&lt;author&gt;Bellenberg, B.&lt;/author&gt;&lt;/authors&gt;&lt;/contributors&gt;&lt;auth-address&gt;Department of Neurology, St. Josef Hospital, Ruhr University Bochum, Bochum, Germany.&amp;#xD;Department of Biopsychology, Institute of Cognitive Neuroscience, Ruhr University Bochum, Bochum, Germany.&amp;#xD;Institute of Neuroradiology, St. Josef Hospital, Ruhr University Bochum, Bochum, Germany.&lt;/auth-address&gt;&lt;titles&gt;&lt;title&gt;Temporal Dynamics of Diffusion Metrics in Early Multiple Sclerosis and Clinically Isolated Syndrome: A 2-Year Follow-Up Tract-Based Spatial Statistics Study&lt;/title&gt;&lt;secondary-title&gt;Front Neurol&lt;/secondary-title&gt;&lt;alt-title&gt;Frontiers in neurology&lt;/alt-title&gt;&lt;/titles&gt;&lt;periodical&gt;&lt;full-title&gt;Frontiers in neurology&lt;/full-title&gt;&lt;abbr-1&gt;Front Neurol&lt;/abbr-1&gt;&lt;/periodical&gt;&lt;alt-periodical&gt;&lt;full-title&gt;Frontiers in neurology&lt;/full-title&gt;&lt;abbr-1&gt;Front Neurol&lt;/abbr-1&gt;&lt;/alt-periodical&gt;&lt;pages&gt;1165&lt;/pages&gt;&lt;volume&gt;10&lt;/volume&gt;&lt;edition&gt;2019/11/22&lt;/edition&gt;&lt;keywords&gt;&lt;keyword&gt;clinically isolated syndrome (CIS)&lt;/keyword&gt;&lt;keyword&gt;diffusion tensor imaging (DTI)&lt;/keyword&gt;&lt;keyword&gt;fractional anisotropy (FA)&lt;/keyword&gt;&lt;keyword&gt;multiple sclerosis (MS)&lt;/keyword&gt;&lt;keyword&gt;radial diffusivity (RD)&lt;/keyword&gt;&lt;keyword&gt;tract-based spatial statistics (TBSS)&lt;/keyword&gt;&lt;/keywords&gt;&lt;dates&gt;&lt;year&gt;2019&lt;/year&gt;&lt;/dates&gt;&lt;isbn&gt;1664-2295 (Print)&amp;#xD;1664-2295&lt;/isbn&gt;&lt;accession-num&gt;31749760&lt;/accession-num&gt;&lt;urls&gt;&lt;/urls&gt;&lt;custom2&gt;PMC6848258&lt;/custom2&gt;&lt;electronic-resource-num&gt;10.3389/fneur.2019.01165&lt;/electronic-resource-num&gt;&lt;remote-database-provider&gt;NLM&lt;/remote-database-provider&gt;&lt;language&gt;eng&lt;/language&gt;&lt;/record&gt;&lt;/Cite&gt;&lt;/EndNote&gt;</w:instrText>
      </w:r>
      <w:r>
        <w:rPr>
          <w:rFonts w:ascii="Arial" w:hAnsi="Arial" w:cs="Arial"/>
          <w:lang w:val="en-US"/>
        </w:rPr>
        <w:fldChar w:fldCharType="separate"/>
      </w:r>
      <w:r>
        <w:rPr>
          <w:rFonts w:ascii="Arial" w:hAnsi="Arial" w:cs="Arial"/>
          <w:noProof/>
          <w:lang w:val="en-US"/>
        </w:rPr>
        <w:t>[Schneider R. et al , 2019]</w:t>
      </w:r>
      <w:r>
        <w:rPr>
          <w:rFonts w:ascii="Arial" w:hAnsi="Arial" w:cs="Arial"/>
          <w:lang w:val="en-US"/>
        </w:rPr>
        <w:fldChar w:fldCharType="end"/>
      </w:r>
      <w:r>
        <w:rPr>
          <w:rFonts w:ascii="Arial" w:hAnsi="Arial" w:cs="Arial"/>
          <w:lang w:val="en-US"/>
        </w:rPr>
        <w:t>.</w:t>
      </w:r>
    </w:p>
    <w:tbl>
      <w:tblPr>
        <w:tblStyle w:val="Tabellenraster"/>
        <w:tblpPr w:leftFromText="141" w:rightFromText="141" w:vertAnchor="text" w:horzAnchor="margin" w:tblpY="9"/>
        <w:tblW w:w="6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561"/>
        <w:gridCol w:w="1635"/>
        <w:gridCol w:w="1842"/>
      </w:tblGrid>
      <w:tr w:rsidR="00A86957" w:rsidRPr="00780E38" w:rsidTr="005B33FD">
        <w:trPr>
          <w:trHeight w:val="225"/>
        </w:trPr>
        <w:tc>
          <w:tcPr>
            <w:tcW w:w="1951" w:type="dxa"/>
            <w:tcBorders>
              <w:top w:val="single" w:sz="4" w:space="0" w:color="auto"/>
              <w:bottom w:val="single" w:sz="4" w:space="0" w:color="auto"/>
            </w:tcBorders>
            <w:noWrap/>
            <w:hideMark/>
          </w:tcPr>
          <w:p w:rsidR="00A86957" w:rsidRPr="00252339" w:rsidRDefault="00A86957" w:rsidP="005B33FD">
            <w:pPr>
              <w:spacing w:line="360" w:lineRule="auto"/>
              <w:rPr>
                <w:rFonts w:ascii="Arial" w:eastAsia="Times New Roman" w:hAnsi="Arial" w:cs="Arial"/>
                <w:color w:val="000000"/>
                <w:lang w:val="en-US" w:eastAsia="de-DE"/>
              </w:rPr>
            </w:pPr>
            <w:r w:rsidRPr="00252339">
              <w:rPr>
                <w:rFonts w:ascii="Arial" w:eastAsia="Times New Roman" w:hAnsi="Arial" w:cs="Arial"/>
                <w:color w:val="000000"/>
                <w:lang w:val="en-US" w:eastAsia="de-DE"/>
              </w:rPr>
              <w:t> </w:t>
            </w:r>
          </w:p>
        </w:tc>
        <w:tc>
          <w:tcPr>
            <w:tcW w:w="1561" w:type="dxa"/>
            <w:tcBorders>
              <w:top w:val="single" w:sz="4" w:space="0" w:color="auto"/>
              <w:bottom w:val="single" w:sz="4" w:space="0" w:color="auto"/>
            </w:tcBorders>
            <w:noWrap/>
            <w:vAlign w:val="center"/>
            <w:hideMark/>
          </w:tcPr>
          <w:p w:rsidR="00A86957" w:rsidRPr="00780E38" w:rsidRDefault="00A86957" w:rsidP="005B33FD">
            <w:pPr>
              <w:spacing w:line="360" w:lineRule="auto"/>
              <w:jc w:val="center"/>
              <w:rPr>
                <w:rFonts w:ascii="Arial" w:eastAsia="Times New Roman" w:hAnsi="Arial" w:cs="Arial"/>
                <w:b/>
                <w:bCs/>
                <w:color w:val="000000"/>
                <w:lang w:eastAsia="de-DE"/>
              </w:rPr>
            </w:pPr>
            <w:proofErr w:type="spellStart"/>
            <w:r>
              <w:rPr>
                <w:rFonts w:ascii="Arial" w:eastAsia="Times New Roman" w:hAnsi="Arial" w:cs="Arial"/>
                <w:b/>
                <w:bCs/>
                <w:color w:val="000000"/>
                <w:lang w:eastAsia="de-DE"/>
              </w:rPr>
              <w:t>Patients</w:t>
            </w:r>
            <w:proofErr w:type="spellEnd"/>
            <w:r>
              <w:rPr>
                <w:rFonts w:ascii="Arial" w:eastAsia="Times New Roman" w:hAnsi="Arial" w:cs="Arial"/>
                <w:b/>
                <w:bCs/>
                <w:color w:val="000000"/>
                <w:lang w:eastAsia="de-DE"/>
              </w:rPr>
              <w:t xml:space="preserve"> </w:t>
            </w:r>
            <w:proofErr w:type="spellStart"/>
            <w:r>
              <w:rPr>
                <w:rFonts w:ascii="Arial" w:eastAsia="Times New Roman" w:hAnsi="Arial" w:cs="Arial"/>
                <w:b/>
                <w:bCs/>
                <w:color w:val="000000"/>
                <w:lang w:eastAsia="de-DE"/>
              </w:rPr>
              <w:t>with</w:t>
            </w:r>
            <w:proofErr w:type="spellEnd"/>
            <w:r>
              <w:rPr>
                <w:rFonts w:ascii="Arial" w:eastAsia="Times New Roman" w:hAnsi="Arial" w:cs="Arial"/>
                <w:b/>
                <w:bCs/>
                <w:color w:val="000000"/>
                <w:lang w:eastAsia="de-DE"/>
              </w:rPr>
              <w:t xml:space="preserve"> </w:t>
            </w:r>
            <w:proofErr w:type="spellStart"/>
            <w:r>
              <w:rPr>
                <w:rFonts w:ascii="Arial" w:eastAsia="Times New Roman" w:hAnsi="Arial" w:cs="Arial"/>
                <w:b/>
                <w:bCs/>
                <w:color w:val="000000"/>
                <w:lang w:eastAsia="de-DE"/>
              </w:rPr>
              <w:t>cognitive</w:t>
            </w:r>
            <w:proofErr w:type="spellEnd"/>
            <w:r>
              <w:rPr>
                <w:rFonts w:ascii="Arial" w:eastAsia="Times New Roman" w:hAnsi="Arial" w:cs="Arial"/>
                <w:b/>
                <w:bCs/>
                <w:color w:val="000000"/>
                <w:lang w:eastAsia="de-DE"/>
              </w:rPr>
              <w:t xml:space="preserve"> </w:t>
            </w:r>
            <w:proofErr w:type="spellStart"/>
            <w:r>
              <w:rPr>
                <w:rFonts w:ascii="Arial" w:eastAsia="Times New Roman" w:hAnsi="Arial" w:cs="Arial"/>
                <w:b/>
                <w:bCs/>
                <w:color w:val="000000"/>
                <w:lang w:eastAsia="de-DE"/>
              </w:rPr>
              <w:t>testing</w:t>
            </w:r>
            <w:proofErr w:type="spellEnd"/>
          </w:p>
        </w:tc>
        <w:tc>
          <w:tcPr>
            <w:tcW w:w="1635" w:type="dxa"/>
            <w:tcBorders>
              <w:top w:val="single" w:sz="4" w:space="0" w:color="auto"/>
              <w:bottom w:val="single" w:sz="4" w:space="0" w:color="auto"/>
            </w:tcBorders>
            <w:noWrap/>
            <w:vAlign w:val="center"/>
            <w:hideMark/>
          </w:tcPr>
          <w:p w:rsidR="00A86957" w:rsidRPr="00780E38" w:rsidRDefault="00A86957" w:rsidP="005B33FD">
            <w:pPr>
              <w:spacing w:line="360" w:lineRule="auto"/>
              <w:jc w:val="center"/>
              <w:rPr>
                <w:rFonts w:ascii="Arial" w:eastAsia="Times New Roman" w:hAnsi="Arial" w:cs="Arial"/>
                <w:b/>
                <w:bCs/>
                <w:color w:val="000000"/>
                <w:lang w:eastAsia="de-DE"/>
              </w:rPr>
            </w:pPr>
            <w:proofErr w:type="spellStart"/>
            <w:r>
              <w:rPr>
                <w:rFonts w:ascii="Arial" w:eastAsia="Times New Roman" w:hAnsi="Arial" w:cs="Arial"/>
                <w:b/>
                <w:bCs/>
                <w:color w:val="000000"/>
                <w:lang w:eastAsia="de-DE"/>
              </w:rPr>
              <w:t>Patients</w:t>
            </w:r>
            <w:proofErr w:type="spellEnd"/>
            <w:r>
              <w:rPr>
                <w:rFonts w:ascii="Arial" w:eastAsia="Times New Roman" w:hAnsi="Arial" w:cs="Arial"/>
                <w:b/>
                <w:bCs/>
                <w:color w:val="000000"/>
                <w:lang w:eastAsia="de-DE"/>
              </w:rPr>
              <w:t xml:space="preserve"> </w:t>
            </w:r>
            <w:proofErr w:type="spellStart"/>
            <w:r>
              <w:rPr>
                <w:rFonts w:ascii="Arial" w:eastAsia="Times New Roman" w:hAnsi="Arial" w:cs="Arial"/>
                <w:b/>
                <w:bCs/>
                <w:color w:val="000000"/>
                <w:lang w:eastAsia="de-DE"/>
              </w:rPr>
              <w:t>without</w:t>
            </w:r>
            <w:proofErr w:type="spellEnd"/>
            <w:r>
              <w:rPr>
                <w:rFonts w:ascii="Arial" w:eastAsia="Times New Roman" w:hAnsi="Arial" w:cs="Arial"/>
                <w:b/>
                <w:bCs/>
                <w:color w:val="000000"/>
                <w:lang w:eastAsia="de-DE"/>
              </w:rPr>
              <w:t xml:space="preserve"> </w:t>
            </w:r>
            <w:proofErr w:type="spellStart"/>
            <w:r>
              <w:rPr>
                <w:rFonts w:ascii="Arial" w:eastAsia="Times New Roman" w:hAnsi="Arial" w:cs="Arial"/>
                <w:b/>
                <w:bCs/>
                <w:color w:val="000000"/>
                <w:lang w:eastAsia="de-DE"/>
              </w:rPr>
              <w:t>cognitive</w:t>
            </w:r>
            <w:proofErr w:type="spellEnd"/>
            <w:r>
              <w:rPr>
                <w:rFonts w:ascii="Arial" w:eastAsia="Times New Roman" w:hAnsi="Arial" w:cs="Arial"/>
                <w:b/>
                <w:bCs/>
                <w:color w:val="000000"/>
                <w:lang w:eastAsia="de-DE"/>
              </w:rPr>
              <w:t xml:space="preserve"> </w:t>
            </w:r>
            <w:proofErr w:type="spellStart"/>
            <w:r>
              <w:rPr>
                <w:rFonts w:ascii="Arial" w:eastAsia="Times New Roman" w:hAnsi="Arial" w:cs="Arial"/>
                <w:b/>
                <w:bCs/>
                <w:color w:val="000000"/>
                <w:lang w:eastAsia="de-DE"/>
              </w:rPr>
              <w:t>testing</w:t>
            </w:r>
            <w:proofErr w:type="spellEnd"/>
          </w:p>
        </w:tc>
        <w:tc>
          <w:tcPr>
            <w:tcW w:w="1842" w:type="dxa"/>
            <w:tcBorders>
              <w:top w:val="single" w:sz="4" w:space="0" w:color="auto"/>
              <w:bottom w:val="single" w:sz="4" w:space="0" w:color="auto"/>
            </w:tcBorders>
            <w:vAlign w:val="center"/>
            <w:hideMark/>
          </w:tcPr>
          <w:p w:rsidR="00A86957" w:rsidRPr="00780E38" w:rsidRDefault="00A86957" w:rsidP="005B33FD">
            <w:pPr>
              <w:spacing w:line="360" w:lineRule="auto"/>
              <w:jc w:val="center"/>
              <w:rPr>
                <w:rFonts w:ascii="Arial" w:eastAsia="Times New Roman" w:hAnsi="Arial" w:cs="Arial"/>
                <w:b/>
                <w:bCs/>
                <w:color w:val="000000"/>
                <w:lang w:eastAsia="de-DE"/>
              </w:rPr>
            </w:pPr>
            <w:r>
              <w:rPr>
                <w:rFonts w:ascii="Arial" w:eastAsia="Times New Roman" w:hAnsi="Arial" w:cs="Arial"/>
                <w:b/>
                <w:bCs/>
                <w:color w:val="000000"/>
                <w:lang w:eastAsia="de-DE"/>
              </w:rPr>
              <w:t>p-</w:t>
            </w:r>
            <w:proofErr w:type="spellStart"/>
            <w:r>
              <w:rPr>
                <w:rFonts w:ascii="Arial" w:eastAsia="Times New Roman" w:hAnsi="Arial" w:cs="Arial"/>
                <w:b/>
                <w:bCs/>
                <w:color w:val="000000"/>
                <w:lang w:eastAsia="de-DE"/>
              </w:rPr>
              <w:t>value</w:t>
            </w:r>
            <w:proofErr w:type="spellEnd"/>
          </w:p>
        </w:tc>
      </w:tr>
      <w:tr w:rsidR="00A86957" w:rsidRPr="00780E38" w:rsidTr="005B33FD">
        <w:trPr>
          <w:trHeight w:val="454"/>
        </w:trPr>
        <w:tc>
          <w:tcPr>
            <w:tcW w:w="1951" w:type="dxa"/>
            <w:tcBorders>
              <w:top w:val="single" w:sz="4" w:space="0" w:color="auto"/>
            </w:tcBorders>
            <w:vAlign w:val="center"/>
            <w:hideMark/>
          </w:tcPr>
          <w:p w:rsidR="00A86957" w:rsidRPr="00780E38" w:rsidRDefault="00A86957" w:rsidP="005B33FD">
            <w:pPr>
              <w:spacing w:line="360" w:lineRule="auto"/>
              <w:rPr>
                <w:rFonts w:ascii="Arial" w:eastAsia="Times New Roman" w:hAnsi="Arial" w:cs="Arial"/>
                <w:b/>
                <w:bCs/>
                <w:color w:val="000000"/>
                <w:lang w:eastAsia="de-DE"/>
              </w:rPr>
            </w:pPr>
            <w:r>
              <w:rPr>
                <w:rFonts w:ascii="Arial" w:eastAsia="Times New Roman" w:hAnsi="Arial" w:cs="Arial"/>
                <w:b/>
                <w:bCs/>
                <w:i/>
                <w:color w:val="000000"/>
                <w:lang w:eastAsia="de-DE"/>
              </w:rPr>
              <w:t>n</w:t>
            </w:r>
          </w:p>
        </w:tc>
        <w:tc>
          <w:tcPr>
            <w:tcW w:w="1561" w:type="dxa"/>
            <w:tcBorders>
              <w:top w:val="single" w:sz="4" w:space="0" w:color="auto"/>
            </w:tcBorders>
            <w:noWrap/>
            <w:vAlign w:val="center"/>
            <w:hideMark/>
          </w:tcPr>
          <w:p w:rsidR="00A86957" w:rsidRPr="00780E38" w:rsidRDefault="00A86957" w:rsidP="005B33FD">
            <w:pPr>
              <w:spacing w:line="360" w:lineRule="auto"/>
              <w:jc w:val="center"/>
              <w:rPr>
                <w:rFonts w:ascii="Arial" w:eastAsia="Times New Roman" w:hAnsi="Arial" w:cs="Arial"/>
                <w:color w:val="000000"/>
                <w:lang w:eastAsia="de-DE"/>
              </w:rPr>
            </w:pPr>
            <w:r>
              <w:rPr>
                <w:rFonts w:ascii="Arial" w:eastAsia="Times New Roman" w:hAnsi="Arial" w:cs="Arial"/>
                <w:color w:val="000000"/>
                <w:lang w:eastAsia="de-DE"/>
              </w:rPr>
              <w:t>95</w:t>
            </w:r>
          </w:p>
        </w:tc>
        <w:tc>
          <w:tcPr>
            <w:tcW w:w="1635" w:type="dxa"/>
            <w:tcBorders>
              <w:top w:val="single" w:sz="4" w:space="0" w:color="auto"/>
            </w:tcBorders>
            <w:noWrap/>
            <w:vAlign w:val="center"/>
            <w:hideMark/>
          </w:tcPr>
          <w:p w:rsidR="00A86957" w:rsidRPr="00780E38" w:rsidRDefault="00A86957" w:rsidP="005B33FD">
            <w:pPr>
              <w:spacing w:line="360" w:lineRule="auto"/>
              <w:jc w:val="center"/>
              <w:rPr>
                <w:rFonts w:ascii="Arial" w:eastAsia="Times New Roman" w:hAnsi="Arial" w:cs="Arial"/>
                <w:color w:val="000000"/>
                <w:lang w:eastAsia="de-DE"/>
              </w:rPr>
            </w:pPr>
            <w:r>
              <w:rPr>
                <w:rFonts w:ascii="Arial" w:eastAsia="Times New Roman" w:hAnsi="Arial" w:cs="Arial"/>
                <w:color w:val="000000"/>
                <w:lang w:eastAsia="de-DE"/>
              </w:rPr>
              <w:t>11</w:t>
            </w:r>
          </w:p>
        </w:tc>
        <w:tc>
          <w:tcPr>
            <w:tcW w:w="1842" w:type="dxa"/>
            <w:tcBorders>
              <w:top w:val="single" w:sz="4" w:space="0" w:color="auto"/>
            </w:tcBorders>
            <w:vAlign w:val="center"/>
            <w:hideMark/>
          </w:tcPr>
          <w:p w:rsidR="00A86957" w:rsidRPr="00780E38" w:rsidRDefault="00A86957" w:rsidP="005B33FD">
            <w:pPr>
              <w:spacing w:line="36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r>
      <w:tr w:rsidR="00A86957" w:rsidRPr="00780E38" w:rsidTr="005B33FD">
        <w:trPr>
          <w:trHeight w:val="300"/>
        </w:trPr>
        <w:tc>
          <w:tcPr>
            <w:tcW w:w="1951" w:type="dxa"/>
            <w:hideMark/>
          </w:tcPr>
          <w:p w:rsidR="00A86957" w:rsidRPr="00C54E0A" w:rsidRDefault="00A86957" w:rsidP="005B33FD">
            <w:pPr>
              <w:spacing w:line="360" w:lineRule="auto"/>
              <w:rPr>
                <w:rFonts w:ascii="Arial" w:eastAsia="Times New Roman" w:hAnsi="Arial" w:cs="Arial"/>
                <w:b/>
                <w:color w:val="000000"/>
                <w:lang w:eastAsia="de-DE"/>
              </w:rPr>
            </w:pPr>
            <w:proofErr w:type="spellStart"/>
            <w:r w:rsidRPr="00C54E0A">
              <w:rPr>
                <w:rFonts w:ascii="Arial" w:eastAsia="Times New Roman" w:hAnsi="Arial" w:cs="Arial"/>
                <w:b/>
                <w:color w:val="000000"/>
                <w:lang w:eastAsia="de-DE"/>
              </w:rPr>
              <w:t>female</w:t>
            </w:r>
            <w:proofErr w:type="spellEnd"/>
            <w:r w:rsidRPr="00C54E0A">
              <w:rPr>
                <w:rFonts w:ascii="Arial" w:eastAsia="Times New Roman" w:hAnsi="Arial" w:cs="Arial"/>
                <w:b/>
                <w:color w:val="000000"/>
                <w:lang w:eastAsia="de-DE"/>
              </w:rPr>
              <w:t>/male</w:t>
            </w:r>
          </w:p>
        </w:tc>
        <w:tc>
          <w:tcPr>
            <w:tcW w:w="1561" w:type="dxa"/>
            <w:noWrap/>
            <w:hideMark/>
          </w:tcPr>
          <w:p w:rsidR="00A86957" w:rsidRPr="00780E38" w:rsidRDefault="00A86957" w:rsidP="005B33FD">
            <w:pPr>
              <w:spacing w:line="360" w:lineRule="auto"/>
              <w:jc w:val="center"/>
              <w:rPr>
                <w:rFonts w:ascii="Arial" w:eastAsia="Times New Roman" w:hAnsi="Arial" w:cs="Arial"/>
                <w:color w:val="000000"/>
                <w:lang w:eastAsia="de-DE"/>
              </w:rPr>
            </w:pPr>
            <w:r>
              <w:rPr>
                <w:rFonts w:ascii="Arial" w:eastAsia="Times New Roman" w:hAnsi="Arial" w:cs="Arial"/>
                <w:color w:val="000000"/>
                <w:lang w:eastAsia="de-DE"/>
              </w:rPr>
              <w:t>61/34</w:t>
            </w:r>
          </w:p>
        </w:tc>
        <w:tc>
          <w:tcPr>
            <w:tcW w:w="1635" w:type="dxa"/>
            <w:noWrap/>
            <w:hideMark/>
          </w:tcPr>
          <w:p w:rsidR="00A86957" w:rsidRPr="00780E38" w:rsidRDefault="00A86957" w:rsidP="005B33FD">
            <w:pPr>
              <w:spacing w:line="360" w:lineRule="auto"/>
              <w:jc w:val="center"/>
              <w:rPr>
                <w:rFonts w:ascii="Arial" w:eastAsia="Times New Roman" w:hAnsi="Arial" w:cs="Arial"/>
                <w:color w:val="000000"/>
                <w:lang w:eastAsia="de-DE"/>
              </w:rPr>
            </w:pPr>
            <w:r>
              <w:rPr>
                <w:rFonts w:ascii="Arial" w:eastAsia="Times New Roman" w:hAnsi="Arial" w:cs="Arial"/>
                <w:color w:val="000000"/>
                <w:lang w:eastAsia="de-DE"/>
              </w:rPr>
              <w:t>7</w:t>
            </w:r>
            <w:r w:rsidRPr="00780E38">
              <w:rPr>
                <w:rFonts w:ascii="Arial" w:eastAsia="Times New Roman" w:hAnsi="Arial" w:cs="Arial"/>
                <w:color w:val="000000"/>
                <w:lang w:eastAsia="de-DE"/>
              </w:rPr>
              <w:t>/</w:t>
            </w:r>
            <w:r>
              <w:rPr>
                <w:rFonts w:ascii="Arial" w:eastAsia="Times New Roman" w:hAnsi="Arial" w:cs="Arial"/>
                <w:color w:val="000000"/>
                <w:lang w:eastAsia="de-DE"/>
              </w:rPr>
              <w:t>4</w:t>
            </w:r>
          </w:p>
        </w:tc>
        <w:tc>
          <w:tcPr>
            <w:tcW w:w="1842" w:type="dxa"/>
            <w:hideMark/>
          </w:tcPr>
          <w:p w:rsidR="00A86957" w:rsidRPr="00780E38" w:rsidRDefault="00A86957" w:rsidP="005B33FD">
            <w:pPr>
              <w:spacing w:line="360" w:lineRule="auto"/>
              <w:jc w:val="center"/>
              <w:rPr>
                <w:rFonts w:ascii="Arial" w:eastAsia="Times New Roman" w:hAnsi="Arial" w:cs="Arial"/>
                <w:color w:val="000000"/>
                <w:lang w:eastAsia="de-DE"/>
              </w:rPr>
            </w:pPr>
            <w:proofErr w:type="spellStart"/>
            <w:r w:rsidRPr="00780E38">
              <w:rPr>
                <w:rFonts w:ascii="Arial" w:eastAsia="Times New Roman" w:hAnsi="Arial" w:cs="Arial"/>
                <w:color w:val="000000"/>
                <w:lang w:eastAsia="de-DE"/>
              </w:rPr>
              <w:t>n.s.</w:t>
            </w:r>
            <w:r w:rsidRPr="00780E38">
              <w:rPr>
                <w:rFonts w:ascii="Arial" w:eastAsia="Times New Roman" w:hAnsi="Arial" w:cs="Arial"/>
                <w:color w:val="000000"/>
                <w:vertAlign w:val="superscript"/>
                <w:lang w:eastAsia="de-DE"/>
              </w:rPr>
              <w:t>a</w:t>
            </w:r>
            <w:proofErr w:type="spellEnd"/>
          </w:p>
        </w:tc>
      </w:tr>
      <w:tr w:rsidR="00A86957" w:rsidRPr="00F934C0" w:rsidTr="005B33FD">
        <w:trPr>
          <w:trHeight w:val="300"/>
        </w:trPr>
        <w:tc>
          <w:tcPr>
            <w:tcW w:w="1951" w:type="dxa"/>
            <w:hideMark/>
          </w:tcPr>
          <w:p w:rsidR="00A86957" w:rsidRDefault="00A86957" w:rsidP="005B33FD">
            <w:pPr>
              <w:spacing w:line="360" w:lineRule="auto"/>
              <w:rPr>
                <w:rFonts w:ascii="Arial" w:eastAsia="Times New Roman" w:hAnsi="Arial" w:cs="Arial"/>
                <w:color w:val="000000"/>
                <w:lang w:eastAsia="de-DE"/>
              </w:rPr>
            </w:pPr>
            <w:r w:rsidRPr="00780E38">
              <w:rPr>
                <w:rFonts w:ascii="Arial" w:eastAsia="Times New Roman" w:hAnsi="Arial" w:cs="Arial"/>
                <w:b/>
                <w:bCs/>
                <w:color w:val="000000"/>
                <w:lang w:eastAsia="de-DE"/>
              </w:rPr>
              <w:t>Age</w:t>
            </w:r>
            <w:r>
              <w:rPr>
                <w:rFonts w:ascii="Arial" w:eastAsia="Times New Roman" w:hAnsi="Arial" w:cs="Arial"/>
                <w:b/>
                <w:bCs/>
                <w:color w:val="000000"/>
                <w:lang w:eastAsia="de-DE"/>
              </w:rPr>
              <w:t xml:space="preserve"> </w:t>
            </w:r>
            <w:r w:rsidRPr="00C54E0A">
              <w:rPr>
                <w:rFonts w:ascii="Arial" w:eastAsia="Times New Roman" w:hAnsi="Arial" w:cs="Arial"/>
                <w:bCs/>
                <w:color w:val="000000"/>
                <w:lang w:eastAsia="de-DE"/>
              </w:rPr>
              <w:t>[</w:t>
            </w:r>
            <w:proofErr w:type="spellStart"/>
            <w:r w:rsidRPr="00C54E0A">
              <w:rPr>
                <w:rFonts w:ascii="Arial" w:eastAsia="Times New Roman" w:hAnsi="Arial" w:cs="Arial"/>
                <w:bCs/>
                <w:color w:val="000000"/>
                <w:lang w:eastAsia="de-DE"/>
              </w:rPr>
              <w:t>years</w:t>
            </w:r>
            <w:proofErr w:type="spellEnd"/>
            <w:r w:rsidRPr="00C54E0A">
              <w:rPr>
                <w:rFonts w:ascii="Arial" w:eastAsia="Times New Roman" w:hAnsi="Arial" w:cs="Arial"/>
                <w:bCs/>
                <w:color w:val="000000"/>
                <w:lang w:eastAsia="de-DE"/>
              </w:rPr>
              <w:t>]</w:t>
            </w:r>
          </w:p>
          <w:p w:rsidR="00A86957" w:rsidRPr="00217319" w:rsidRDefault="00A86957" w:rsidP="005B33FD">
            <w:pPr>
              <w:spacing w:line="360" w:lineRule="auto"/>
              <w:rPr>
                <w:rFonts w:ascii="Arial" w:eastAsia="Times New Roman" w:hAnsi="Arial" w:cs="Arial"/>
                <w:b/>
                <w:bCs/>
                <w:color w:val="000000"/>
                <w:sz w:val="20"/>
                <w:szCs w:val="20"/>
                <w:lang w:eastAsia="de-DE"/>
              </w:rPr>
            </w:pPr>
            <w:r w:rsidRPr="00217319">
              <w:rPr>
                <w:rFonts w:ascii="Arial" w:eastAsia="Times New Roman" w:hAnsi="Arial" w:cs="Arial"/>
                <w:color w:val="000000"/>
                <w:sz w:val="20"/>
                <w:szCs w:val="20"/>
                <w:lang w:eastAsia="de-DE"/>
              </w:rPr>
              <w:t>(</w:t>
            </w:r>
            <w:proofErr w:type="spellStart"/>
            <w:r w:rsidRPr="00217319">
              <w:rPr>
                <w:rFonts w:ascii="Arial" w:eastAsia="Times New Roman" w:hAnsi="Arial" w:cs="Arial"/>
                <w:color w:val="000000"/>
                <w:sz w:val="20"/>
                <w:szCs w:val="20"/>
                <w:lang w:eastAsia="de-DE"/>
              </w:rPr>
              <w:t>mean</w:t>
            </w:r>
            <w:r w:rsidRPr="00217319">
              <w:rPr>
                <w:rFonts w:ascii="Arial" w:hAnsi="Arial" w:cs="Arial"/>
                <w:color w:val="000000"/>
                <w:sz w:val="20"/>
                <w:szCs w:val="20"/>
              </w:rPr>
              <w:t>±SD</w:t>
            </w:r>
            <w:proofErr w:type="spellEnd"/>
            <w:r w:rsidRPr="00217319">
              <w:rPr>
                <w:rFonts w:ascii="Arial" w:hAnsi="Arial" w:cs="Arial"/>
                <w:color w:val="000000"/>
                <w:sz w:val="20"/>
                <w:szCs w:val="20"/>
              </w:rPr>
              <w:t>)</w:t>
            </w:r>
          </w:p>
        </w:tc>
        <w:tc>
          <w:tcPr>
            <w:tcW w:w="1561" w:type="dxa"/>
            <w:noWrap/>
            <w:hideMark/>
          </w:tcPr>
          <w:p w:rsidR="00A86957" w:rsidRPr="00780E38" w:rsidRDefault="00A86957" w:rsidP="005B33FD">
            <w:pPr>
              <w:spacing w:line="360" w:lineRule="auto"/>
              <w:jc w:val="center"/>
              <w:rPr>
                <w:rFonts w:ascii="Arial" w:eastAsia="Times New Roman" w:hAnsi="Arial" w:cs="Arial"/>
                <w:color w:val="000000"/>
                <w:lang w:eastAsia="de-DE"/>
              </w:rPr>
            </w:pPr>
            <w:r>
              <w:rPr>
                <w:rFonts w:ascii="Arial" w:eastAsia="Times New Roman" w:hAnsi="Arial" w:cs="Arial"/>
                <w:color w:val="000000"/>
                <w:lang w:eastAsia="de-DE"/>
              </w:rPr>
              <w:t>36</w:t>
            </w:r>
            <w:r>
              <w:rPr>
                <w:rFonts w:ascii="Arial" w:hAnsi="Arial" w:cs="Arial"/>
                <w:color w:val="000000"/>
              </w:rPr>
              <w:t>±</w:t>
            </w:r>
            <w:r w:rsidRPr="00780E38">
              <w:rPr>
                <w:rFonts w:ascii="Arial" w:eastAsia="Times New Roman" w:hAnsi="Arial" w:cs="Arial"/>
                <w:color w:val="000000"/>
                <w:lang w:eastAsia="de-DE"/>
              </w:rPr>
              <w:t>1</w:t>
            </w:r>
            <w:r>
              <w:rPr>
                <w:rFonts w:ascii="Arial" w:eastAsia="Times New Roman" w:hAnsi="Arial" w:cs="Arial"/>
                <w:color w:val="000000"/>
                <w:lang w:eastAsia="de-DE"/>
              </w:rPr>
              <w:t>1</w:t>
            </w:r>
          </w:p>
        </w:tc>
        <w:tc>
          <w:tcPr>
            <w:tcW w:w="1635" w:type="dxa"/>
            <w:noWrap/>
            <w:hideMark/>
          </w:tcPr>
          <w:p w:rsidR="00A86957" w:rsidRPr="00780E38" w:rsidRDefault="00A86957" w:rsidP="005B33FD">
            <w:pPr>
              <w:spacing w:line="360" w:lineRule="auto"/>
              <w:jc w:val="center"/>
              <w:rPr>
                <w:rFonts w:ascii="Arial" w:eastAsia="Times New Roman" w:hAnsi="Arial" w:cs="Arial"/>
                <w:color w:val="000000"/>
                <w:lang w:eastAsia="de-DE"/>
              </w:rPr>
            </w:pPr>
            <w:r w:rsidRPr="00780E38">
              <w:rPr>
                <w:rFonts w:ascii="Arial" w:eastAsia="Times New Roman" w:hAnsi="Arial" w:cs="Arial"/>
                <w:color w:val="000000"/>
                <w:lang w:eastAsia="de-DE"/>
              </w:rPr>
              <w:t>3</w:t>
            </w:r>
            <w:r>
              <w:rPr>
                <w:rFonts w:ascii="Arial" w:eastAsia="Times New Roman" w:hAnsi="Arial" w:cs="Arial"/>
                <w:color w:val="000000"/>
                <w:lang w:eastAsia="de-DE"/>
              </w:rPr>
              <w:t>6</w:t>
            </w:r>
            <w:r>
              <w:rPr>
                <w:rFonts w:ascii="Arial" w:hAnsi="Arial" w:cs="Arial"/>
                <w:color w:val="000000"/>
              </w:rPr>
              <w:t>±</w:t>
            </w:r>
            <w:r>
              <w:rPr>
                <w:rFonts w:ascii="Arial" w:eastAsia="Times New Roman" w:hAnsi="Arial" w:cs="Arial"/>
                <w:color w:val="000000"/>
                <w:lang w:eastAsia="de-DE"/>
              </w:rPr>
              <w:t>13</w:t>
            </w:r>
          </w:p>
        </w:tc>
        <w:tc>
          <w:tcPr>
            <w:tcW w:w="1842" w:type="dxa"/>
            <w:hideMark/>
          </w:tcPr>
          <w:p w:rsidR="00A86957" w:rsidRPr="00F04FC7" w:rsidRDefault="00A86957" w:rsidP="005B33FD">
            <w:pPr>
              <w:spacing w:line="360" w:lineRule="auto"/>
              <w:jc w:val="center"/>
              <w:rPr>
                <w:rFonts w:ascii="Arial" w:eastAsia="Times New Roman" w:hAnsi="Arial" w:cs="Arial"/>
                <w:color w:val="000000"/>
                <w:lang w:val="en-US" w:eastAsia="de-DE"/>
              </w:rPr>
            </w:pPr>
            <w:proofErr w:type="spellStart"/>
            <w:r w:rsidRPr="00780E38">
              <w:rPr>
                <w:rFonts w:ascii="Arial" w:eastAsia="Times New Roman" w:hAnsi="Arial" w:cs="Arial"/>
                <w:color w:val="000000"/>
                <w:lang w:eastAsia="de-DE"/>
              </w:rPr>
              <w:t>n.s</w:t>
            </w:r>
            <w:proofErr w:type="spellEnd"/>
            <w:r w:rsidRPr="00780E38">
              <w:rPr>
                <w:rFonts w:ascii="Arial" w:eastAsia="Times New Roman" w:hAnsi="Arial" w:cs="Arial"/>
                <w:color w:val="000000"/>
                <w:lang w:eastAsia="de-DE"/>
              </w:rPr>
              <w:t>.</w:t>
            </w:r>
            <w:r w:rsidRPr="00E647AB">
              <w:rPr>
                <w:rFonts w:ascii="Arial" w:eastAsia="Times New Roman" w:hAnsi="Arial" w:cs="Arial"/>
                <w:color w:val="000000"/>
                <w:sz w:val="18"/>
                <w:szCs w:val="18"/>
                <w:vertAlign w:val="superscript"/>
                <w:lang w:val="en-US" w:eastAsia="de-DE"/>
              </w:rPr>
              <w:t>b</w:t>
            </w:r>
          </w:p>
        </w:tc>
      </w:tr>
      <w:tr w:rsidR="00A86957" w:rsidRPr="00780E38" w:rsidTr="005B33FD">
        <w:trPr>
          <w:trHeight w:val="585"/>
        </w:trPr>
        <w:tc>
          <w:tcPr>
            <w:tcW w:w="1951" w:type="dxa"/>
            <w:hideMark/>
          </w:tcPr>
          <w:p w:rsidR="00A86957" w:rsidRPr="00F04FC7" w:rsidRDefault="00A86957" w:rsidP="005B33FD">
            <w:pPr>
              <w:spacing w:line="360" w:lineRule="auto"/>
              <w:rPr>
                <w:rFonts w:ascii="Arial" w:eastAsia="Times New Roman" w:hAnsi="Arial" w:cs="Arial"/>
                <w:b/>
                <w:bCs/>
                <w:color w:val="000000"/>
                <w:lang w:val="en-US" w:eastAsia="de-DE"/>
              </w:rPr>
            </w:pPr>
            <w:r w:rsidRPr="00F04FC7">
              <w:rPr>
                <w:rFonts w:ascii="Arial" w:eastAsia="Times New Roman" w:hAnsi="Arial" w:cs="Arial"/>
                <w:b/>
                <w:bCs/>
                <w:color w:val="000000"/>
                <w:lang w:val="en-US" w:eastAsia="de-DE"/>
              </w:rPr>
              <w:t xml:space="preserve">Disease duration </w:t>
            </w:r>
            <w:r>
              <w:rPr>
                <w:rFonts w:ascii="Arial" w:eastAsia="Times New Roman" w:hAnsi="Arial" w:cs="Arial"/>
                <w:color w:val="000000"/>
                <w:sz w:val="20"/>
                <w:szCs w:val="20"/>
                <w:lang w:val="en-US" w:eastAsia="de-DE"/>
              </w:rPr>
              <w:t>[</w:t>
            </w:r>
            <w:r w:rsidRPr="00F04FC7">
              <w:rPr>
                <w:rFonts w:ascii="Arial" w:eastAsia="Times New Roman" w:hAnsi="Arial" w:cs="Arial"/>
                <w:color w:val="000000"/>
                <w:sz w:val="20"/>
                <w:szCs w:val="20"/>
                <w:lang w:val="en-US" w:eastAsia="de-DE"/>
              </w:rPr>
              <w:t>month</w:t>
            </w:r>
            <w:r>
              <w:rPr>
                <w:rFonts w:ascii="Arial" w:eastAsia="Times New Roman" w:hAnsi="Arial" w:cs="Arial"/>
                <w:color w:val="000000"/>
                <w:sz w:val="20"/>
                <w:szCs w:val="20"/>
                <w:lang w:val="en-US" w:eastAsia="de-DE"/>
              </w:rPr>
              <w:t xml:space="preserve">s] </w:t>
            </w:r>
            <w:proofErr w:type="spellStart"/>
            <w:r w:rsidRPr="00F04FC7">
              <w:rPr>
                <w:rFonts w:ascii="Arial" w:eastAsia="Times New Roman" w:hAnsi="Arial" w:cs="Arial"/>
                <w:color w:val="000000"/>
                <w:sz w:val="20"/>
                <w:szCs w:val="20"/>
                <w:lang w:val="en-US" w:eastAsia="de-DE"/>
              </w:rPr>
              <w:t>mean</w:t>
            </w:r>
            <w:r w:rsidRPr="00F04FC7">
              <w:rPr>
                <w:rFonts w:ascii="Arial" w:hAnsi="Arial" w:cs="Arial"/>
                <w:color w:val="000000"/>
                <w:sz w:val="20"/>
                <w:szCs w:val="20"/>
                <w:lang w:val="en-US"/>
              </w:rPr>
              <w:t>±SD</w:t>
            </w:r>
            <w:proofErr w:type="spellEnd"/>
          </w:p>
        </w:tc>
        <w:tc>
          <w:tcPr>
            <w:tcW w:w="1561" w:type="dxa"/>
            <w:noWrap/>
            <w:hideMark/>
          </w:tcPr>
          <w:p w:rsidR="00A86957" w:rsidRPr="00780E38" w:rsidRDefault="00AE2063" w:rsidP="00AE2063">
            <w:pPr>
              <w:spacing w:line="360" w:lineRule="auto"/>
              <w:jc w:val="center"/>
              <w:rPr>
                <w:rFonts w:ascii="Arial" w:eastAsia="Times New Roman" w:hAnsi="Arial" w:cs="Arial"/>
                <w:color w:val="000000"/>
                <w:lang w:eastAsia="de-DE"/>
              </w:rPr>
            </w:pPr>
            <w:r>
              <w:rPr>
                <w:rFonts w:ascii="Arial" w:eastAsia="Times New Roman" w:hAnsi="Arial" w:cs="Arial"/>
                <w:color w:val="000000"/>
                <w:lang w:eastAsia="de-DE"/>
              </w:rPr>
              <w:t>12.3</w:t>
            </w:r>
            <w:r w:rsidR="00A86957" w:rsidRPr="00780E38">
              <w:rPr>
                <w:rFonts w:ascii="Arial" w:eastAsia="Times New Roman" w:hAnsi="Arial" w:cs="Arial"/>
                <w:color w:val="000000"/>
                <w:lang w:eastAsia="de-DE"/>
              </w:rPr>
              <w:t xml:space="preserve"> </w:t>
            </w:r>
            <w:r w:rsidR="00A86957">
              <w:rPr>
                <w:rFonts w:ascii="Arial" w:hAnsi="Arial" w:cs="Arial"/>
                <w:color w:val="000000"/>
              </w:rPr>
              <w:t>±</w:t>
            </w:r>
            <w:r w:rsidR="00A86957" w:rsidRPr="00780E38">
              <w:rPr>
                <w:rFonts w:ascii="Arial" w:eastAsia="Times New Roman" w:hAnsi="Arial" w:cs="Arial"/>
                <w:color w:val="000000"/>
                <w:lang w:eastAsia="de-DE"/>
              </w:rPr>
              <w:t xml:space="preserve"> </w:t>
            </w:r>
            <w:r>
              <w:rPr>
                <w:rFonts w:ascii="Arial" w:eastAsia="Times New Roman" w:hAnsi="Arial" w:cs="Arial"/>
                <w:color w:val="000000"/>
                <w:lang w:eastAsia="de-DE"/>
              </w:rPr>
              <w:t>10.2</w:t>
            </w:r>
          </w:p>
        </w:tc>
        <w:tc>
          <w:tcPr>
            <w:tcW w:w="1635" w:type="dxa"/>
            <w:noWrap/>
            <w:hideMark/>
          </w:tcPr>
          <w:p w:rsidR="00A86957" w:rsidRPr="00780E38" w:rsidRDefault="00AE2063" w:rsidP="00AE2063">
            <w:pPr>
              <w:spacing w:line="360" w:lineRule="auto"/>
              <w:jc w:val="center"/>
              <w:rPr>
                <w:rFonts w:ascii="Arial" w:eastAsia="Times New Roman" w:hAnsi="Arial" w:cs="Arial"/>
                <w:color w:val="000000"/>
                <w:lang w:eastAsia="de-DE"/>
              </w:rPr>
            </w:pPr>
            <w:r>
              <w:rPr>
                <w:rFonts w:ascii="Arial" w:eastAsia="Times New Roman" w:hAnsi="Arial" w:cs="Arial"/>
                <w:color w:val="000000"/>
                <w:lang w:eastAsia="de-DE"/>
              </w:rPr>
              <w:t>6.0</w:t>
            </w:r>
            <w:r w:rsidR="00A86957" w:rsidRPr="00780E38">
              <w:rPr>
                <w:rFonts w:ascii="Arial" w:eastAsia="Times New Roman" w:hAnsi="Arial" w:cs="Arial"/>
                <w:color w:val="000000"/>
                <w:lang w:eastAsia="de-DE"/>
              </w:rPr>
              <w:t xml:space="preserve"> </w:t>
            </w:r>
            <w:r w:rsidR="00A86957">
              <w:rPr>
                <w:rFonts w:ascii="Arial" w:hAnsi="Arial" w:cs="Arial"/>
                <w:color w:val="000000"/>
              </w:rPr>
              <w:t>±</w:t>
            </w:r>
            <w:r>
              <w:rPr>
                <w:rFonts w:ascii="Arial" w:eastAsia="Times New Roman" w:hAnsi="Arial" w:cs="Arial"/>
                <w:color w:val="000000"/>
                <w:lang w:eastAsia="de-DE"/>
              </w:rPr>
              <w:t>12.5</w:t>
            </w:r>
          </w:p>
        </w:tc>
        <w:tc>
          <w:tcPr>
            <w:tcW w:w="1842" w:type="dxa"/>
            <w:hideMark/>
          </w:tcPr>
          <w:p w:rsidR="00A86957" w:rsidRPr="00780E38" w:rsidRDefault="00A86957" w:rsidP="005B33FD">
            <w:pPr>
              <w:spacing w:line="360" w:lineRule="auto"/>
              <w:jc w:val="center"/>
              <w:rPr>
                <w:rFonts w:ascii="Arial" w:eastAsia="Times New Roman" w:hAnsi="Arial" w:cs="Arial"/>
                <w:color w:val="000000"/>
                <w:lang w:eastAsia="de-DE"/>
              </w:rPr>
            </w:pPr>
            <w:proofErr w:type="spellStart"/>
            <w:r w:rsidRPr="00780E38">
              <w:rPr>
                <w:rFonts w:ascii="Arial" w:eastAsia="Times New Roman" w:hAnsi="Arial" w:cs="Arial"/>
                <w:color w:val="000000"/>
                <w:lang w:eastAsia="de-DE"/>
              </w:rPr>
              <w:t>n.s.</w:t>
            </w:r>
            <w:r w:rsidRPr="00780E38">
              <w:rPr>
                <w:rFonts w:ascii="Arial" w:eastAsia="Times New Roman" w:hAnsi="Arial" w:cs="Arial"/>
                <w:color w:val="000000"/>
                <w:vertAlign w:val="superscript"/>
                <w:lang w:eastAsia="de-DE"/>
              </w:rPr>
              <w:t>b</w:t>
            </w:r>
            <w:proofErr w:type="spellEnd"/>
          </w:p>
        </w:tc>
      </w:tr>
      <w:tr w:rsidR="00A86957" w:rsidRPr="00F934C0" w:rsidTr="005B33FD">
        <w:trPr>
          <w:trHeight w:val="870"/>
        </w:trPr>
        <w:tc>
          <w:tcPr>
            <w:tcW w:w="1951" w:type="dxa"/>
            <w:hideMark/>
          </w:tcPr>
          <w:p w:rsidR="00A86957" w:rsidRPr="00780E38" w:rsidRDefault="00A86957" w:rsidP="005B33FD">
            <w:pPr>
              <w:spacing w:line="360" w:lineRule="auto"/>
              <w:rPr>
                <w:rFonts w:ascii="Arial" w:eastAsia="Times New Roman" w:hAnsi="Arial" w:cs="Arial"/>
                <w:b/>
                <w:bCs/>
                <w:color w:val="000000"/>
                <w:lang w:val="en-US" w:eastAsia="de-DE"/>
              </w:rPr>
            </w:pPr>
            <w:r w:rsidRPr="00780E38">
              <w:rPr>
                <w:rFonts w:ascii="Arial" w:eastAsia="Times New Roman" w:hAnsi="Arial" w:cs="Arial"/>
                <w:b/>
                <w:bCs/>
                <w:color w:val="000000"/>
                <w:lang w:val="en-US" w:eastAsia="de-DE"/>
              </w:rPr>
              <w:t xml:space="preserve">Lesion </w:t>
            </w:r>
            <w:r>
              <w:rPr>
                <w:rFonts w:ascii="Arial" w:eastAsia="Times New Roman" w:hAnsi="Arial" w:cs="Arial"/>
                <w:b/>
                <w:bCs/>
                <w:color w:val="000000"/>
                <w:lang w:val="en-US" w:eastAsia="de-DE"/>
              </w:rPr>
              <w:t>l</w:t>
            </w:r>
            <w:r w:rsidRPr="00780E38">
              <w:rPr>
                <w:rFonts w:ascii="Arial" w:eastAsia="Times New Roman" w:hAnsi="Arial" w:cs="Arial"/>
                <w:b/>
                <w:bCs/>
                <w:color w:val="000000"/>
                <w:lang w:val="en-US" w:eastAsia="de-DE"/>
              </w:rPr>
              <w:t>oad</w:t>
            </w:r>
            <w:r w:rsidRPr="00780E38">
              <w:rPr>
                <w:rFonts w:ascii="Arial" w:eastAsia="Times New Roman" w:hAnsi="Arial" w:cs="Arial"/>
                <w:color w:val="000000"/>
                <w:lang w:val="en-US" w:eastAsia="de-DE"/>
              </w:rPr>
              <w:t xml:space="preserve"> </w:t>
            </w:r>
            <w:r>
              <w:rPr>
                <w:rFonts w:ascii="Arial" w:eastAsia="Times New Roman" w:hAnsi="Arial" w:cs="Arial"/>
                <w:color w:val="000000"/>
                <w:lang w:val="en-US" w:eastAsia="de-DE"/>
              </w:rPr>
              <w:t>[ml]</w:t>
            </w:r>
            <w:r w:rsidRPr="00780E38">
              <w:rPr>
                <w:rFonts w:ascii="Arial" w:eastAsia="Times New Roman" w:hAnsi="Arial" w:cs="Arial"/>
                <w:color w:val="000000"/>
                <w:lang w:val="en-US" w:eastAsia="de-DE"/>
              </w:rPr>
              <w:t xml:space="preserve"> </w:t>
            </w:r>
            <w:r w:rsidRPr="00F04FC7">
              <w:rPr>
                <w:rFonts w:ascii="Arial" w:eastAsia="Times New Roman" w:hAnsi="Arial" w:cs="Arial"/>
                <w:color w:val="000000"/>
                <w:lang w:val="en-US" w:eastAsia="de-DE"/>
              </w:rPr>
              <w:t xml:space="preserve"> </w:t>
            </w:r>
            <w:r w:rsidRPr="00F04FC7">
              <w:rPr>
                <w:rFonts w:ascii="Arial" w:eastAsia="Times New Roman" w:hAnsi="Arial" w:cs="Arial"/>
                <w:color w:val="000000"/>
                <w:sz w:val="20"/>
                <w:szCs w:val="20"/>
                <w:lang w:val="en-US" w:eastAsia="de-DE"/>
              </w:rPr>
              <w:t>median (IQR)</w:t>
            </w:r>
          </w:p>
        </w:tc>
        <w:tc>
          <w:tcPr>
            <w:tcW w:w="1561" w:type="dxa"/>
            <w:noWrap/>
            <w:hideMark/>
          </w:tcPr>
          <w:p w:rsidR="00A86957" w:rsidRPr="00780E38" w:rsidRDefault="00A86957" w:rsidP="005B33FD">
            <w:pPr>
              <w:spacing w:line="360" w:lineRule="auto"/>
              <w:jc w:val="center"/>
              <w:rPr>
                <w:rFonts w:ascii="Arial" w:eastAsia="Times New Roman" w:hAnsi="Arial" w:cs="Arial"/>
                <w:color w:val="000000"/>
                <w:lang w:eastAsia="de-DE"/>
              </w:rPr>
            </w:pPr>
            <w:r>
              <w:rPr>
                <w:rFonts w:ascii="Arial" w:eastAsia="Times New Roman" w:hAnsi="Arial" w:cs="Arial"/>
                <w:color w:val="000000"/>
                <w:lang w:eastAsia="de-DE"/>
              </w:rPr>
              <w:t>1.2</w:t>
            </w:r>
            <w:r w:rsidRPr="00780E38">
              <w:rPr>
                <w:rFonts w:ascii="Arial" w:eastAsia="Times New Roman" w:hAnsi="Arial" w:cs="Arial"/>
                <w:color w:val="000000"/>
                <w:lang w:eastAsia="de-DE"/>
              </w:rPr>
              <w:t xml:space="preserve"> </w:t>
            </w:r>
            <w:r>
              <w:rPr>
                <w:rFonts w:ascii="Arial" w:hAnsi="Arial" w:cs="Arial"/>
                <w:color w:val="000000"/>
              </w:rPr>
              <w:t>(0.3-3.5)</w:t>
            </w:r>
          </w:p>
        </w:tc>
        <w:tc>
          <w:tcPr>
            <w:tcW w:w="1635" w:type="dxa"/>
            <w:noWrap/>
            <w:hideMark/>
          </w:tcPr>
          <w:p w:rsidR="00A86957" w:rsidRPr="00780E38" w:rsidRDefault="00A86957" w:rsidP="005B33FD">
            <w:pPr>
              <w:spacing w:line="360" w:lineRule="auto"/>
              <w:jc w:val="center"/>
              <w:rPr>
                <w:rFonts w:ascii="Arial" w:eastAsia="Times New Roman" w:hAnsi="Arial" w:cs="Arial"/>
                <w:color w:val="000000"/>
                <w:lang w:eastAsia="de-DE"/>
              </w:rPr>
            </w:pPr>
            <w:r>
              <w:rPr>
                <w:rFonts w:ascii="Arial" w:eastAsia="Times New Roman" w:hAnsi="Arial" w:cs="Arial"/>
                <w:color w:val="000000"/>
                <w:lang w:eastAsia="de-DE"/>
              </w:rPr>
              <w:t>1.2 (0.8-2.3)</w:t>
            </w:r>
          </w:p>
        </w:tc>
        <w:tc>
          <w:tcPr>
            <w:tcW w:w="1842" w:type="dxa"/>
            <w:noWrap/>
            <w:hideMark/>
          </w:tcPr>
          <w:p w:rsidR="00A86957" w:rsidRPr="00F04FC7" w:rsidRDefault="00A86957" w:rsidP="005B33FD">
            <w:pPr>
              <w:spacing w:line="360" w:lineRule="auto"/>
              <w:jc w:val="center"/>
              <w:rPr>
                <w:rFonts w:ascii="Arial" w:eastAsia="Times New Roman" w:hAnsi="Arial" w:cs="Arial"/>
                <w:color w:val="000000"/>
                <w:lang w:val="en-US" w:eastAsia="de-DE"/>
              </w:rPr>
            </w:pPr>
            <w:proofErr w:type="spellStart"/>
            <w:r>
              <w:rPr>
                <w:rFonts w:ascii="Arial" w:eastAsia="Times New Roman" w:hAnsi="Arial" w:cs="Arial"/>
                <w:color w:val="000000"/>
                <w:sz w:val="20"/>
                <w:szCs w:val="20"/>
                <w:lang w:val="en-US" w:eastAsia="de-DE"/>
              </w:rPr>
              <w:t>n.s.</w:t>
            </w:r>
            <w:r w:rsidRPr="00F04FC7">
              <w:rPr>
                <w:rFonts w:ascii="Arial" w:eastAsia="Times New Roman" w:hAnsi="Arial" w:cs="Arial"/>
                <w:color w:val="000000"/>
                <w:vertAlign w:val="superscript"/>
                <w:lang w:val="en-US" w:eastAsia="de-DE"/>
              </w:rPr>
              <w:t>c</w:t>
            </w:r>
            <w:proofErr w:type="spellEnd"/>
          </w:p>
        </w:tc>
      </w:tr>
      <w:tr w:rsidR="00A86957" w:rsidRPr="00F934C0" w:rsidTr="005B33FD">
        <w:trPr>
          <w:trHeight w:val="585"/>
        </w:trPr>
        <w:tc>
          <w:tcPr>
            <w:tcW w:w="1951" w:type="dxa"/>
            <w:tcBorders>
              <w:bottom w:val="single" w:sz="4" w:space="0" w:color="auto"/>
            </w:tcBorders>
          </w:tcPr>
          <w:p w:rsidR="00A86957" w:rsidRDefault="00A86957" w:rsidP="005B33FD">
            <w:pPr>
              <w:spacing w:line="360" w:lineRule="auto"/>
              <w:rPr>
                <w:rFonts w:ascii="Arial" w:eastAsia="Times New Roman" w:hAnsi="Arial" w:cs="Arial"/>
                <w:b/>
                <w:bCs/>
                <w:color w:val="000000"/>
                <w:lang w:eastAsia="de-DE"/>
              </w:rPr>
            </w:pPr>
            <w:r w:rsidRPr="00780E38">
              <w:rPr>
                <w:rFonts w:ascii="Arial" w:eastAsia="Times New Roman" w:hAnsi="Arial" w:cs="Arial"/>
                <w:b/>
                <w:bCs/>
                <w:color w:val="000000"/>
                <w:lang w:eastAsia="de-DE"/>
              </w:rPr>
              <w:t xml:space="preserve">EDSS </w:t>
            </w:r>
          </w:p>
          <w:p w:rsidR="00A86957" w:rsidRPr="00780E38" w:rsidRDefault="00A86957" w:rsidP="005B33FD">
            <w:pPr>
              <w:spacing w:line="360" w:lineRule="auto"/>
              <w:rPr>
                <w:rFonts w:ascii="Arial" w:eastAsia="Times New Roman" w:hAnsi="Arial" w:cs="Arial"/>
                <w:b/>
                <w:bCs/>
                <w:color w:val="000000"/>
                <w:lang w:eastAsia="de-DE"/>
              </w:rPr>
            </w:pPr>
            <w:r w:rsidRPr="00217319">
              <w:rPr>
                <w:rFonts w:ascii="Arial" w:eastAsia="Times New Roman" w:hAnsi="Arial" w:cs="Arial"/>
                <w:color w:val="000000"/>
                <w:sz w:val="20"/>
                <w:szCs w:val="20"/>
                <w:lang w:eastAsia="de-DE"/>
              </w:rPr>
              <w:t>median (IQR)</w:t>
            </w:r>
          </w:p>
        </w:tc>
        <w:tc>
          <w:tcPr>
            <w:tcW w:w="1561" w:type="dxa"/>
            <w:tcBorders>
              <w:bottom w:val="single" w:sz="4" w:space="0" w:color="auto"/>
            </w:tcBorders>
            <w:noWrap/>
          </w:tcPr>
          <w:p w:rsidR="00A86957" w:rsidRPr="00780E38" w:rsidRDefault="00A86957" w:rsidP="005B33FD">
            <w:pPr>
              <w:spacing w:line="360" w:lineRule="auto"/>
              <w:jc w:val="center"/>
              <w:rPr>
                <w:rFonts w:ascii="Arial" w:eastAsia="Times New Roman" w:hAnsi="Arial" w:cs="Arial"/>
                <w:color w:val="000000"/>
                <w:lang w:eastAsia="de-DE"/>
              </w:rPr>
            </w:pPr>
            <w:r>
              <w:rPr>
                <w:rFonts w:ascii="Arial" w:eastAsia="Times New Roman" w:hAnsi="Arial" w:cs="Arial"/>
                <w:color w:val="000000"/>
                <w:lang w:eastAsia="de-DE"/>
              </w:rPr>
              <w:t>1.5</w:t>
            </w:r>
            <w:r w:rsidRPr="00780E38">
              <w:rPr>
                <w:rFonts w:ascii="Arial" w:eastAsia="Times New Roman" w:hAnsi="Arial" w:cs="Arial"/>
                <w:color w:val="000000"/>
                <w:lang w:eastAsia="de-DE"/>
              </w:rPr>
              <w:t xml:space="preserve"> (</w:t>
            </w:r>
            <w:r>
              <w:rPr>
                <w:rFonts w:ascii="Arial" w:eastAsia="Times New Roman" w:hAnsi="Arial" w:cs="Arial"/>
                <w:color w:val="000000"/>
                <w:lang w:eastAsia="de-DE"/>
              </w:rPr>
              <w:t>1</w:t>
            </w:r>
            <w:r w:rsidRPr="00780E38">
              <w:rPr>
                <w:rFonts w:ascii="Arial" w:eastAsia="Times New Roman" w:hAnsi="Arial" w:cs="Arial"/>
                <w:color w:val="000000"/>
                <w:lang w:eastAsia="de-DE"/>
              </w:rPr>
              <w:t>.5-3.</w:t>
            </w:r>
            <w:r>
              <w:rPr>
                <w:rFonts w:ascii="Arial" w:eastAsia="Times New Roman" w:hAnsi="Arial" w:cs="Arial"/>
                <w:color w:val="000000"/>
                <w:lang w:eastAsia="de-DE"/>
              </w:rPr>
              <w:t>0</w:t>
            </w:r>
            <w:r w:rsidRPr="00780E38">
              <w:rPr>
                <w:rFonts w:ascii="Arial" w:eastAsia="Times New Roman" w:hAnsi="Arial" w:cs="Arial"/>
                <w:color w:val="000000"/>
                <w:lang w:eastAsia="de-DE"/>
              </w:rPr>
              <w:t>)</w:t>
            </w:r>
          </w:p>
        </w:tc>
        <w:tc>
          <w:tcPr>
            <w:tcW w:w="1635" w:type="dxa"/>
            <w:tcBorders>
              <w:bottom w:val="single" w:sz="4" w:space="0" w:color="auto"/>
            </w:tcBorders>
            <w:noWrap/>
          </w:tcPr>
          <w:p w:rsidR="00A86957" w:rsidRPr="00780E38" w:rsidRDefault="00A86957" w:rsidP="005B33FD">
            <w:pPr>
              <w:spacing w:line="360" w:lineRule="auto"/>
              <w:jc w:val="center"/>
              <w:rPr>
                <w:rFonts w:ascii="Arial" w:eastAsia="Times New Roman" w:hAnsi="Arial" w:cs="Arial"/>
                <w:color w:val="000000"/>
                <w:lang w:eastAsia="de-DE"/>
              </w:rPr>
            </w:pPr>
            <w:r w:rsidRPr="00780E38">
              <w:rPr>
                <w:rFonts w:ascii="Arial" w:eastAsia="Times New Roman" w:hAnsi="Arial" w:cs="Arial"/>
                <w:color w:val="000000"/>
                <w:lang w:eastAsia="de-DE"/>
              </w:rPr>
              <w:t>1.5 (1.5-2.0)</w:t>
            </w:r>
          </w:p>
        </w:tc>
        <w:tc>
          <w:tcPr>
            <w:tcW w:w="1842" w:type="dxa"/>
            <w:tcBorders>
              <w:bottom w:val="single" w:sz="4" w:space="0" w:color="auto"/>
            </w:tcBorders>
            <w:noWrap/>
          </w:tcPr>
          <w:p w:rsidR="00A86957" w:rsidRPr="00F04FC7" w:rsidRDefault="00A86957" w:rsidP="005B33FD">
            <w:pPr>
              <w:spacing w:line="360" w:lineRule="auto"/>
              <w:jc w:val="center"/>
              <w:rPr>
                <w:rFonts w:ascii="Arial" w:eastAsia="Times New Roman" w:hAnsi="Arial" w:cs="Arial"/>
                <w:color w:val="000000"/>
                <w:lang w:val="en-US" w:eastAsia="de-DE"/>
              </w:rPr>
            </w:pPr>
            <w:proofErr w:type="spellStart"/>
            <w:r>
              <w:rPr>
                <w:rFonts w:ascii="Arial" w:eastAsia="Times New Roman" w:hAnsi="Arial" w:cs="Arial"/>
                <w:color w:val="000000"/>
                <w:sz w:val="20"/>
                <w:szCs w:val="20"/>
                <w:lang w:val="en-US" w:eastAsia="de-DE"/>
              </w:rPr>
              <w:t>n.s.</w:t>
            </w:r>
            <w:r w:rsidRPr="00F04FC7">
              <w:rPr>
                <w:rFonts w:ascii="Arial" w:eastAsia="Times New Roman" w:hAnsi="Arial" w:cs="Arial"/>
                <w:color w:val="000000"/>
                <w:vertAlign w:val="superscript"/>
                <w:lang w:val="en-US" w:eastAsia="de-DE"/>
              </w:rPr>
              <w:t>c</w:t>
            </w:r>
            <w:proofErr w:type="spellEnd"/>
          </w:p>
        </w:tc>
      </w:tr>
    </w:tbl>
    <w:p w:rsidR="00A86957" w:rsidRDefault="00A86957" w:rsidP="00A86957">
      <w:pPr>
        <w:spacing w:line="240" w:lineRule="auto"/>
        <w:rPr>
          <w:rFonts w:ascii="Arial" w:hAnsi="Arial" w:cs="Arial"/>
          <w:vertAlign w:val="superscript"/>
          <w:lang w:val="en-US"/>
        </w:rPr>
      </w:pPr>
    </w:p>
    <w:p w:rsidR="00A86957" w:rsidRDefault="00A86957" w:rsidP="00A86957">
      <w:pPr>
        <w:spacing w:line="240" w:lineRule="auto"/>
        <w:rPr>
          <w:rFonts w:ascii="Arial" w:hAnsi="Arial" w:cs="Arial"/>
          <w:vertAlign w:val="superscript"/>
          <w:lang w:val="en-US"/>
        </w:rPr>
      </w:pPr>
    </w:p>
    <w:p w:rsidR="00A86957" w:rsidRDefault="00A86957" w:rsidP="00A86957">
      <w:pPr>
        <w:spacing w:line="240" w:lineRule="auto"/>
        <w:rPr>
          <w:rFonts w:ascii="Arial" w:hAnsi="Arial" w:cs="Arial"/>
          <w:vertAlign w:val="superscript"/>
          <w:lang w:val="en-US"/>
        </w:rPr>
      </w:pPr>
    </w:p>
    <w:p w:rsidR="00A86957" w:rsidRDefault="00A86957" w:rsidP="00A86957">
      <w:pPr>
        <w:spacing w:line="240" w:lineRule="auto"/>
        <w:rPr>
          <w:rFonts w:ascii="Arial" w:hAnsi="Arial" w:cs="Arial"/>
          <w:vertAlign w:val="superscript"/>
          <w:lang w:val="en-US"/>
        </w:rPr>
      </w:pPr>
    </w:p>
    <w:p w:rsidR="00A86957" w:rsidRDefault="00A86957" w:rsidP="00A86957">
      <w:pPr>
        <w:spacing w:line="240" w:lineRule="auto"/>
        <w:rPr>
          <w:rFonts w:ascii="Arial" w:hAnsi="Arial" w:cs="Arial"/>
          <w:vertAlign w:val="superscript"/>
          <w:lang w:val="en-US"/>
        </w:rPr>
      </w:pPr>
    </w:p>
    <w:p w:rsidR="00A86957" w:rsidRDefault="00A86957" w:rsidP="00A86957">
      <w:pPr>
        <w:spacing w:line="240" w:lineRule="auto"/>
        <w:rPr>
          <w:rFonts w:ascii="Arial" w:hAnsi="Arial" w:cs="Arial"/>
          <w:vertAlign w:val="superscript"/>
          <w:lang w:val="en-US"/>
        </w:rPr>
      </w:pPr>
    </w:p>
    <w:p w:rsidR="00A86957" w:rsidRDefault="00A86957" w:rsidP="00A86957">
      <w:pPr>
        <w:spacing w:line="240" w:lineRule="auto"/>
        <w:rPr>
          <w:rFonts w:ascii="Arial" w:hAnsi="Arial" w:cs="Arial"/>
          <w:vertAlign w:val="superscript"/>
          <w:lang w:val="en-US"/>
        </w:rPr>
      </w:pPr>
    </w:p>
    <w:p w:rsidR="00A86957" w:rsidRDefault="00A86957" w:rsidP="00A86957">
      <w:pPr>
        <w:spacing w:line="240" w:lineRule="auto"/>
        <w:rPr>
          <w:rFonts w:ascii="Arial" w:hAnsi="Arial" w:cs="Arial"/>
          <w:vertAlign w:val="superscript"/>
          <w:lang w:val="en-US"/>
        </w:rPr>
      </w:pPr>
    </w:p>
    <w:p w:rsidR="00A86957" w:rsidRDefault="00A86957" w:rsidP="00A86957">
      <w:pPr>
        <w:spacing w:line="240" w:lineRule="auto"/>
        <w:rPr>
          <w:rFonts w:ascii="Arial" w:hAnsi="Arial" w:cs="Arial"/>
          <w:vertAlign w:val="superscript"/>
          <w:lang w:val="en-US"/>
        </w:rPr>
      </w:pPr>
    </w:p>
    <w:p w:rsidR="00A86957" w:rsidRDefault="00A86957" w:rsidP="00A86957">
      <w:pPr>
        <w:spacing w:line="240" w:lineRule="auto"/>
        <w:rPr>
          <w:rFonts w:ascii="Arial" w:hAnsi="Arial" w:cs="Arial"/>
          <w:vertAlign w:val="superscript"/>
          <w:lang w:val="en-US"/>
        </w:rPr>
      </w:pPr>
    </w:p>
    <w:p w:rsidR="00A86957" w:rsidRDefault="00A86957" w:rsidP="00A86957">
      <w:pPr>
        <w:spacing w:line="240" w:lineRule="auto"/>
        <w:rPr>
          <w:rFonts w:ascii="Arial" w:hAnsi="Arial" w:cs="Arial"/>
          <w:vertAlign w:val="superscript"/>
          <w:lang w:val="en-US"/>
        </w:rPr>
      </w:pPr>
    </w:p>
    <w:p w:rsidR="00A86957" w:rsidRDefault="00A86957" w:rsidP="00A86957">
      <w:pPr>
        <w:spacing w:line="240" w:lineRule="auto"/>
        <w:rPr>
          <w:rFonts w:ascii="Arial" w:hAnsi="Arial" w:cs="Arial"/>
          <w:vertAlign w:val="superscript"/>
          <w:lang w:val="en-US"/>
        </w:rPr>
      </w:pPr>
    </w:p>
    <w:p w:rsidR="00A86957" w:rsidRDefault="00A86957" w:rsidP="00A86957">
      <w:pPr>
        <w:spacing w:line="240" w:lineRule="auto"/>
        <w:rPr>
          <w:rFonts w:ascii="Arial" w:hAnsi="Arial" w:cs="Arial"/>
          <w:vertAlign w:val="superscript"/>
          <w:lang w:val="en-US"/>
        </w:rPr>
      </w:pPr>
    </w:p>
    <w:p w:rsidR="00A86957" w:rsidRPr="00A4602F" w:rsidRDefault="00A86957" w:rsidP="00A86957">
      <w:pPr>
        <w:spacing w:line="240" w:lineRule="auto"/>
        <w:rPr>
          <w:rFonts w:ascii="Arial" w:hAnsi="Arial" w:cs="Arial"/>
          <w:lang w:val="en-US"/>
        </w:rPr>
      </w:pPr>
      <w:r w:rsidRPr="00A4602F">
        <w:rPr>
          <w:rFonts w:ascii="Arial" w:hAnsi="Arial" w:cs="Arial"/>
          <w:vertAlign w:val="superscript"/>
          <w:lang w:val="en-US"/>
        </w:rPr>
        <w:t>a</w:t>
      </w:r>
      <w:r w:rsidRPr="00A4602F">
        <w:rPr>
          <w:rFonts w:ascii="Arial" w:hAnsi="Arial" w:cs="Arial"/>
          <w:lang w:val="en-US"/>
        </w:rPr>
        <w:t xml:space="preserve"> Chi-square test, </w:t>
      </w:r>
      <w:r w:rsidRPr="00A4602F">
        <w:rPr>
          <w:rFonts w:ascii="Arial" w:hAnsi="Arial" w:cs="Arial"/>
          <w:vertAlign w:val="superscript"/>
          <w:lang w:val="en-US"/>
        </w:rPr>
        <w:t>b</w:t>
      </w:r>
      <w:r w:rsidRPr="00A4602F">
        <w:rPr>
          <w:rFonts w:ascii="Arial" w:hAnsi="Arial" w:cs="Arial"/>
          <w:lang w:val="en-US"/>
        </w:rPr>
        <w:t xml:space="preserve"> univariate ANOVA, </w:t>
      </w:r>
      <w:r w:rsidRPr="00A4602F">
        <w:rPr>
          <w:rFonts w:ascii="Arial" w:hAnsi="Arial" w:cs="Arial"/>
          <w:vertAlign w:val="superscript"/>
          <w:lang w:val="en-US"/>
        </w:rPr>
        <w:t>c</w:t>
      </w:r>
      <w:r w:rsidRPr="00A4602F">
        <w:rPr>
          <w:rFonts w:ascii="Arial" w:hAnsi="Arial" w:cs="Arial"/>
          <w:lang w:val="en-US"/>
        </w:rPr>
        <w:t xml:space="preserve"> Mann–Whitney U-test between </w:t>
      </w:r>
      <w:r>
        <w:rPr>
          <w:rFonts w:ascii="Arial" w:hAnsi="Arial" w:cs="Arial"/>
          <w:lang w:val="en-US"/>
        </w:rPr>
        <w:t>patients with or without cognitive testing</w:t>
      </w:r>
      <w:r w:rsidRPr="00A4602F">
        <w:rPr>
          <w:rFonts w:ascii="Arial" w:hAnsi="Arial" w:cs="Arial"/>
          <w:lang w:val="en-US"/>
        </w:rPr>
        <w:t xml:space="preserve">; </w:t>
      </w:r>
    </w:p>
    <w:p w:rsidR="00A86957" w:rsidRDefault="00A86957" w:rsidP="00A86957">
      <w:pPr>
        <w:rPr>
          <w:rFonts w:ascii="Arial" w:hAnsi="Arial" w:cs="Arial"/>
          <w:lang w:val="en-US"/>
        </w:rPr>
      </w:pPr>
      <w:r w:rsidRPr="00A4602F">
        <w:rPr>
          <w:rFonts w:ascii="Arial" w:hAnsi="Arial" w:cs="Arial"/>
          <w:lang w:val="en-US"/>
        </w:rPr>
        <w:t xml:space="preserve">Abbreviations: SD standard deviation, IQR interquartile range, </w:t>
      </w:r>
      <w:proofErr w:type="spellStart"/>
      <w:r w:rsidRPr="00A4602F">
        <w:rPr>
          <w:rFonts w:ascii="Arial" w:hAnsi="Arial" w:cs="Arial"/>
          <w:lang w:val="en-US"/>
        </w:rPr>
        <w:t>n.s</w:t>
      </w:r>
      <w:proofErr w:type="spellEnd"/>
      <w:r w:rsidRPr="00A4602F">
        <w:rPr>
          <w:rFonts w:ascii="Arial" w:hAnsi="Arial" w:cs="Arial"/>
          <w:lang w:val="en-US"/>
        </w:rPr>
        <w:t>. not significant</w:t>
      </w:r>
      <w:r>
        <w:rPr>
          <w:rFonts w:ascii="Arial" w:hAnsi="Arial" w:cs="Arial"/>
          <w:lang w:val="en-US"/>
        </w:rPr>
        <w:t xml:space="preserve"> (p &gt; 0.050)</w:t>
      </w:r>
    </w:p>
    <w:p w:rsidR="00A86957" w:rsidRDefault="00A86957" w:rsidP="00D808C8">
      <w:pPr>
        <w:spacing w:line="240" w:lineRule="auto"/>
        <w:jc w:val="both"/>
        <w:rPr>
          <w:rFonts w:ascii="Arial" w:hAnsi="Arial" w:cs="Arial"/>
          <w:color w:val="000000" w:themeColor="text1"/>
          <w:lang w:val="en-US"/>
        </w:rPr>
      </w:pPr>
    </w:p>
    <w:p w:rsidR="0034162E" w:rsidRPr="00C3728F" w:rsidRDefault="0034162E" w:rsidP="0034162E">
      <w:pPr>
        <w:rPr>
          <w:rFonts w:ascii="Arial" w:hAnsi="Arial" w:cs="Arial"/>
          <w:lang w:val="en-US"/>
        </w:rPr>
      </w:pPr>
    </w:p>
    <w:p w:rsidR="00A86957" w:rsidRPr="00C3728F" w:rsidRDefault="00A86957">
      <w:pPr>
        <w:rPr>
          <w:rFonts w:ascii="Arial" w:hAnsi="Arial" w:cs="Arial"/>
          <w:b/>
          <w:lang w:val="en-US"/>
        </w:rPr>
      </w:pPr>
      <w:r w:rsidRPr="00C3728F">
        <w:rPr>
          <w:rFonts w:ascii="Arial" w:hAnsi="Arial" w:cs="Arial"/>
          <w:b/>
          <w:lang w:val="en-US"/>
        </w:rPr>
        <w:br w:type="page"/>
      </w:r>
    </w:p>
    <w:p w:rsidR="00510ED6" w:rsidRPr="00C3728F" w:rsidRDefault="00510ED6" w:rsidP="0034162E">
      <w:pPr>
        <w:rPr>
          <w:rFonts w:ascii="Arial" w:hAnsi="Arial" w:cs="Arial"/>
          <w:b/>
          <w:lang w:val="en-US"/>
        </w:rPr>
        <w:sectPr w:rsidR="00510ED6" w:rsidRPr="00C3728F">
          <w:pgSz w:w="11906" w:h="16838"/>
          <w:pgMar w:top="1417" w:right="1417" w:bottom="1134" w:left="1417" w:header="708" w:footer="708" w:gutter="0"/>
          <w:cols w:space="708"/>
          <w:docGrid w:linePitch="360"/>
        </w:sectPr>
      </w:pPr>
    </w:p>
    <w:p w:rsidR="00991D94" w:rsidRPr="00C3728F" w:rsidRDefault="002E11BA" w:rsidP="002E11BA">
      <w:pPr>
        <w:pStyle w:val="Listenabsatz"/>
        <w:numPr>
          <w:ilvl w:val="0"/>
          <w:numId w:val="1"/>
        </w:numPr>
        <w:rPr>
          <w:rFonts w:ascii="Arial" w:hAnsi="Arial" w:cs="Arial"/>
          <w:b/>
          <w:lang w:val="en-US"/>
        </w:rPr>
      </w:pPr>
      <w:r w:rsidRPr="00C3728F">
        <w:rPr>
          <w:rFonts w:ascii="Arial" w:hAnsi="Arial" w:cs="Arial"/>
          <w:b/>
          <w:lang w:val="en-US"/>
        </w:rPr>
        <w:lastRenderedPageBreak/>
        <w:t>Results of the preceding TBSS analysis [Schneider R. et al , 2019]: Clusters of significant FA and MD alterations  in 106 patients compared to 49 healthy controls</w:t>
      </w:r>
    </w:p>
    <w:p w:rsidR="002E11BA" w:rsidRDefault="00510ED6" w:rsidP="0034162E">
      <w:pPr>
        <w:rPr>
          <w:rFonts w:ascii="Arial" w:hAnsi="Arial" w:cs="Arial"/>
          <w:i/>
        </w:rPr>
      </w:pPr>
      <w:bookmarkStart w:id="0" w:name="_GoBack"/>
      <w:r>
        <w:rPr>
          <w:rFonts w:ascii="Arial" w:hAnsi="Arial" w:cs="Arial"/>
          <w:noProof/>
          <w:lang w:eastAsia="de-DE"/>
        </w:rPr>
        <w:drawing>
          <wp:anchor distT="0" distB="0" distL="114300" distR="114300" simplePos="0" relativeHeight="251658240" behindDoc="1" locked="0" layoutInCell="1" allowOverlap="1" wp14:anchorId="4FF3CB28" wp14:editId="56C5A083">
            <wp:simplePos x="0" y="0"/>
            <wp:positionH relativeFrom="column">
              <wp:posOffset>29210</wp:posOffset>
            </wp:positionH>
            <wp:positionV relativeFrom="paragraph">
              <wp:posOffset>1056531</wp:posOffset>
            </wp:positionV>
            <wp:extent cx="8339455" cy="4861560"/>
            <wp:effectExtent l="0" t="0" r="4445" b="254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S_1_rot_blau_Review01122020.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8339455" cy="4861560"/>
                    </a:xfrm>
                    <a:prstGeom prst="rect">
                      <a:avLst/>
                    </a:prstGeom>
                  </pic:spPr>
                </pic:pic>
              </a:graphicData>
            </a:graphic>
            <wp14:sizeRelH relativeFrom="page">
              <wp14:pctWidth>0</wp14:pctWidth>
            </wp14:sizeRelH>
            <wp14:sizeRelV relativeFrom="page">
              <wp14:pctHeight>0</wp14:pctHeight>
            </wp14:sizeRelV>
          </wp:anchor>
        </w:drawing>
      </w:r>
      <w:bookmarkEnd w:id="0"/>
      <w:r w:rsidR="0034162E" w:rsidRPr="00C3728F">
        <w:rPr>
          <w:rFonts w:ascii="Arial" w:hAnsi="Arial" w:cs="Arial"/>
          <w:b/>
          <w:lang w:val="en-US"/>
        </w:rPr>
        <w:t>Fig. S-1</w:t>
      </w:r>
      <w:r w:rsidR="0034162E" w:rsidRPr="00C3728F">
        <w:rPr>
          <w:rFonts w:ascii="Arial" w:hAnsi="Arial" w:cs="Arial"/>
          <w:lang w:val="en-US"/>
        </w:rPr>
        <w:t xml:space="preserve"> Clusters of significant FA reductions (</w:t>
      </w:r>
      <w:r w:rsidRPr="00C3728F">
        <w:rPr>
          <w:rFonts w:ascii="Arial" w:hAnsi="Arial" w:cs="Arial"/>
          <w:lang w:val="en-US"/>
        </w:rPr>
        <w:t>A</w:t>
      </w:r>
      <w:r w:rsidR="0034162E" w:rsidRPr="00C3728F">
        <w:rPr>
          <w:rFonts w:ascii="Arial" w:hAnsi="Arial" w:cs="Arial"/>
          <w:lang w:val="en-US"/>
        </w:rPr>
        <w:t>) and MD increase (</w:t>
      </w:r>
      <w:r w:rsidRPr="00C3728F">
        <w:rPr>
          <w:rFonts w:ascii="Arial" w:hAnsi="Arial" w:cs="Arial"/>
          <w:lang w:val="en-US"/>
        </w:rPr>
        <w:t>B</w:t>
      </w:r>
      <w:r w:rsidR="0034162E" w:rsidRPr="00C3728F">
        <w:rPr>
          <w:rFonts w:ascii="Arial" w:hAnsi="Arial" w:cs="Arial"/>
          <w:lang w:val="en-US"/>
        </w:rPr>
        <w:t>) in 106 patients (clinically isolated syndrome or MS at disease onset) compared to 49 healthy controls involving most supra</w:t>
      </w:r>
      <w:r w:rsidR="00D808C8" w:rsidRPr="00C3728F">
        <w:rPr>
          <w:rFonts w:ascii="Arial" w:hAnsi="Arial" w:cs="Arial"/>
          <w:lang w:val="en-US"/>
        </w:rPr>
        <w:t>tentorial WM tracts for FA and MD. Infratentorial</w:t>
      </w:r>
      <w:r w:rsidR="0034162E" w:rsidRPr="00C3728F">
        <w:rPr>
          <w:rFonts w:ascii="Arial" w:hAnsi="Arial" w:cs="Arial"/>
          <w:lang w:val="en-US"/>
        </w:rPr>
        <w:t xml:space="preserve"> </w:t>
      </w:r>
      <w:r w:rsidR="00D808C8" w:rsidRPr="00C3728F">
        <w:rPr>
          <w:rFonts w:ascii="Arial" w:hAnsi="Arial" w:cs="Arial"/>
          <w:lang w:val="en-US"/>
        </w:rPr>
        <w:t>FA reduction is visible</w:t>
      </w:r>
      <w:r w:rsidR="0034162E" w:rsidRPr="00C3728F">
        <w:rPr>
          <w:rFonts w:ascii="Arial" w:hAnsi="Arial" w:cs="Arial"/>
          <w:lang w:val="en-US"/>
        </w:rPr>
        <w:t xml:space="preserve"> </w:t>
      </w:r>
      <w:r w:rsidR="00D808C8" w:rsidRPr="00C3728F">
        <w:rPr>
          <w:rFonts w:ascii="Arial" w:hAnsi="Arial" w:cs="Arial"/>
          <w:lang w:val="en-US"/>
        </w:rPr>
        <w:t>in brainstem and cerebellar WM tracts</w:t>
      </w:r>
      <w:r w:rsidR="0034162E" w:rsidRPr="00C3728F">
        <w:rPr>
          <w:rFonts w:ascii="Arial" w:hAnsi="Arial" w:cs="Arial"/>
          <w:lang w:val="en-US"/>
        </w:rPr>
        <w:t xml:space="preserve">. Details of the TBSS analysis and results are available in </w:t>
      </w:r>
      <w:r w:rsidR="0034162E" w:rsidRPr="00C3728F">
        <w:rPr>
          <w:rFonts w:ascii="Arial" w:hAnsi="Arial" w:cs="Arial"/>
          <w:i/>
          <w:lang w:val="en-US"/>
        </w:rPr>
        <w:t xml:space="preserve">Schneider, R., et al., Temporal Dynamics of Diffusion Metrics in Early Multiple Sclerosis and Clinically Isolated Syndrome: A 2-Year Follow-Up Tract-Based Spatial Statistics Study. </w:t>
      </w:r>
      <w:r w:rsidR="0034162E" w:rsidRPr="0034162E">
        <w:rPr>
          <w:rFonts w:ascii="Arial" w:hAnsi="Arial" w:cs="Arial"/>
          <w:i/>
        </w:rPr>
        <w:t xml:space="preserve">Front </w:t>
      </w:r>
      <w:proofErr w:type="spellStart"/>
      <w:r w:rsidR="0034162E" w:rsidRPr="0034162E">
        <w:rPr>
          <w:rFonts w:ascii="Arial" w:hAnsi="Arial" w:cs="Arial"/>
          <w:i/>
        </w:rPr>
        <w:t>Neurol</w:t>
      </w:r>
      <w:proofErr w:type="spellEnd"/>
      <w:r w:rsidR="0034162E" w:rsidRPr="0034162E">
        <w:rPr>
          <w:rFonts w:ascii="Arial" w:hAnsi="Arial" w:cs="Arial"/>
          <w:i/>
        </w:rPr>
        <w:t>, 2019. 10: p. 1165.</w:t>
      </w:r>
      <w:r w:rsidR="00C4385C" w:rsidRPr="00C4385C">
        <w:t xml:space="preserve"> </w:t>
      </w:r>
      <w:proofErr w:type="spellStart"/>
      <w:r w:rsidR="00C4385C" w:rsidRPr="00C4385C">
        <w:rPr>
          <w:rFonts w:ascii="Arial" w:hAnsi="Arial" w:cs="Arial"/>
          <w:i/>
        </w:rPr>
        <w:t>doi</w:t>
      </w:r>
      <w:proofErr w:type="spellEnd"/>
      <w:r w:rsidR="00C4385C" w:rsidRPr="00C4385C">
        <w:rPr>
          <w:rFonts w:ascii="Arial" w:hAnsi="Arial" w:cs="Arial"/>
          <w:i/>
        </w:rPr>
        <w:t>: 10.3389/fneur.2019.01165.</w:t>
      </w:r>
    </w:p>
    <w:p w:rsidR="002E11BA" w:rsidRDefault="002E11BA" w:rsidP="002E11BA">
      <w:pPr>
        <w:pStyle w:val="Listenabsatz"/>
        <w:numPr>
          <w:ilvl w:val="0"/>
          <w:numId w:val="1"/>
        </w:numPr>
        <w:rPr>
          <w:rFonts w:ascii="Arial" w:hAnsi="Arial" w:cs="Arial"/>
          <w:b/>
        </w:rPr>
        <w:sectPr w:rsidR="002E11BA" w:rsidSect="00510ED6">
          <w:pgSz w:w="16838" w:h="11906" w:orient="landscape"/>
          <w:pgMar w:top="1418" w:right="1134" w:bottom="1418" w:left="1418" w:header="709" w:footer="709" w:gutter="0"/>
          <w:cols w:space="708"/>
          <w:docGrid w:linePitch="360"/>
        </w:sectPr>
      </w:pPr>
    </w:p>
    <w:p w:rsidR="002E11BA" w:rsidRPr="002E11BA" w:rsidRDefault="002E11BA" w:rsidP="002E11BA">
      <w:pPr>
        <w:pStyle w:val="Listenabsatz"/>
        <w:numPr>
          <w:ilvl w:val="0"/>
          <w:numId w:val="1"/>
        </w:numPr>
        <w:rPr>
          <w:rFonts w:ascii="Arial" w:hAnsi="Arial" w:cs="Arial"/>
          <w:b/>
        </w:rPr>
      </w:pPr>
      <w:r w:rsidRPr="002E11BA">
        <w:rPr>
          <w:rFonts w:ascii="Arial" w:hAnsi="Arial" w:cs="Arial"/>
          <w:b/>
        </w:rPr>
        <w:lastRenderedPageBreak/>
        <w:t>Reference</w:t>
      </w:r>
    </w:p>
    <w:p w:rsidR="00C4385C" w:rsidRPr="002E11BA" w:rsidRDefault="002E11BA" w:rsidP="0034162E">
      <w:pPr>
        <w:rPr>
          <w:rFonts w:ascii="Arial" w:hAnsi="Arial" w:cs="Arial"/>
        </w:rPr>
      </w:pPr>
      <w:r w:rsidRPr="00C3728F">
        <w:rPr>
          <w:rFonts w:ascii="Arial" w:hAnsi="Arial" w:cs="Arial"/>
          <w:lang w:val="en-US"/>
        </w:rPr>
        <w:t xml:space="preserve">Schneider R, Genç E, Ahlborn C, Gold R, Lukas C, Bellenberg B. Temporal Dynamics of Diffusion Metrics in Early Multiple Sclerosis and Clinically Isolated Syndrome: A 2-Year Follow-Up Tract-Based Spatial Statistics Study. </w:t>
      </w:r>
      <w:r w:rsidRPr="002E11BA">
        <w:rPr>
          <w:rFonts w:ascii="Arial" w:hAnsi="Arial" w:cs="Arial"/>
        </w:rPr>
        <w:t xml:space="preserve">Front </w:t>
      </w:r>
      <w:proofErr w:type="spellStart"/>
      <w:r w:rsidRPr="002E11BA">
        <w:rPr>
          <w:rFonts w:ascii="Arial" w:hAnsi="Arial" w:cs="Arial"/>
        </w:rPr>
        <w:t>Neurol</w:t>
      </w:r>
      <w:proofErr w:type="spellEnd"/>
      <w:r w:rsidRPr="002E11BA">
        <w:rPr>
          <w:rFonts w:ascii="Arial" w:hAnsi="Arial" w:cs="Arial"/>
        </w:rPr>
        <w:t>. 2019;10:1165. doi:10.3389/fneur.2019.01165.</w:t>
      </w:r>
    </w:p>
    <w:sectPr w:rsidR="00C4385C" w:rsidRPr="002E11BA" w:rsidSect="002E11BA">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52EFA"/>
    <w:multiLevelType w:val="hybridMultilevel"/>
    <w:tmpl w:val="C3B0C07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162E"/>
    <w:rsid w:val="002D61A3"/>
    <w:rsid w:val="002E11BA"/>
    <w:rsid w:val="0034162E"/>
    <w:rsid w:val="00510ED6"/>
    <w:rsid w:val="00681B55"/>
    <w:rsid w:val="00756437"/>
    <w:rsid w:val="00845345"/>
    <w:rsid w:val="008C2485"/>
    <w:rsid w:val="00991D94"/>
    <w:rsid w:val="00A86957"/>
    <w:rsid w:val="00AE2063"/>
    <w:rsid w:val="00C3728F"/>
    <w:rsid w:val="00C4385C"/>
    <w:rsid w:val="00D808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1CD1A6-DB90-7649-B866-84A37F095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D808C8"/>
    <w:rPr>
      <w:color w:val="0000FF" w:themeColor="hyperlink"/>
      <w:u w:val="single"/>
    </w:rPr>
  </w:style>
  <w:style w:type="table" w:styleId="Tabellenraster">
    <w:name w:val="Table Grid"/>
    <w:basedOn w:val="NormaleTabelle"/>
    <w:uiPriority w:val="59"/>
    <w:rsid w:val="00A86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10E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0ED6"/>
    <w:rPr>
      <w:rFonts w:ascii="Tahoma" w:hAnsi="Tahoma" w:cs="Tahoma"/>
      <w:sz w:val="16"/>
      <w:szCs w:val="16"/>
    </w:rPr>
  </w:style>
  <w:style w:type="paragraph" w:styleId="Listenabsatz">
    <w:name w:val="List Paragraph"/>
    <w:basedOn w:val="Standard"/>
    <w:uiPriority w:val="34"/>
    <w:qFormat/>
    <w:rsid w:val="002E11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52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1039</Words>
  <Characters>6549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Ruth Schneider</cp:lastModifiedBy>
  <cp:revision>3</cp:revision>
  <dcterms:created xsi:type="dcterms:W3CDTF">2020-12-02T17:51:00Z</dcterms:created>
  <dcterms:modified xsi:type="dcterms:W3CDTF">2020-12-02T19:49:00Z</dcterms:modified>
</cp:coreProperties>
</file>