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both"/>
        <w:rPr>
          <w:rFonts w:ascii="Calibri" w:eastAsia="Calibri" w:hAnsi="Calibri" w:cs="Times New Roman"/>
          <w:b/>
          <w:color w:val="FF0000"/>
          <w:u w:val="single"/>
          <w:lang w:val="en-US"/>
        </w:rPr>
      </w:pPr>
      <w:r>
        <w:rPr>
          <w:rFonts w:ascii="Calibri" w:eastAsia="Calibri" w:hAnsi="Calibri" w:cs="Times New Roman"/>
          <w:color w:val="000000"/>
          <w:u w:val="single"/>
          <w:lang w:val="en-US"/>
        </w:rPr>
        <w:t xml:space="preserve">Supplemental table 1: </w:t>
      </w:r>
      <w:r>
        <w:rPr>
          <w:rFonts w:ascii="Calibri" w:eastAsia="Calibri" w:hAnsi="Calibri" w:cs="Times New Roman"/>
          <w:color w:val="000000"/>
          <w:lang w:val="en-US"/>
        </w:rPr>
        <w:t>Patient characteristics. If applicable, median and interquartile range are given.</w:t>
      </w:r>
      <w:r>
        <w:rPr>
          <w:rFonts w:ascii="Calibri" w:eastAsia="Calibri" w:hAnsi="Calibri" w:cs="Times New Roman"/>
          <w:i/>
          <w:color w:val="000000"/>
          <w:u w:val="single"/>
          <w:lang w:val="en-US"/>
        </w:rPr>
        <w:t xml:space="preserve"> </w:t>
      </w:r>
    </w:p>
    <w:tbl>
      <w:tblPr>
        <w:tblStyle w:val="Tabellenraster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78"/>
        <w:gridCol w:w="3402"/>
      </w:tblGrid>
      <w:t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Gender (female / male)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77 / 59</w:t>
            </w:r>
          </w:p>
        </w:tc>
      </w:tr>
      <w:t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intravenous thrombolysis (yes / no)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color w:val="FF0000"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83 / 53</w:t>
            </w:r>
          </w:p>
        </w:tc>
      </w:tr>
      <w:tr>
        <w:trPr>
          <w:trHeight w:val="256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age (years)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78 (68 – 83)</w:t>
            </w:r>
          </w:p>
        </w:tc>
      </w:tr>
      <w:tr>
        <w:trPr>
          <w:trHeight w:val="256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CT-Angiography (in-house/external)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104 / 32</w:t>
            </w:r>
          </w:p>
        </w:tc>
      </w:tr>
      <w:tr>
        <w:trPr>
          <w:trHeight w:val="256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NIHSS at admission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color w:val="FF0000"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17 (10 – 21)</w:t>
            </w:r>
          </w:p>
        </w:tc>
      </w:tr>
      <w:tr>
        <w:trPr>
          <w:trHeight w:val="256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Time from symptom onset to acute imaging (min)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139 (81- 203)</w:t>
            </w:r>
          </w:p>
        </w:tc>
      </w:tr>
      <w:tr>
        <w:trPr>
          <w:trHeight w:val="265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Recanalization results (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lang w:val="en-US"/>
              </w:rPr>
              <w:t>mTICI</w:t>
            </w:r>
            <w:proofErr w:type="spellEnd"/>
            <w:r>
              <w:rPr>
                <w:rFonts w:ascii="Calibri" w:eastAsia="Calibri" w:hAnsi="Calibri" w:cs="Times New Roman"/>
                <w:color w:val="000000"/>
                <w:lang w:val="en-US"/>
              </w:rPr>
              <w:t xml:space="preserve"> 3 /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lang w:val="en-US"/>
              </w:rPr>
              <w:t>mTICI</w:t>
            </w:r>
            <w:proofErr w:type="spellEnd"/>
            <w:r>
              <w:rPr>
                <w:rFonts w:ascii="Calibri" w:eastAsia="Calibri" w:hAnsi="Calibri" w:cs="Times New Roman"/>
                <w:color w:val="000000"/>
                <w:lang w:val="en-US"/>
              </w:rPr>
              <w:t xml:space="preserve"> 2c)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104 / 34</w:t>
            </w:r>
          </w:p>
        </w:tc>
      </w:tr>
      <w:tr>
        <w:trPr>
          <w:trHeight w:val="265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Time from imaging to recanalization (min)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lang w:val="en-US"/>
              </w:rPr>
              <w:t>86 (62 – 119)</w:t>
            </w:r>
          </w:p>
        </w:tc>
      </w:tr>
      <w:tr>
        <w:trPr>
          <w:trHeight w:val="265"/>
        </w:trPr>
        <w:tc>
          <w:tcPr>
            <w:tcW w:w="5777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Time from recanalization to follow-up imaging (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color w:val="000000"/>
                <w:lang w:val="en-US"/>
              </w:rPr>
              <w:t>hh:min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color w:val="000000"/>
                <w:lang w:val="en-US"/>
              </w:rPr>
              <w:t>)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21:44 (17:25 – 24:39)</w:t>
            </w:r>
          </w:p>
        </w:tc>
      </w:tr>
    </w:tbl>
    <w:p>
      <w:pPr>
        <w:rPr>
          <w:rFonts w:ascii="Calibri" w:eastAsia="Calibri" w:hAnsi="Calibri" w:cs="Times New Roman"/>
          <w:lang w:val="en-US"/>
        </w:rPr>
      </w:pPr>
    </w:p>
    <w:p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u w:val="single"/>
          <w:lang w:val="en-US"/>
        </w:rPr>
        <w:t>Supplemental table 2:</w:t>
      </w:r>
      <w:r>
        <w:rPr>
          <w:rFonts w:ascii="Calibri" w:eastAsia="Calibri" w:hAnsi="Calibri" w:cs="Times New Roman"/>
          <w:lang w:val="en-US"/>
        </w:rPr>
        <w:t xml:space="preserve"> Subgroup analysis of acute and follow-up ASPECTS, interrater-reliability of acute ASPECTS (both raters and e-ASPECTS) and agreement between acute and follow-up ASPECTS as a function of the time from symptom onset to imaging (OTI) only for patients who did not receive prior, externally </w:t>
      </w:r>
      <w:proofErr w:type="spellStart"/>
      <w:r>
        <w:rPr>
          <w:rFonts w:ascii="Calibri" w:eastAsia="Calibri" w:hAnsi="Calibri" w:cs="Times New Roman"/>
          <w:lang w:val="en-US"/>
        </w:rPr>
        <w:t>sCTA</w:t>
      </w:r>
      <w:proofErr w:type="spellEnd"/>
      <w:r>
        <w:rPr>
          <w:rFonts w:ascii="Calibri" w:eastAsia="Calibri" w:hAnsi="Calibri" w:cs="Times New Roman"/>
          <w:lang w:val="en-US"/>
        </w:rPr>
        <w:t>-imaging.</w:t>
      </w:r>
    </w:p>
    <w:tbl>
      <w:tblPr>
        <w:tblStyle w:val="Tabellenraster"/>
        <w:tblW w:w="11317" w:type="dxa"/>
        <w:tblInd w:w="-974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7"/>
        <w:gridCol w:w="455"/>
        <w:gridCol w:w="1198"/>
        <w:gridCol w:w="1134"/>
        <w:gridCol w:w="1460"/>
        <w:gridCol w:w="1550"/>
        <w:gridCol w:w="1542"/>
        <w:gridCol w:w="1464"/>
        <w:gridCol w:w="1497"/>
      </w:tblGrid>
      <w:tr>
        <w:trPr>
          <w:trHeight w:val="308"/>
        </w:trPr>
        <w:tc>
          <w:tcPr>
            <w:tcW w:w="1017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OTI</w:t>
            </w:r>
          </w:p>
        </w:tc>
        <w:tc>
          <w:tcPr>
            <w:tcW w:w="455" w:type="dxa"/>
            <w:vMerge w:val="restart"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9845" w:type="dxa"/>
            <w:gridSpan w:val="7"/>
            <w:tcBorders>
              <w:bottom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ASPECTS</w:t>
            </w:r>
          </w:p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</w:tr>
      <w:tr>
        <w:trPr>
          <w:trHeight w:val="307"/>
        </w:trPr>
        <w:tc>
          <w:tcPr>
            <w:tcW w:w="1017" w:type="dxa"/>
            <w:vMerge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55" w:type="dxa"/>
            <w:vMerge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2332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Consensus-rating</w:t>
            </w: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6053" w:type="dxa"/>
            <w:gridSpan w:val="4"/>
            <w:tcBorders>
              <w:top w:val="nil"/>
              <w:bottom w:val="nil"/>
            </w:tcBorders>
            <w:shd w:val="clear" w:color="auto" w:fill="FFFFFF"/>
            <w:tcMar>
              <w:left w:w="108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Agreement of acute ASPECTS with follow-up ASPECTS</w:t>
            </w:r>
          </w:p>
        </w:tc>
      </w:tr>
      <w:tr>
        <w:trPr>
          <w:trHeight w:val="288"/>
        </w:trPr>
        <w:tc>
          <w:tcPr>
            <w:tcW w:w="1017" w:type="dxa"/>
            <w:vMerge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55" w:type="dxa"/>
            <w:vMerge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1198" w:type="dxa"/>
            <w:tcBorders>
              <w:top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acute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follow-Up</w:t>
            </w:r>
          </w:p>
        </w:tc>
        <w:tc>
          <w:tcPr>
            <w:tcW w:w="1460" w:type="dxa"/>
            <w:tcBorders>
              <w:top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Interrater-reliability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Rater A</w:t>
            </w:r>
          </w:p>
        </w:tc>
        <w:tc>
          <w:tcPr>
            <w:tcW w:w="1542" w:type="dxa"/>
            <w:tcBorders>
              <w:top w:val="nil"/>
            </w:tcBorders>
            <w:shd w:val="clear" w:color="auto" w:fill="FFFFFF"/>
            <w:tcMar>
              <w:left w:w="108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Rater B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Consensus-rating</w:t>
            </w:r>
          </w:p>
        </w:tc>
        <w:tc>
          <w:tcPr>
            <w:tcW w:w="1497" w:type="dxa"/>
            <w:tcBorders>
              <w:top w:val="nil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e-ASPECTS</w:t>
            </w:r>
          </w:p>
        </w:tc>
      </w:tr>
      <w:tr>
        <w:trPr>
          <w:trHeight w:val="288"/>
        </w:trPr>
        <w:tc>
          <w:tcPr>
            <w:tcW w:w="101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455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198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134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46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ICC (CI)</w:t>
            </w:r>
          </w:p>
        </w:tc>
        <w:tc>
          <w:tcPr>
            <w:tcW w:w="155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ICC (CI)</w:t>
            </w:r>
          </w:p>
        </w:tc>
        <w:tc>
          <w:tcPr>
            <w:tcW w:w="1542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ICC (CI)</w:t>
            </w:r>
          </w:p>
        </w:tc>
        <w:tc>
          <w:tcPr>
            <w:tcW w:w="1464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ICC (CI)</w:t>
            </w:r>
          </w:p>
        </w:tc>
        <w:tc>
          <w:tcPr>
            <w:tcW w:w="149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ICC (CI)</w:t>
            </w:r>
          </w:p>
        </w:tc>
      </w:tr>
      <w:tr>
        <w:trPr>
          <w:trHeight w:val="288"/>
        </w:trPr>
        <w:tc>
          <w:tcPr>
            <w:tcW w:w="1017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 – 99</w:t>
            </w:r>
          </w:p>
        </w:tc>
        <w:tc>
          <w:tcPr>
            <w:tcW w:w="455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9 (8 -10)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7(6 – 9) *</w:t>
            </w:r>
          </w:p>
        </w:tc>
        <w:tc>
          <w:tcPr>
            <w:tcW w:w="1460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0.55 (0.40 – 0.69)</w:t>
            </w:r>
          </w:p>
        </w:tc>
        <w:tc>
          <w:tcPr>
            <w:tcW w:w="1550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0.47 (0.06 – 0.71)</w:t>
            </w:r>
          </w:p>
        </w:tc>
        <w:tc>
          <w:tcPr>
            <w:tcW w:w="154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0.42 (0.05 – 0.66)</w:t>
            </w:r>
          </w:p>
        </w:tc>
        <w:tc>
          <w:tcPr>
            <w:tcW w:w="146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0.43 (0.02 – 0.68)</w:t>
            </w:r>
          </w:p>
        </w:tc>
        <w:tc>
          <w:tcPr>
            <w:tcW w:w="149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0.24 (0.04 – 0.49)</w:t>
            </w:r>
          </w:p>
        </w:tc>
      </w:tr>
      <w:tr>
        <w:trPr>
          <w:trHeight w:val="306"/>
        </w:trPr>
        <w:tc>
          <w:tcPr>
            <w:tcW w:w="101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US"/>
              </w:rPr>
              <w:t>≥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100 – 199</w:t>
            </w:r>
          </w:p>
        </w:tc>
        <w:tc>
          <w:tcPr>
            <w:tcW w:w="455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198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8 (7 – 10)</w:t>
            </w:r>
          </w:p>
        </w:tc>
        <w:tc>
          <w:tcPr>
            <w:tcW w:w="1134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8 (7 – 10) </w:t>
            </w:r>
          </w:p>
        </w:tc>
        <w:tc>
          <w:tcPr>
            <w:tcW w:w="146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0.69 (0.51 – 0.83)</w:t>
            </w:r>
          </w:p>
        </w:tc>
        <w:tc>
          <w:tcPr>
            <w:tcW w:w="155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0.35 (0.01 – 0.63)</w:t>
            </w:r>
          </w:p>
        </w:tc>
        <w:tc>
          <w:tcPr>
            <w:tcW w:w="1542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0.35 (0.01 – 0.62)</w:t>
            </w:r>
          </w:p>
        </w:tc>
        <w:tc>
          <w:tcPr>
            <w:tcW w:w="1464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0.47 (0.11 – 0.71)</w:t>
            </w:r>
          </w:p>
        </w:tc>
        <w:tc>
          <w:tcPr>
            <w:tcW w:w="149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0.50 (0.16 – 0.73)</w:t>
            </w:r>
          </w:p>
        </w:tc>
      </w:tr>
      <w:tr>
        <w:trPr>
          <w:trHeight w:val="288"/>
        </w:trPr>
        <w:tc>
          <w:tcPr>
            <w:tcW w:w="1017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US"/>
              </w:rPr>
              <w:t>≥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 200</w:t>
            </w:r>
          </w:p>
        </w:tc>
        <w:tc>
          <w:tcPr>
            <w:tcW w:w="455" w:type="dxa"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198" w:type="dxa"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9 (7 -10)</w:t>
            </w:r>
          </w:p>
        </w:tc>
        <w:tc>
          <w:tcPr>
            <w:tcW w:w="1134" w:type="dxa"/>
            <w:shd w:val="clear" w:color="auto" w:fill="FFFFFF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8 (7 – 9)</w:t>
            </w:r>
          </w:p>
        </w:tc>
        <w:tc>
          <w:tcPr>
            <w:tcW w:w="1460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0.85 (0.70– 0.93)</w:t>
            </w:r>
          </w:p>
        </w:tc>
        <w:tc>
          <w:tcPr>
            <w:tcW w:w="1550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0.85</w:t>
            </w:r>
            <w:r>
              <w:rPr>
                <w:rFonts w:ascii="Calibri" w:eastAsia="Calibri" w:hAnsi="Calibri" w:cs="Times New Roman"/>
                <w:szCs w:val="16"/>
                <w:lang w:val="en-US"/>
              </w:rPr>
              <w:t xml:space="preserve"> (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0.64 – 0.94)</w:t>
            </w:r>
          </w:p>
        </w:tc>
        <w:tc>
          <w:tcPr>
            <w:tcW w:w="1542" w:type="dxa"/>
            <w:shd w:val="clear" w:color="auto" w:fill="auto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0.80 (0.55 – 0.92)</w:t>
            </w:r>
          </w:p>
        </w:tc>
        <w:tc>
          <w:tcPr>
            <w:tcW w:w="146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0.80 (0.50 – 0.92)</w:t>
            </w:r>
          </w:p>
        </w:tc>
        <w:tc>
          <w:tcPr>
            <w:tcW w:w="149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0.64 (0.14 – 0.86)</w:t>
            </w:r>
          </w:p>
        </w:tc>
      </w:tr>
      <w:tr>
        <w:trPr>
          <w:trHeight w:val="288"/>
        </w:trPr>
        <w:tc>
          <w:tcPr>
            <w:tcW w:w="101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overall</w:t>
            </w:r>
          </w:p>
        </w:tc>
        <w:tc>
          <w:tcPr>
            <w:tcW w:w="455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104</w:t>
            </w:r>
          </w:p>
        </w:tc>
        <w:tc>
          <w:tcPr>
            <w:tcW w:w="1198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9 (7-10)</w:t>
            </w:r>
          </w:p>
        </w:tc>
        <w:tc>
          <w:tcPr>
            <w:tcW w:w="1134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8 (6 – 9) *</w:t>
            </w:r>
          </w:p>
        </w:tc>
        <w:tc>
          <w:tcPr>
            <w:tcW w:w="146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0.64 (0.54 – 0.72)</w:t>
            </w:r>
          </w:p>
        </w:tc>
        <w:tc>
          <w:tcPr>
            <w:tcW w:w="1550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0.48 (0.16 -0.67)</w:t>
            </w:r>
          </w:p>
        </w:tc>
        <w:tc>
          <w:tcPr>
            <w:tcW w:w="1542" w:type="dxa"/>
            <w:shd w:val="clear" w:color="auto" w:fill="D9D9D9"/>
            <w:tcMar>
              <w:left w:w="103" w:type="dxa"/>
            </w:tcMar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0.44 (0.12 – 0.63)</w:t>
            </w:r>
          </w:p>
        </w:tc>
        <w:tc>
          <w:tcPr>
            <w:tcW w:w="1464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0.52 (0.22 – 0.70)</w:t>
            </w:r>
          </w:p>
        </w:tc>
        <w:tc>
          <w:tcPr>
            <w:tcW w:w="1497" w:type="dxa"/>
            <w:shd w:val="clear" w:color="auto" w:fill="D9D9D9"/>
          </w:tcPr>
          <w:p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0.47 (0.14 – 0.67)</w:t>
            </w:r>
          </w:p>
        </w:tc>
      </w:tr>
    </w:tbl>
    <w:p>
      <w:pPr>
        <w:jc w:val="both"/>
        <w:rPr>
          <w:rFonts w:ascii="Calibri" w:eastAsia="Calibri" w:hAnsi="Calibri" w:cs="Times New Roman"/>
          <w:u w:val="single"/>
          <w:lang w:val="en-US"/>
        </w:rPr>
      </w:pPr>
    </w:p>
    <w:p>
      <w:pPr>
        <w:jc w:val="both"/>
        <w:rPr>
          <w:rFonts w:ascii="Calibri" w:eastAsia="Calibri" w:hAnsi="Calibri" w:cs="Times New Roman"/>
          <w:u w:val="single"/>
          <w:lang w:val="en-US"/>
        </w:rPr>
      </w:pPr>
      <w:r>
        <w:rPr>
          <w:rFonts w:ascii="Calibri" w:eastAsia="Calibri" w:hAnsi="Calibri" w:cs="Times New Roman"/>
          <w:u w:val="single"/>
          <w:lang w:val="en-US"/>
        </w:rPr>
        <w:t>Supplemental table 3:</w:t>
      </w:r>
      <w:r>
        <w:rPr>
          <w:rFonts w:ascii="Calibri" w:eastAsia="Calibri" w:hAnsi="Calibri" w:cs="Times New Roman"/>
          <w:lang w:val="en-US"/>
        </w:rPr>
        <w:t xml:space="preserve"> Subgroup analysis regarding only patients with in-house CTA-based collateral grading (Tan-score) according to </w:t>
      </w:r>
      <w:bookmarkStart w:id="0" w:name="_GoBack"/>
      <w:bookmarkEnd w:id="0"/>
      <w:r>
        <w:rPr>
          <w:rFonts w:ascii="Calibri" w:eastAsia="Calibri" w:hAnsi="Calibri" w:cs="Times New Roman"/>
          <w:lang w:val="en-US"/>
        </w:rPr>
        <w:t xml:space="preserve">OTI. </w:t>
      </w:r>
      <w:proofErr w:type="gramStart"/>
      <w:r>
        <w:rPr>
          <w:rFonts w:ascii="Calibri" w:eastAsia="Calibri" w:hAnsi="Calibri" w:cs="Times New Roman"/>
          <w:lang w:val="en-US"/>
        </w:rPr>
        <w:t>Also</w:t>
      </w:r>
      <w:proofErr w:type="gramEnd"/>
      <w:r>
        <w:rPr>
          <w:rFonts w:ascii="Calibri" w:eastAsia="Calibri" w:hAnsi="Calibri" w:cs="Times New Roman"/>
          <w:lang w:val="en-US"/>
        </w:rPr>
        <w:t xml:space="preserve"> here, Tan-scores differ significantly between patients with OTI &lt; 100 min and patients with long OTI </w:t>
      </w:r>
      <w:r>
        <w:rPr>
          <w:rFonts w:ascii="Calibri" w:eastAsia="Calibri" w:hAnsi="Calibri" w:cs="Calibri"/>
          <w:lang w:val="en-US"/>
        </w:rPr>
        <w:t>≥</w:t>
      </w:r>
      <w:r>
        <w:rPr>
          <w:rFonts w:ascii="Calibri" w:eastAsia="Calibri" w:hAnsi="Calibri" w:cs="Times New Roman"/>
          <w:lang w:val="en-US"/>
        </w:rPr>
        <w:t xml:space="preserve"> 200 min (p = 0.01) with a selection bias towards patients with better collaterals in the later time windows. Significant correlation between TAN-score and ASPECTS (acute and follow-up) were found especially in the short OTI.</w:t>
      </w:r>
      <w:r>
        <w:rPr>
          <w:rFonts w:ascii="Calibri" w:eastAsia="Calibri" w:hAnsi="Calibri" w:cs="Times New Roman"/>
          <w:u w:val="single"/>
          <w:lang w:val="en-US"/>
        </w:rPr>
        <w:t xml:space="preserve"> </w:t>
      </w:r>
    </w:p>
    <w:tbl>
      <w:tblPr>
        <w:tblStyle w:val="Tabellenraster"/>
        <w:tblpPr w:leftFromText="141" w:rightFromText="141" w:vertAnchor="text" w:horzAnchor="margin" w:tblpY="212"/>
        <w:tblW w:w="9209" w:type="dxa"/>
        <w:tblLayout w:type="fixed"/>
        <w:tblLook w:val="04A0" w:firstRow="1" w:lastRow="0" w:firstColumn="1" w:lastColumn="0" w:noHBand="0" w:noVBand="1"/>
      </w:tblPr>
      <w:tblGrid>
        <w:gridCol w:w="850"/>
        <w:gridCol w:w="563"/>
        <w:gridCol w:w="992"/>
        <w:gridCol w:w="1564"/>
        <w:gridCol w:w="709"/>
        <w:gridCol w:w="1563"/>
        <w:gridCol w:w="700"/>
        <w:gridCol w:w="1418"/>
        <w:gridCol w:w="850"/>
      </w:tblGrid>
      <w:tr>
        <w:trPr>
          <w:trHeight w:val="282"/>
        </w:trPr>
        <w:tc>
          <w:tcPr>
            <w:tcW w:w="850" w:type="dxa"/>
            <w:vMerge w:val="restart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</w:p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OTI</w:t>
            </w:r>
          </w:p>
        </w:tc>
        <w:tc>
          <w:tcPr>
            <w:tcW w:w="563" w:type="dxa"/>
            <w:vMerge w:val="restart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</w:p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Tan-Score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Correlation between Tan-Score and:</w:t>
            </w:r>
          </w:p>
        </w:tc>
      </w:tr>
      <w:tr>
        <w:trPr>
          <w:trHeight w:val="282"/>
        </w:trPr>
        <w:tc>
          <w:tcPr>
            <w:tcW w:w="850" w:type="dxa"/>
            <w:vMerge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vMerge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gridSpan w:val="2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acute ASPECTS (consensus)</w:t>
            </w:r>
          </w:p>
        </w:tc>
        <w:tc>
          <w:tcPr>
            <w:tcW w:w="2263" w:type="dxa"/>
            <w:gridSpan w:val="2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e-ASPECTS</w:t>
            </w:r>
          </w:p>
        </w:tc>
        <w:tc>
          <w:tcPr>
            <w:tcW w:w="2268" w:type="dxa"/>
            <w:gridSpan w:val="2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follow-up ASPECTS</w:t>
            </w:r>
          </w:p>
        </w:tc>
      </w:tr>
      <w:tr>
        <w:tc>
          <w:tcPr>
            <w:tcW w:w="85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min</w:t>
            </w:r>
          </w:p>
        </w:tc>
        <w:tc>
          <w:tcPr>
            <w:tcW w:w="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Median (IQR)</w:t>
            </w:r>
          </w:p>
        </w:tc>
        <w:tc>
          <w:tcPr>
            <w:tcW w:w="1564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ρ (CI)</w:t>
            </w:r>
          </w:p>
        </w:tc>
        <w:tc>
          <w:tcPr>
            <w:tcW w:w="709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1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ρ (CI)</w:t>
            </w:r>
          </w:p>
        </w:tc>
        <w:tc>
          <w:tcPr>
            <w:tcW w:w="70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1418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ρ (CI)</w:t>
            </w:r>
          </w:p>
        </w:tc>
        <w:tc>
          <w:tcPr>
            <w:tcW w:w="85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</w:tr>
      <w:tr>
        <w:tc>
          <w:tcPr>
            <w:tcW w:w="850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 – 99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(1 – 2)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0.42 (0.19 – 0.64)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0.002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0.39 (0.14 – 0.64)</w:t>
            </w:r>
          </w:p>
        </w:tc>
        <w:tc>
          <w:tcPr>
            <w:tcW w:w="700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0.003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0.57 (0.35 – 0.79)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&lt; 0.001</w:t>
            </w:r>
          </w:p>
        </w:tc>
      </w:tr>
      <w:tr>
        <w:tc>
          <w:tcPr>
            <w:tcW w:w="85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100 – 199</w:t>
            </w:r>
          </w:p>
        </w:tc>
        <w:tc>
          <w:tcPr>
            <w:tcW w:w="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(1 – 3)</w:t>
            </w:r>
          </w:p>
        </w:tc>
        <w:tc>
          <w:tcPr>
            <w:tcW w:w="1564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0.15 (-0.26 – 0.57)</w:t>
            </w: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0.43</w:t>
            </w:r>
          </w:p>
        </w:tc>
        <w:tc>
          <w:tcPr>
            <w:tcW w:w="1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0.30 (-0.06 – 0.67)</w:t>
            </w:r>
          </w:p>
        </w:tc>
        <w:tc>
          <w:tcPr>
            <w:tcW w:w="70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0.11</w:t>
            </w:r>
          </w:p>
        </w:tc>
        <w:tc>
          <w:tcPr>
            <w:tcW w:w="1418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0.31 (-0.11 – 0.72)</w:t>
            </w: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0.10</w:t>
            </w:r>
          </w:p>
        </w:tc>
      </w:tr>
      <w:tr>
        <w:tc>
          <w:tcPr>
            <w:tcW w:w="850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&gt;= 200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 (2 – </w:t>
            </w:r>
            <w:proofErr w:type="gramStart"/>
            <w:r>
              <w:rPr>
                <w:rFonts w:cstheme="minorHAnsi"/>
                <w:sz w:val="16"/>
                <w:szCs w:val="16"/>
              </w:rPr>
              <w:t>3)*</w:t>
            </w:r>
            <w:proofErr w:type="gramEnd"/>
          </w:p>
        </w:tc>
        <w:tc>
          <w:tcPr>
            <w:tcW w:w="1564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0.23 (-0.24 – 0.70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0.33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0.09 (-0.37 – 0.55)</w:t>
            </w:r>
          </w:p>
        </w:tc>
        <w:tc>
          <w:tcPr>
            <w:tcW w:w="700" w:type="dxa"/>
            <w:shd w:val="clear" w:color="auto" w:fill="D9D9D9" w:themeFill="background1" w:themeFillShade="D9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0.37 (-0.07 – 0.80)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0.11</w:t>
            </w:r>
          </w:p>
        </w:tc>
      </w:tr>
      <w:tr>
        <w:tc>
          <w:tcPr>
            <w:tcW w:w="85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overall</w:t>
            </w:r>
          </w:p>
        </w:tc>
        <w:tc>
          <w:tcPr>
            <w:tcW w:w="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104</w:t>
            </w: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(1 – 3)</w:t>
            </w:r>
          </w:p>
        </w:tc>
        <w:tc>
          <w:tcPr>
            <w:tcW w:w="1564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0.28 (0.10 – 0.47)</w:t>
            </w: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0.003</w:t>
            </w:r>
          </w:p>
        </w:tc>
        <w:tc>
          <w:tcPr>
            <w:tcW w:w="1563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0.30 (0.12 – 0.48)</w:t>
            </w:r>
          </w:p>
        </w:tc>
        <w:tc>
          <w:tcPr>
            <w:tcW w:w="700" w:type="dxa"/>
          </w:tcPr>
          <w:p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0.002</w:t>
            </w:r>
          </w:p>
        </w:tc>
        <w:tc>
          <w:tcPr>
            <w:tcW w:w="1418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0.48 (0.30 – 0.65) </w:t>
            </w: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Calibri" w:eastAsia="Calibri" w:hAnsi="Calibri" w:cs="Times New Roman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&lt; 0.001</w:t>
            </w:r>
          </w:p>
        </w:tc>
      </w:tr>
    </w:tbl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F482-7C5B-4129-ACD8-DE528A25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70419379.dotm</Template>
  <TotalTime>0</TotalTime>
  <Pages>1</Pages>
  <Words>362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Mutke</dc:creator>
  <cp:keywords/>
  <dc:description/>
  <cp:lastModifiedBy>Potreck, Arne</cp:lastModifiedBy>
  <cp:revision>2</cp:revision>
  <dcterms:created xsi:type="dcterms:W3CDTF">2021-10-03T06:08:00Z</dcterms:created>
  <dcterms:modified xsi:type="dcterms:W3CDTF">2021-10-03T06:08:00Z</dcterms:modified>
</cp:coreProperties>
</file>