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ABDD" w14:textId="5284B34B" w:rsidR="00EB404E" w:rsidRPr="00B67143" w:rsidRDefault="00EB404E" w:rsidP="00EB404E">
      <w:pPr>
        <w:spacing w:line="480" w:lineRule="auto"/>
        <w:jc w:val="both"/>
        <w:rPr>
          <w:b/>
          <w:lang w:val="en-US"/>
        </w:rPr>
      </w:pPr>
      <w:r w:rsidRPr="00B67143">
        <w:rPr>
          <w:b/>
          <w:lang w:val="en-US"/>
        </w:rPr>
        <w:t>Supplementary Table 1. Baseline characteristics of stroke patients with posterior circulation large vessel occlusion</w:t>
      </w:r>
    </w:p>
    <w:tbl>
      <w:tblPr>
        <w:tblW w:w="13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1600"/>
        <w:gridCol w:w="1600"/>
        <w:gridCol w:w="1600"/>
        <w:gridCol w:w="1160"/>
        <w:gridCol w:w="1600"/>
        <w:gridCol w:w="1600"/>
        <w:gridCol w:w="1100"/>
      </w:tblGrid>
      <w:tr w:rsidR="00E82B07" w:rsidRPr="00E82B07" w14:paraId="086B2B27" w14:textId="77777777" w:rsidTr="00E82B07">
        <w:trPr>
          <w:trHeight w:val="500"/>
        </w:trPr>
        <w:tc>
          <w:tcPr>
            <w:tcW w:w="3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47BBA" w14:textId="77777777" w:rsidR="00E82B07" w:rsidRPr="00E82B07" w:rsidRDefault="00E82B07" w:rsidP="00E82B07">
            <w:pPr>
              <w:rPr>
                <w:b/>
                <w:bCs/>
                <w:color w:val="000000"/>
                <w:sz w:val="18"/>
                <w:szCs w:val="18"/>
              </w:rPr>
            </w:pPr>
            <w:bookmarkStart w:id="0" w:name="RANGE!B2:I31"/>
            <w:r w:rsidRPr="00E82B07">
              <w:rPr>
                <w:b/>
                <w:bCs/>
                <w:color w:val="000000"/>
                <w:sz w:val="18"/>
                <w:szCs w:val="18"/>
              </w:rPr>
              <w:t>Variable</w:t>
            </w:r>
            <w:bookmarkEnd w:id="0"/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B86E7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All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23412D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CCI&lt;2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8865E4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CCI≥2</w:t>
            </w:r>
          </w:p>
        </w:tc>
        <w:tc>
          <w:tcPr>
            <w:tcW w:w="11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B9B01F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p-Wert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67C5E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Ohne Polypharmazie</w:t>
            </w:r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FDD339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Polypharmazie</w:t>
            </w:r>
          </w:p>
        </w:tc>
        <w:tc>
          <w:tcPr>
            <w:tcW w:w="11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9D30EF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p-Wert</w:t>
            </w:r>
          </w:p>
        </w:tc>
      </w:tr>
      <w:tr w:rsidR="00E82B07" w:rsidRPr="00E82B07" w14:paraId="12B42AFB" w14:textId="77777777" w:rsidTr="00E82B07">
        <w:trPr>
          <w:trHeight w:val="500"/>
        </w:trPr>
        <w:tc>
          <w:tcPr>
            <w:tcW w:w="35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63210E" w14:textId="77777777" w:rsidR="00E82B07" w:rsidRPr="00E82B07" w:rsidRDefault="00E82B07" w:rsidP="00E82B0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7DE2A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N=104 (100%)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12E76B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N=73 (70.2%)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44DEF1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N= 31 (29.8%)</w:t>
            </w:r>
          </w:p>
        </w:tc>
        <w:tc>
          <w:tcPr>
            <w:tcW w:w="11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29B30B" w14:textId="77777777" w:rsidR="00E82B07" w:rsidRPr="00E82B07" w:rsidRDefault="00E82B07" w:rsidP="00E82B0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C691A0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N=61 (58.7%)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6CD7ECB" w14:textId="77777777" w:rsidR="00E82B07" w:rsidRPr="00E82B07" w:rsidRDefault="00E82B07" w:rsidP="00E82B0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82B07">
              <w:rPr>
                <w:b/>
                <w:bCs/>
                <w:color w:val="000000"/>
                <w:sz w:val="18"/>
                <w:szCs w:val="18"/>
              </w:rPr>
              <w:t>N= 43 (41.3%)</w:t>
            </w:r>
          </w:p>
        </w:tc>
        <w:tc>
          <w:tcPr>
            <w:tcW w:w="11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85F927" w14:textId="77777777" w:rsidR="00E82B07" w:rsidRPr="00E82B07" w:rsidRDefault="00E82B07" w:rsidP="00E82B0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E82B07" w:rsidRPr="00E82B07" w14:paraId="4B0292A5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1A28C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Age, mean (SD)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593A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70.5 (12.8)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E296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70.0 (13.3)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68BF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71.6 (11.6)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443C4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0.549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A98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68.1 (13.7)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C1BC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73.8 (10.5)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2473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0.019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</w:tr>
      <w:tr w:rsidR="00E82B07" w:rsidRPr="00E82B07" w14:paraId="43092087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0AE57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Female,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D16B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44 (42.3%)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80B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25 (34.2%)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DCD51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19 (61.3%)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838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0.019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A97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29 (47.5%)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D2E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15 (34.9%)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1ED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0.278  </w:t>
            </w:r>
          </w:p>
        </w:tc>
      </w:tr>
      <w:tr w:rsidR="00E82B07" w:rsidRPr="00E82B07" w14:paraId="1EA8BB0A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1A466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Independent living at home before stroke,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CB03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94 (91.3%)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6C6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66 (91.7%)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6769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28 (90.3%)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6D40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0.372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E2D1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57 (95.0%)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A305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37 (86.0%)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D26DC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0.190  </w:t>
            </w:r>
          </w:p>
        </w:tc>
      </w:tr>
      <w:tr w:rsidR="00E82B07" w:rsidRPr="00E82B07" w14:paraId="5C77DBF0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C1E70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Prestroke mRS score, median (IQR)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8842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0.00 [0.00-0.00]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3BC3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0.00 [0.00-0.00]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86C3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0.00 [0.00-1.00]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327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0.029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4A84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0.00 [0.00-0.00]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5569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0.00 [0.00-1.00]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5847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0.017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</w:tr>
      <w:tr w:rsidR="00E82B07" w:rsidRPr="00E82B07" w14:paraId="3DBDDDBC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790D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Prestroke mRS score 0-2, median (IQR)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9D30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90 (86.5%)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44D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64 (87.7%)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377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26 (83.9%)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82A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0.754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04A3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55 (90.2%)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E38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35 (81.4%)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14B9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0.318  </w:t>
            </w:r>
          </w:p>
        </w:tc>
      </w:tr>
      <w:tr w:rsidR="00E82B07" w:rsidRPr="00E82B07" w14:paraId="3C27C122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05522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Prestroke mRS score &gt;2,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EB90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14 (13.5%)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D9D9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9 (12.3%)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2F8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5 (16.1%)  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F4CC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0.754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D4E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6 (9.84%)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23F0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8 (18.6%)          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823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0.318  </w:t>
            </w:r>
          </w:p>
        </w:tc>
      </w:tr>
      <w:tr w:rsidR="00E82B07" w:rsidRPr="00E82B07" w14:paraId="038671FC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910B0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Stroke etiology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219E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ED2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2139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   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4014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0.234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23B7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1574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    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CDA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0.531  </w:t>
            </w:r>
          </w:p>
        </w:tc>
      </w:tr>
      <w:tr w:rsidR="00E82B07" w:rsidRPr="00E82B07" w14:paraId="4BAF6DF8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F7184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- Cardioembolic stroke,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2ABC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37 (35.6%)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5789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24 (32.9%)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01DA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13 (41.9%)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B57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708A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18 (29.5%)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466C1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19 (44.2%)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6E3D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</w:tr>
      <w:tr w:rsidR="00E82B07" w:rsidRPr="00E82B07" w14:paraId="6F8AF818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AAC25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- Dissection,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AD43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 (1.92%)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D2F5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 (1.37%)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D9D6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 (3.23%)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5EB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D06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 (3.28%)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3AAA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0 (0.00%) 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C12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</w:tr>
      <w:tr w:rsidR="00E82B07" w:rsidRPr="00E82B07" w14:paraId="44E615F2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B09F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- Atherosclerosis 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0A00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53 (51.0%)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6EA7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41 (56.2%)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E394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12 (38.7%)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8A62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BB1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34 (55.7%)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BB79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19 (44.2%)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E16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</w:tr>
      <w:tr w:rsidR="00E82B07" w:rsidRPr="00E82B07" w14:paraId="120D31C0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CEB6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- Others,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083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5 (4.81%)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7EA2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 (5.48%)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789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 (3.23%)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6E2DC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9F4C1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 (4.92%)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F686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 (4.65%) 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42A0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</w:tr>
      <w:tr w:rsidR="00E82B07" w:rsidRPr="00E82B07" w14:paraId="051AE7E4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A591C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- Stroke of undetermined etiology,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502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7 (6.73%)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BED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 (4.11%)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DDD4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 (12.9%)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CFB09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76D1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 (6.56%)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22AF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 (6.98%) 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CE8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      </w:t>
            </w:r>
          </w:p>
        </w:tc>
      </w:tr>
      <w:tr w:rsidR="00E82B07" w:rsidRPr="00E82B07" w14:paraId="1F1E7A78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EB6F2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CCI score, median (IQR)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D46B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1.00 (0.00-2.00)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DD9F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385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D55D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E25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0.00 [0.00-1.00]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026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1.00 [0.50-2.00]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B9E8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0.002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</w:tr>
      <w:tr w:rsidR="00E82B07" w:rsidRPr="00E82B07" w14:paraId="683795A5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4CFFA5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CCI score ≥ 2, n (%)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43A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31 (29.8%)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D22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3D0C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9BA2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6ED8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12 (19.7%)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A7A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19 (44.2%)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3169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0.013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</w:tr>
      <w:tr w:rsidR="00E82B07" w:rsidRPr="00E82B07" w14:paraId="71BD8793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4CA83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Medication on admission, mean (SD)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9C8D4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4.23 (3.29)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A1A3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3.63 (3.08)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DE4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5.65 (3.37)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C56F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0.006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1FD0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1.97 (1.51)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DC9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7.44 (2.29)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9D8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&lt;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0.001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</w:tr>
      <w:tr w:rsidR="00E82B07" w:rsidRPr="00E82B07" w14:paraId="2833B1BA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6FC34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Polypharmacy,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1CA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43 (41.3%)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5EA4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24 (32.9%)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9040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19 (61.3%)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B50F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0.013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BD5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2C51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E151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N.A.</w:t>
            </w:r>
          </w:p>
        </w:tc>
      </w:tr>
      <w:tr w:rsidR="00E82B07" w:rsidRPr="00E82B07" w14:paraId="660399AE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E31E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Arterial hypertension,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D8B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84 (80.8%)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47D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57 (78.1%)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0D42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27 (87.1%)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78AA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0.427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DE74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45 (73.8%)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6FC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39 (90.7%)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F43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0.057  </w:t>
            </w:r>
          </w:p>
        </w:tc>
      </w:tr>
      <w:tr w:rsidR="00E82B07" w:rsidRPr="00E82B07" w14:paraId="4E1ABCAE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B9A08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Dyslipidemia,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0E2E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12 (11.5%)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672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11 (15.1%)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EB48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 (3.23%)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FE1E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0.103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2C5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 (6.56%)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4D6A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8 (18.6%) 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ADF7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0.069  </w:t>
            </w:r>
          </w:p>
        </w:tc>
      </w:tr>
      <w:tr w:rsidR="00E82B07" w:rsidRPr="00E82B07" w14:paraId="402F4D8B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535C0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Atrial fibrillation,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BFF17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38 (36.5%)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5BE0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25 (34.2%)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877A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13 (41.9%)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3ED0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0.602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324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18 (29.5%)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EA63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20 (46.5%)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4C1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0.117  </w:t>
            </w:r>
          </w:p>
        </w:tc>
      </w:tr>
      <w:tr w:rsidR="00E82B07" w:rsidRPr="00E82B07" w14:paraId="2B6C35F3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EA2D6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NIHSS score, median (IQR)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9E7A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18.0 [8.00-42.0]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99C1C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16.0 [8.00-42.0]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A3D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23.5 [11.0-42.0]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8DF8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0.117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4F9A4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14.0 [8.00-42.0]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9E51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19.5 [9.25-42.0]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76FE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0.408  </w:t>
            </w:r>
          </w:p>
        </w:tc>
      </w:tr>
      <w:tr w:rsidR="00E82B07" w:rsidRPr="00E82B07" w14:paraId="5DAB2309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8710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IVT,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05E3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50 (48.1%)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AF89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37 (50.7%)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F6A7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13 (41.9%)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3EDC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0.547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0559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31 (50.8%)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7EC3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19 (44.2%)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EAD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0.640  </w:t>
            </w:r>
          </w:p>
        </w:tc>
      </w:tr>
      <w:tr w:rsidR="00E82B07" w:rsidRPr="00E82B07" w14:paraId="67E8693F" w14:textId="77777777" w:rsidTr="00E82B07">
        <w:trPr>
          <w:trHeight w:val="3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E8B0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Ship, n (%)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A684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62 (59.6%)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02CE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43 (58.9%)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8BA4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19 (61.3%)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B79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0.993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4299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39 (63.9%)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BCBF1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23 (53.5%)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B805D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0.386  </w:t>
            </w:r>
          </w:p>
        </w:tc>
      </w:tr>
      <w:tr w:rsidR="00E82B07" w:rsidRPr="00E82B07" w14:paraId="2BDBEC5C" w14:textId="77777777" w:rsidTr="00E82B07">
        <w:trPr>
          <w:trHeight w:val="6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A7139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  <w:lang w:val="en-US"/>
              </w:rPr>
            </w:pPr>
            <w:r w:rsidRPr="00E82B07">
              <w:rPr>
                <w:color w:val="000000"/>
                <w:sz w:val="18"/>
                <w:szCs w:val="18"/>
                <w:lang w:val="en-US"/>
              </w:rPr>
              <w:lastRenderedPageBreak/>
              <w:t>Time from symptom onset to groin puncture, median (IQR), min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681A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82B07">
              <w:rPr>
                <w:color w:val="000000"/>
                <w:sz w:val="18"/>
                <w:szCs w:val="18"/>
              </w:rPr>
              <w:t xml:space="preserve">210 [150-315]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DDB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227 [150-324]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FE4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200 [160-295]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E2EE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0.828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B365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237 [154-350]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147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173 [150-295]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F402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0.344  </w:t>
            </w:r>
          </w:p>
        </w:tc>
      </w:tr>
      <w:tr w:rsidR="00E82B07" w:rsidRPr="00E82B07" w14:paraId="18736952" w14:textId="77777777" w:rsidTr="00E82B07">
        <w:trPr>
          <w:trHeight w:val="620"/>
        </w:trPr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74C15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  <w:lang w:val="en-US"/>
              </w:rPr>
            </w:pPr>
            <w:r w:rsidRPr="00E82B07">
              <w:rPr>
                <w:color w:val="000000"/>
                <w:sz w:val="18"/>
                <w:szCs w:val="18"/>
                <w:lang w:val="en-US"/>
              </w:rPr>
              <w:t>Time from symptom onset to recanalization, median (IQR), min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E801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E82B07">
              <w:rPr>
                <w:color w:val="000000"/>
                <w:sz w:val="18"/>
                <w:szCs w:val="18"/>
              </w:rPr>
              <w:t xml:space="preserve">288 [206-380]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5EB7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306 [207-363]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73C0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263 [207-379]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AAF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0.659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B71FC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310 [223-400]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09E4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266 [201-342]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BE9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0.357  </w:t>
            </w:r>
          </w:p>
        </w:tc>
      </w:tr>
      <w:tr w:rsidR="00E82B07" w:rsidRPr="00E82B07" w14:paraId="34D37EA2" w14:textId="77777777" w:rsidTr="00E82B07">
        <w:trPr>
          <w:trHeight w:val="300"/>
        </w:trPr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26B0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TICI 2b-3,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4F4BE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85 (82.5%)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E0FD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59 (80.8%)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82E5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26 (86.7%)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470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0.671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DE95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49 (81.7%)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53E4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36 (83.7%)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B23A6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0.994  </w:t>
            </w:r>
          </w:p>
        </w:tc>
      </w:tr>
      <w:tr w:rsidR="00E82B07" w:rsidRPr="00E82B07" w14:paraId="306D5151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D2D6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mRS 90 days after stroke, median (IQR)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283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4.00 [2.00-6.00]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BDD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4.00 [2.00-6.00]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0FF53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4.00 [2.00-6.00]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FEB6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0.457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740A9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3.00 [2.00-5.00]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8769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5.00 [3.00-6.00]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B84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</w:t>
            </w:r>
            <w:r w:rsidRPr="00E82B07">
              <w:rPr>
                <w:b/>
                <w:bCs/>
                <w:color w:val="333333"/>
                <w:sz w:val="18"/>
                <w:szCs w:val="18"/>
              </w:rPr>
              <w:t>0.020</w:t>
            </w:r>
            <w:r w:rsidRPr="00E82B07">
              <w:rPr>
                <w:color w:val="333333"/>
                <w:sz w:val="18"/>
                <w:szCs w:val="18"/>
              </w:rPr>
              <w:t xml:space="preserve">  </w:t>
            </w:r>
          </w:p>
        </w:tc>
      </w:tr>
      <w:tr w:rsidR="00E82B07" w:rsidRPr="00E82B07" w14:paraId="1FC2D575" w14:textId="77777777" w:rsidTr="00E82B07">
        <w:trPr>
          <w:trHeight w:val="30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5671E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mRS 0-2 90 days after stroke,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1D54F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32 (30.8%)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10D0A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23 (31.5%)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E3491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9 (29.0%) 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362C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0.986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9721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23 (37.7%)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AC39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9 (20.9%) 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EDB60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0.107  </w:t>
            </w:r>
          </w:p>
        </w:tc>
      </w:tr>
      <w:tr w:rsidR="00E82B07" w:rsidRPr="00E82B07" w14:paraId="57EB4AD5" w14:textId="77777777" w:rsidTr="00E82B07">
        <w:trPr>
          <w:trHeight w:val="320"/>
        </w:trPr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3AC58" w14:textId="77777777" w:rsidR="00E82B07" w:rsidRPr="00E82B07" w:rsidRDefault="00E82B07" w:rsidP="00E82B07">
            <w:pPr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>mRS 6 90 days after stroke, n (%)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76058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31 (29.8%)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E889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20 (27.4%)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9E1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11 (35.5%)   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EB44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0.555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A3132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14 (23.0%)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2C6B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 17 (39.5%)  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AFC3C" w14:textId="77777777" w:rsidR="00E82B07" w:rsidRPr="00E82B07" w:rsidRDefault="00E82B07" w:rsidP="00E82B07">
            <w:pPr>
              <w:jc w:val="center"/>
              <w:rPr>
                <w:color w:val="000000"/>
                <w:sz w:val="18"/>
                <w:szCs w:val="18"/>
              </w:rPr>
            </w:pPr>
            <w:r w:rsidRPr="00E82B07">
              <w:rPr>
                <w:color w:val="000000"/>
                <w:sz w:val="18"/>
                <w:szCs w:val="18"/>
              </w:rPr>
              <w:t xml:space="preserve">  0.109  </w:t>
            </w:r>
          </w:p>
        </w:tc>
      </w:tr>
    </w:tbl>
    <w:p w14:paraId="47831846" w14:textId="77777777" w:rsidR="00EB404E" w:rsidRPr="00B67143" w:rsidRDefault="00EB404E" w:rsidP="00EB404E">
      <w:pPr>
        <w:spacing w:line="480" w:lineRule="auto"/>
        <w:jc w:val="both"/>
        <w:rPr>
          <w:b/>
          <w:lang w:val="en-US"/>
        </w:rPr>
      </w:pPr>
    </w:p>
    <w:p w14:paraId="0B471AD0" w14:textId="1C1CE439" w:rsidR="00EB404E" w:rsidRPr="00B67143" w:rsidRDefault="00EB404E" w:rsidP="00EB404E">
      <w:pPr>
        <w:spacing w:line="480" w:lineRule="auto"/>
        <w:jc w:val="both"/>
        <w:rPr>
          <w:bCs/>
          <w:lang w:val="en-US"/>
        </w:rPr>
      </w:pPr>
      <w:r w:rsidRPr="00B67143">
        <w:rPr>
          <w:bCs/>
          <w:lang w:val="en-US"/>
        </w:rPr>
        <w:t>Abbreviations: CCI, Charlson Comorbidity Index; IQR, Interquartile Range; IVT, Intravenous Thrombolysis; mRS, Modified Rankin Scale; NIHSS, National Institutes of Health Stroke Scale; SD, Standard Deviation; TICI, Thrombolysis in Cerebral Infarction.</w:t>
      </w:r>
    </w:p>
    <w:p w14:paraId="586B5207" w14:textId="77777777" w:rsidR="007B0FFC" w:rsidRPr="00B67143" w:rsidRDefault="007B0FFC">
      <w:pPr>
        <w:rPr>
          <w:bCs/>
          <w:lang w:val="en-US"/>
        </w:rPr>
      </w:pPr>
    </w:p>
    <w:p w14:paraId="56BA3E85" w14:textId="37ABFAF5" w:rsidR="002F02C7" w:rsidRPr="00B67143" w:rsidRDefault="002F02C7" w:rsidP="002F02C7">
      <w:pPr>
        <w:spacing w:line="480" w:lineRule="auto"/>
        <w:jc w:val="both"/>
        <w:rPr>
          <w:b/>
          <w:lang w:val="en-US"/>
        </w:rPr>
      </w:pPr>
      <w:r w:rsidRPr="00B67143">
        <w:rPr>
          <w:b/>
          <w:lang w:val="en-US"/>
        </w:rPr>
        <w:br w:type="column"/>
      </w:r>
      <w:r w:rsidRPr="00B67143">
        <w:rPr>
          <w:b/>
          <w:lang w:val="en-US"/>
        </w:rPr>
        <w:lastRenderedPageBreak/>
        <w:t>Supplementary Table 2. Logistic regression analysis between variables and favourable outcome</w:t>
      </w:r>
    </w:p>
    <w:tbl>
      <w:tblPr>
        <w:tblW w:w="13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700"/>
        <w:gridCol w:w="1180"/>
        <w:gridCol w:w="1180"/>
        <w:gridCol w:w="700"/>
        <w:gridCol w:w="700"/>
        <w:gridCol w:w="1180"/>
        <w:gridCol w:w="1180"/>
        <w:gridCol w:w="700"/>
        <w:gridCol w:w="700"/>
        <w:gridCol w:w="1180"/>
        <w:gridCol w:w="1180"/>
        <w:gridCol w:w="700"/>
      </w:tblGrid>
      <w:tr w:rsidR="00680B28" w:rsidRPr="00680B28" w14:paraId="7EB6B6CD" w14:textId="77777777" w:rsidTr="00680B28">
        <w:trPr>
          <w:trHeight w:val="800"/>
        </w:trPr>
        <w:tc>
          <w:tcPr>
            <w:tcW w:w="21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78E811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Independent variable</w:t>
            </w:r>
          </w:p>
        </w:tc>
        <w:tc>
          <w:tcPr>
            <w:tcW w:w="376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6BD7E6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Univariable  (n = from 103 to 104)</w:t>
            </w:r>
          </w:p>
        </w:tc>
        <w:tc>
          <w:tcPr>
            <w:tcW w:w="376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4678FB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Multivariable, full model (n = 101)</w:t>
            </w:r>
          </w:p>
        </w:tc>
        <w:tc>
          <w:tcPr>
            <w:tcW w:w="376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9C1AA4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  <w:lang w:val="en-US"/>
              </w:rPr>
              <w:t>Multivariable, final model (stepwise-backward, n = 101)</w:t>
            </w:r>
          </w:p>
        </w:tc>
      </w:tr>
      <w:tr w:rsidR="00680B28" w:rsidRPr="00680B28" w14:paraId="368B356F" w14:textId="77777777" w:rsidTr="00680B28">
        <w:trPr>
          <w:trHeight w:val="800"/>
        </w:trPr>
        <w:tc>
          <w:tcPr>
            <w:tcW w:w="21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8FE3A3" w14:textId="77777777" w:rsidR="00680B28" w:rsidRPr="00680B28" w:rsidRDefault="00680B28" w:rsidP="00680B28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C626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OR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A62CA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lower 95% CI limit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CC80F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upper 95% CI limit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3B7C6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p value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F5FA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OR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69DD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lower 95% CI limit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4084B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upper 95% CI limit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8F0A40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p value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0D66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OR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3B4DB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lower 95% CI limit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E153E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upper 95% CI limit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1C3A4" w14:textId="77777777" w:rsidR="00680B28" w:rsidRPr="00680B28" w:rsidRDefault="00680B28" w:rsidP="00680B28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80B28">
              <w:rPr>
                <w:b/>
                <w:bCs/>
                <w:color w:val="000000"/>
                <w:sz w:val="18"/>
                <w:szCs w:val="18"/>
              </w:rPr>
              <w:t>p value</w:t>
            </w:r>
          </w:p>
        </w:tc>
      </w:tr>
      <w:tr w:rsidR="00680B28" w:rsidRPr="00680B28" w14:paraId="55F085B4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8DA869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Age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289C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0,972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B812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F54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1,004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5E9AC7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487C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AB69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0,941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A8C2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1,043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DF85D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0,722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799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C88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D1D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ED78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6900ACE9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4634DE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CCI score ≥ 2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6E06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0,889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B61E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0,355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895C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2,230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8663C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0,803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ED8D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1,699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2244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0,458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7504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6,310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CE7C9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0,428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EA8C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117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1ECE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89795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11A23703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64A39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Arterial hypertension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A55E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0,787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E800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0,281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2186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2,207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E35E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0,649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6B1A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1,086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9A86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0,253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F8B9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4,655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9AA42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7471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F845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5CE6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C57D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4494BBE0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51D26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Atrial fibrillation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BF0F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1,286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88D2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0,546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AF7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3,028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46A4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0,564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18C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3,236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5E3F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0,885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6B34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11,837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830A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EBDA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E5A7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E31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C5BA9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4E78FC67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6BFA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Dyslipidemia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3030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0,179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7052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D36B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A9790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5CEC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0,223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96C3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9A3B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2,410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79A71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0,216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C563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E6D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C0A7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BB60B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5AF6F9FF" w14:textId="77777777" w:rsidTr="00680B28">
        <w:trPr>
          <w:trHeight w:val="480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77EBAA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  <w:lang w:val="en-US"/>
              </w:rPr>
            </w:pPr>
            <w:r w:rsidRPr="00680B28">
              <w:rPr>
                <w:color w:val="000000"/>
                <w:sz w:val="18"/>
                <w:szCs w:val="18"/>
                <w:lang w:val="en-US"/>
              </w:rPr>
              <w:t xml:space="preserve">Pre-stroke living status: Independent at home 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88FF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80B28"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8650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80B28"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7A28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680B28">
              <w:rPr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282E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50BA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260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B800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A9FA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663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53E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FB18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6A101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35C79A37" w14:textId="77777777" w:rsidTr="00680B28">
        <w:trPr>
          <w:trHeight w:val="5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E190B7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  <w:lang w:val="en-US"/>
              </w:rPr>
            </w:pPr>
            <w:r w:rsidRPr="00680B28">
              <w:rPr>
                <w:color w:val="000000"/>
                <w:sz w:val="18"/>
                <w:szCs w:val="18"/>
                <w:lang w:val="en-US"/>
              </w:rPr>
              <w:t>Pre-stroke living status: Nursing at home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9979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9774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1256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A48EA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152E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6C85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018E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574BD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C08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BFEC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AB19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B299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7F55F01F" w14:textId="77777777" w:rsidTr="00680B28">
        <w:trPr>
          <w:trHeight w:val="5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73FC55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  <w:lang w:val="en-US"/>
              </w:rPr>
            </w:pPr>
            <w:r w:rsidRPr="00680B28">
              <w:rPr>
                <w:color w:val="000000"/>
                <w:sz w:val="18"/>
                <w:szCs w:val="18"/>
                <w:lang w:val="en-US"/>
              </w:rPr>
              <w:t>Pre-stroke living status: Nursing home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4263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D86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B183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2C62B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4395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861D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D9D8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509DD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3B5C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F62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F67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5E09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2302BA2B" w14:textId="77777777" w:rsidTr="00680B28">
        <w:trPr>
          <w:trHeight w:val="50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E9CB5A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MRS before admission &gt; 2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AF95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0,146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D2B1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A138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1,172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ACE30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EAFC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0,751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B3C0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A388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10,067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83D8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0,829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E6F1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7AA0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2BA1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68EAC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3A3768B1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ACC51C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NIHSS score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2939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41E0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1ED0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0,973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E2B1D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8B2A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969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0,887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F3A1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0,962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B3DF5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BF0C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1233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1BB4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0,969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0B07C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0,000</w:t>
            </w:r>
          </w:p>
        </w:tc>
      </w:tr>
      <w:tr w:rsidR="00680B28" w:rsidRPr="00680B28" w14:paraId="66733967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B815A1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Polypharmacy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2BEB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0,437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A7A3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0,178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FA21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1,074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6A44D7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FC8F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0,284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CA16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92D8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1,167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93B17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EE07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A624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030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41D41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63860AED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6E08BF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Male sex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2698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1,105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7D18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0,474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E5F0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2,574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300C0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0,817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A076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2,624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B410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B7DD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9,561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A887F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0,144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3D74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7B25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26A5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5622E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7B2748AC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5E0E79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Ship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12C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1,443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EF1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0,607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B82A0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3,431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F073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0,406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DA0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0,891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DA4A5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0,275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472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2,885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F15F4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0,847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180E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3B1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7CAE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EF29E7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5EAB727A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1BF2CF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IVT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EC0A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1,339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164C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0,581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473F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3,087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51E21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0,493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B3C89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2,293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25B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0,708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AB8E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7,432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4519D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0,166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D1A5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F964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42D1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3D628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 </w:t>
            </w:r>
          </w:p>
        </w:tc>
      </w:tr>
      <w:tr w:rsidR="00680B28" w:rsidRPr="00680B28" w14:paraId="29A7C5B8" w14:textId="77777777" w:rsidTr="00680B28">
        <w:trPr>
          <w:trHeight w:val="360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53AA21" w14:textId="77777777" w:rsidR="00680B28" w:rsidRPr="00680B28" w:rsidRDefault="00680B28" w:rsidP="00680B28">
            <w:pPr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TICI 2b/3</w:t>
            </w:r>
          </w:p>
        </w:tc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9ED7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4,364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4527A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0,939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113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20,269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6B92B3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7BDC2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6,573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7A86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1,148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5151E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37,628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810A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431D6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6,461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89DAF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1,295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60C3B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32,236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EFFC1C" w14:textId="77777777" w:rsidR="00680B28" w:rsidRPr="00680B28" w:rsidRDefault="00680B28" w:rsidP="00680B28">
            <w:pPr>
              <w:jc w:val="center"/>
              <w:rPr>
                <w:color w:val="000000"/>
                <w:sz w:val="18"/>
                <w:szCs w:val="18"/>
              </w:rPr>
            </w:pPr>
            <w:r w:rsidRPr="00680B28">
              <w:rPr>
                <w:color w:val="000000"/>
                <w:sz w:val="18"/>
                <w:szCs w:val="18"/>
              </w:rPr>
              <w:t>0,023</w:t>
            </w:r>
          </w:p>
        </w:tc>
      </w:tr>
    </w:tbl>
    <w:p w14:paraId="48030556" w14:textId="77777777" w:rsidR="002F02C7" w:rsidRPr="00B67143" w:rsidRDefault="002F02C7" w:rsidP="002F02C7">
      <w:pPr>
        <w:spacing w:line="480" w:lineRule="auto"/>
        <w:jc w:val="both"/>
        <w:rPr>
          <w:bCs/>
          <w:lang w:val="en-US"/>
        </w:rPr>
      </w:pPr>
    </w:p>
    <w:p w14:paraId="491559C2" w14:textId="013EB125" w:rsidR="002F02C7" w:rsidRPr="00B67143" w:rsidRDefault="002F02C7" w:rsidP="002F02C7">
      <w:pPr>
        <w:spacing w:line="480" w:lineRule="auto"/>
        <w:jc w:val="both"/>
        <w:rPr>
          <w:bCs/>
          <w:lang w:val="en-US"/>
        </w:rPr>
      </w:pPr>
      <w:r w:rsidRPr="00B67143">
        <w:rPr>
          <w:bCs/>
          <w:lang w:val="en-US"/>
        </w:rPr>
        <w:lastRenderedPageBreak/>
        <w:t>Abbreviations: CCI, Charlson Comorbidity Index; CI, Confidence Interval; IVT, Intravenous Thrombolysis; mRS, Modified Rankin Scale; NIHSS, National Institutes of Health Stroke Scale; TICI, Thrombolysis in Cerebral Infarction.</w:t>
      </w:r>
    </w:p>
    <w:p w14:paraId="03EFE388" w14:textId="5EF7830C" w:rsidR="002F02C7" w:rsidRPr="00B67143" w:rsidRDefault="002F02C7">
      <w:pPr>
        <w:rPr>
          <w:bCs/>
          <w:lang w:val="en-US"/>
        </w:rPr>
        <w:sectPr w:rsidR="002F02C7" w:rsidRPr="00B67143" w:rsidSect="00570440">
          <w:footerReference w:type="even" r:id="rId6"/>
          <w:footerReference w:type="default" r:id="rId7"/>
          <w:pgSz w:w="16840" w:h="11900" w:orient="landscape"/>
          <w:pgMar w:top="1417" w:right="1134" w:bottom="1417" w:left="1417" w:header="708" w:footer="708" w:gutter="0"/>
          <w:cols w:space="708"/>
          <w:docGrid w:linePitch="360"/>
        </w:sectPr>
      </w:pPr>
    </w:p>
    <w:p w14:paraId="0FEC1B96" w14:textId="432348D9" w:rsidR="00577C8A" w:rsidRPr="00B67143" w:rsidRDefault="00BC752C" w:rsidP="00577C8A">
      <w:pPr>
        <w:spacing w:line="480" w:lineRule="auto"/>
        <w:jc w:val="both"/>
        <w:rPr>
          <w:b/>
          <w:lang w:val="en-US"/>
        </w:rPr>
      </w:pPr>
      <w:r w:rsidRPr="00B67143">
        <w:rPr>
          <w:b/>
          <w:lang w:val="en-US"/>
        </w:rPr>
        <w:lastRenderedPageBreak/>
        <w:t xml:space="preserve">Supplementary </w:t>
      </w:r>
      <w:r w:rsidR="00577C8A" w:rsidRPr="00B67143">
        <w:rPr>
          <w:b/>
          <w:bCs/>
          <w:color w:val="333333"/>
          <w:shd w:val="clear" w:color="auto" w:fill="FFFFFF"/>
          <w:lang w:val="en-US"/>
        </w:rPr>
        <w:t>Figure 1. </w:t>
      </w:r>
      <w:r w:rsidR="00577C8A" w:rsidRPr="00B67143">
        <w:rPr>
          <w:b/>
          <w:bCs/>
          <w:lang w:val="en-US"/>
        </w:rPr>
        <w:t xml:space="preserve">Distribution of the Charlson Comorbidity Index (CCI) score </w:t>
      </w:r>
    </w:p>
    <w:p w14:paraId="6FEAFFD0" w14:textId="64973E63" w:rsidR="00577C8A" w:rsidRPr="00B67143" w:rsidRDefault="00577C8A" w:rsidP="00577C8A">
      <w:pPr>
        <w:spacing w:line="480" w:lineRule="auto"/>
        <w:jc w:val="both"/>
        <w:rPr>
          <w:b/>
          <w:bCs/>
          <w:lang w:val="en-US"/>
        </w:rPr>
      </w:pPr>
      <w:r w:rsidRPr="00B67143">
        <w:rPr>
          <w:lang w:val="en-US"/>
        </w:rPr>
        <w:t xml:space="preserve">Relevant </w:t>
      </w:r>
      <w:r w:rsidRPr="00B67143">
        <w:rPr>
          <w:color w:val="000000"/>
          <w:lang w:val="en-US"/>
        </w:rPr>
        <w:t xml:space="preserve">comorbidity burden, defined by a CCI score </w:t>
      </w:r>
      <w:r w:rsidRPr="00B67143">
        <w:rPr>
          <w:lang w:val="en-US"/>
        </w:rPr>
        <w:t xml:space="preserve">≥ 2 (see vertical line), was present in </w:t>
      </w:r>
      <w:r w:rsidR="00374BD8" w:rsidRPr="00B67143">
        <w:rPr>
          <w:lang w:val="en-US"/>
        </w:rPr>
        <w:t>31</w:t>
      </w:r>
      <w:r w:rsidRPr="00B67143">
        <w:rPr>
          <w:lang w:val="en-US"/>
        </w:rPr>
        <w:t xml:space="preserve"> (</w:t>
      </w:r>
      <w:r w:rsidR="00374BD8" w:rsidRPr="00B67143">
        <w:rPr>
          <w:lang w:val="en-US"/>
        </w:rPr>
        <w:t>29.8</w:t>
      </w:r>
      <w:r w:rsidRPr="00B67143">
        <w:rPr>
          <w:lang w:val="en-US"/>
        </w:rPr>
        <w:t>%) patients.</w:t>
      </w:r>
    </w:p>
    <w:p w14:paraId="2564C2DA" w14:textId="78DAD500" w:rsidR="00577C8A" w:rsidRPr="00B67143" w:rsidRDefault="00A81CAC" w:rsidP="00577C8A">
      <w:pPr>
        <w:spacing w:line="480" w:lineRule="auto"/>
        <w:jc w:val="both"/>
        <w:rPr>
          <w:b/>
          <w:highlight w:val="yellow"/>
          <w:lang w:val="en-US"/>
        </w:rPr>
      </w:pPr>
      <w:r w:rsidRPr="00B67143">
        <w:rPr>
          <w:b/>
          <w:noProof/>
          <w:lang w:val="en-US"/>
        </w:rPr>
        <w:drawing>
          <wp:inline distT="0" distB="0" distL="0" distR="0" wp14:anchorId="7E2A4E2B" wp14:editId="1F5F77E0">
            <wp:extent cx="5756910" cy="575691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575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3FB71" w14:textId="77777777" w:rsidR="00577C8A" w:rsidRPr="00B67143" w:rsidRDefault="00577C8A" w:rsidP="00577C8A">
      <w:pPr>
        <w:spacing w:line="480" w:lineRule="auto"/>
        <w:jc w:val="both"/>
        <w:rPr>
          <w:b/>
          <w:lang w:val="en-US"/>
        </w:rPr>
      </w:pPr>
    </w:p>
    <w:p w14:paraId="3921D426" w14:textId="24F87ACD" w:rsidR="00577C8A" w:rsidRPr="00B67143" w:rsidRDefault="007B0FFC" w:rsidP="00832966">
      <w:pPr>
        <w:spacing w:line="480" w:lineRule="auto"/>
        <w:jc w:val="both"/>
        <w:rPr>
          <w:b/>
          <w:lang w:val="en-US"/>
        </w:rPr>
      </w:pPr>
      <w:r w:rsidRPr="00B67143">
        <w:rPr>
          <w:b/>
          <w:lang w:val="en-US"/>
        </w:rPr>
        <w:br w:type="column"/>
      </w:r>
      <w:r w:rsidR="00BC752C" w:rsidRPr="00B67143">
        <w:rPr>
          <w:b/>
          <w:lang w:val="en-US"/>
        </w:rPr>
        <w:lastRenderedPageBreak/>
        <w:t xml:space="preserve">Supplementary </w:t>
      </w:r>
      <w:r w:rsidR="00577C8A" w:rsidRPr="00B67143">
        <w:rPr>
          <w:b/>
          <w:lang w:val="en-US"/>
        </w:rPr>
        <w:t xml:space="preserve">Figure 2. Distribution of individual diseases comprised in the Charlson Comorbidity Index (CCI) </w:t>
      </w:r>
    </w:p>
    <w:p w14:paraId="385CC632" w14:textId="77777777" w:rsidR="00CA3397" w:rsidRDefault="00577C8A" w:rsidP="001E3AAD">
      <w:pPr>
        <w:spacing w:line="480" w:lineRule="auto"/>
        <w:rPr>
          <w:lang w:val="en-US"/>
        </w:rPr>
      </w:pPr>
      <w:r w:rsidRPr="00B67143">
        <w:rPr>
          <w:lang w:val="en-US"/>
        </w:rPr>
        <w:t xml:space="preserve">The most prevalent comorbidities were coronary </w:t>
      </w:r>
      <w:r w:rsidR="006771AB" w:rsidRPr="00B67143">
        <w:rPr>
          <w:lang w:val="en-US"/>
        </w:rPr>
        <w:t>heart</w:t>
      </w:r>
      <w:r w:rsidRPr="00B67143">
        <w:rPr>
          <w:lang w:val="en-US"/>
        </w:rPr>
        <w:t xml:space="preserve"> disease</w:t>
      </w:r>
      <w:r w:rsidR="00CA3397">
        <w:rPr>
          <w:lang w:val="en-US"/>
        </w:rPr>
        <w:t xml:space="preserve"> in 23 (22.1%) patients</w:t>
      </w:r>
      <w:r w:rsidRPr="00B67143">
        <w:rPr>
          <w:lang w:val="en-US"/>
        </w:rPr>
        <w:t xml:space="preserve">, diabetes </w:t>
      </w:r>
      <w:r w:rsidR="00CA3397">
        <w:rPr>
          <w:lang w:val="en-US"/>
        </w:rPr>
        <w:t xml:space="preserve">in 20 (19.2%) patients </w:t>
      </w:r>
      <w:r w:rsidRPr="00B67143">
        <w:rPr>
          <w:lang w:val="en-US"/>
        </w:rPr>
        <w:t xml:space="preserve">and </w:t>
      </w:r>
      <w:r w:rsidR="006771AB" w:rsidRPr="00B67143">
        <w:rPr>
          <w:lang w:val="en-US"/>
        </w:rPr>
        <w:t>congestive heart failure</w:t>
      </w:r>
      <w:r w:rsidR="00CA3397">
        <w:rPr>
          <w:lang w:val="en-US"/>
        </w:rPr>
        <w:t xml:space="preserve"> in 7 (6.7%)</w:t>
      </w:r>
      <w:r w:rsidRPr="00B67143">
        <w:rPr>
          <w:lang w:val="en-US"/>
        </w:rPr>
        <w:t xml:space="preserve">. </w:t>
      </w:r>
    </w:p>
    <w:p w14:paraId="118AF0ED" w14:textId="6721681E" w:rsidR="00CA3397" w:rsidRPr="00CA3397" w:rsidRDefault="00CA3397" w:rsidP="001E3AAD">
      <w:pPr>
        <w:spacing w:line="480" w:lineRule="auto"/>
        <w:rPr>
          <w:lang w:val="en-US"/>
        </w:rPr>
      </w:pPr>
      <w:r>
        <w:rPr>
          <w:lang w:val="en-US"/>
        </w:rPr>
        <w:t xml:space="preserve">Abbreviations: </w:t>
      </w:r>
      <w:r w:rsidR="00832966" w:rsidRPr="00B67143">
        <w:rPr>
          <w:lang w:val="en-US"/>
        </w:rPr>
        <w:t xml:space="preserve">CHD, Coronary Heart Disease; AIDS, </w:t>
      </w:r>
      <w:r w:rsidR="00832966" w:rsidRPr="00B67143">
        <w:rPr>
          <w:color w:val="202124"/>
          <w:shd w:val="clear" w:color="auto" w:fill="FFFFFF"/>
          <w:lang w:val="en-US"/>
        </w:rPr>
        <w:t>Acquired Immune</w:t>
      </w:r>
      <w:r w:rsidR="00B67143" w:rsidRPr="00B67143">
        <w:rPr>
          <w:color w:val="202124"/>
          <w:shd w:val="clear" w:color="auto" w:fill="FFFFFF"/>
          <w:lang w:val="en-US"/>
        </w:rPr>
        <w:t xml:space="preserve"> D</w:t>
      </w:r>
      <w:r w:rsidR="00832966" w:rsidRPr="00B67143">
        <w:rPr>
          <w:color w:val="202124"/>
          <w:shd w:val="clear" w:color="auto" w:fill="FFFFFF"/>
          <w:lang w:val="en-US"/>
        </w:rPr>
        <w:t>eficiency Syndrome</w:t>
      </w:r>
      <w:r w:rsidR="00832966" w:rsidRPr="00B67143">
        <w:rPr>
          <w:lang w:val="en-US"/>
        </w:rPr>
        <w:t>.</w:t>
      </w:r>
    </w:p>
    <w:p w14:paraId="336C350B" w14:textId="0D65395F" w:rsidR="00577C8A" w:rsidRPr="00B67143" w:rsidRDefault="00A81CAC" w:rsidP="00577C8A">
      <w:pPr>
        <w:spacing w:line="480" w:lineRule="auto"/>
        <w:jc w:val="both"/>
        <w:rPr>
          <w:b/>
          <w:color w:val="000000"/>
          <w:highlight w:val="yellow"/>
          <w:lang w:val="en-US"/>
        </w:rPr>
      </w:pPr>
      <w:r w:rsidRPr="00B67143">
        <w:rPr>
          <w:b/>
          <w:noProof/>
          <w:color w:val="000000"/>
          <w:lang w:val="en-US"/>
        </w:rPr>
        <w:drawing>
          <wp:inline distT="0" distB="0" distL="0" distR="0" wp14:anchorId="7F56A343" wp14:editId="1072C7C0">
            <wp:extent cx="5756910" cy="575691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575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BC255" w14:textId="6B8BCC42" w:rsidR="00577C8A" w:rsidRPr="00B67143" w:rsidRDefault="007B0FFC" w:rsidP="00577C8A">
      <w:pPr>
        <w:spacing w:line="480" w:lineRule="auto"/>
        <w:jc w:val="both"/>
        <w:rPr>
          <w:b/>
          <w:color w:val="000000"/>
          <w:lang w:val="en-US"/>
        </w:rPr>
      </w:pPr>
      <w:r w:rsidRPr="00B67143">
        <w:rPr>
          <w:b/>
          <w:lang w:val="en-US"/>
        </w:rPr>
        <w:br w:type="column"/>
      </w:r>
      <w:r w:rsidR="00BC752C" w:rsidRPr="00B67143">
        <w:rPr>
          <w:b/>
          <w:lang w:val="en-US"/>
        </w:rPr>
        <w:lastRenderedPageBreak/>
        <w:t xml:space="preserve">Supplementary </w:t>
      </w:r>
      <w:r w:rsidR="00577C8A" w:rsidRPr="00B67143">
        <w:rPr>
          <w:b/>
          <w:lang w:val="en-US"/>
        </w:rPr>
        <w:t xml:space="preserve">Figure 3. </w:t>
      </w:r>
      <w:r w:rsidR="00577C8A" w:rsidRPr="00B67143">
        <w:rPr>
          <w:b/>
          <w:color w:val="000000"/>
          <w:lang w:val="en-US"/>
        </w:rPr>
        <w:t>Distribution of medication intake</w:t>
      </w:r>
    </w:p>
    <w:p w14:paraId="649B20D3" w14:textId="32FB84CE" w:rsidR="00577C8A" w:rsidRPr="00B67143" w:rsidRDefault="00577C8A" w:rsidP="00577C8A">
      <w:pPr>
        <w:spacing w:line="480" w:lineRule="auto"/>
        <w:jc w:val="both"/>
        <w:rPr>
          <w:lang w:val="en-US"/>
        </w:rPr>
      </w:pPr>
      <w:r w:rsidRPr="00B67143">
        <w:rPr>
          <w:lang w:val="en-US"/>
        </w:rPr>
        <w:t>The patients were taking on average 4.</w:t>
      </w:r>
      <w:r w:rsidR="006771AB" w:rsidRPr="00B67143">
        <w:rPr>
          <w:lang w:val="en-US"/>
        </w:rPr>
        <w:t>2</w:t>
      </w:r>
      <w:r w:rsidRPr="00B67143">
        <w:rPr>
          <w:lang w:val="en-US"/>
        </w:rPr>
        <w:t xml:space="preserve"> (</w:t>
      </w:r>
      <w:r w:rsidR="006771AB" w:rsidRPr="00B67143">
        <w:rPr>
          <w:lang w:val="en-US"/>
        </w:rPr>
        <w:t>3.3</w:t>
      </w:r>
      <w:r w:rsidRPr="00B67143">
        <w:rPr>
          <w:lang w:val="en-US"/>
        </w:rPr>
        <w:t xml:space="preserve">) medications. Polypharmacy was defined as an intake of 5 or more medications (see vertical line) and was observed in </w:t>
      </w:r>
      <w:r w:rsidR="006771AB" w:rsidRPr="00B67143">
        <w:rPr>
          <w:lang w:val="en-US"/>
        </w:rPr>
        <w:t>43</w:t>
      </w:r>
      <w:r w:rsidRPr="00B67143">
        <w:rPr>
          <w:lang w:val="en-US"/>
        </w:rPr>
        <w:t xml:space="preserve"> (</w:t>
      </w:r>
      <w:r w:rsidR="006771AB" w:rsidRPr="00B67143">
        <w:rPr>
          <w:lang w:val="en-US"/>
        </w:rPr>
        <w:t>41.3</w:t>
      </w:r>
      <w:r w:rsidRPr="00B67143">
        <w:rPr>
          <w:lang w:val="en-US"/>
        </w:rPr>
        <w:t>%) patients</w:t>
      </w:r>
      <w:r w:rsidR="007C110C" w:rsidRPr="00B67143">
        <w:rPr>
          <w:lang w:val="en-US"/>
        </w:rPr>
        <w:t>.</w:t>
      </w:r>
    </w:p>
    <w:p w14:paraId="2E4738B6" w14:textId="4C8B48C5" w:rsidR="00577C8A" w:rsidRPr="00B67143" w:rsidRDefault="00A81CAC" w:rsidP="00577C8A">
      <w:pPr>
        <w:spacing w:line="480" w:lineRule="auto"/>
        <w:jc w:val="both"/>
        <w:rPr>
          <w:b/>
          <w:color w:val="000000"/>
          <w:lang w:val="en-US"/>
        </w:rPr>
      </w:pPr>
      <w:r w:rsidRPr="00B67143">
        <w:rPr>
          <w:b/>
          <w:noProof/>
          <w:color w:val="000000"/>
          <w:lang w:val="en-US"/>
        </w:rPr>
        <w:drawing>
          <wp:inline distT="0" distB="0" distL="0" distR="0" wp14:anchorId="167382D6" wp14:editId="39C10443">
            <wp:extent cx="5756910" cy="5756910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575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773D5" w14:textId="77777777" w:rsidR="00577C8A" w:rsidRPr="00B67143" w:rsidRDefault="00577C8A" w:rsidP="00577C8A">
      <w:pPr>
        <w:spacing w:line="480" w:lineRule="auto"/>
        <w:jc w:val="both"/>
        <w:rPr>
          <w:rFonts w:ascii="Arial" w:hAnsi="Arial"/>
          <w:sz w:val="22"/>
          <w:szCs w:val="22"/>
          <w:lang w:val="en-US"/>
        </w:rPr>
      </w:pPr>
    </w:p>
    <w:p w14:paraId="1F03AACA" w14:textId="6D27EC3F" w:rsidR="00577C8A" w:rsidRPr="00B67143" w:rsidRDefault="007B0FFC" w:rsidP="00577C8A">
      <w:pPr>
        <w:spacing w:line="480" w:lineRule="auto"/>
        <w:jc w:val="both"/>
        <w:rPr>
          <w:b/>
          <w:lang w:val="en-US"/>
        </w:rPr>
      </w:pPr>
      <w:r w:rsidRPr="00B67143">
        <w:rPr>
          <w:b/>
          <w:lang w:val="en-US"/>
        </w:rPr>
        <w:br w:type="column"/>
      </w:r>
      <w:r w:rsidR="00BC752C" w:rsidRPr="00B67143">
        <w:rPr>
          <w:b/>
          <w:lang w:val="en-US"/>
        </w:rPr>
        <w:lastRenderedPageBreak/>
        <w:t xml:space="preserve">Supplementary </w:t>
      </w:r>
      <w:r w:rsidR="00577C8A" w:rsidRPr="00B67143">
        <w:rPr>
          <w:b/>
          <w:lang w:val="en-US"/>
        </w:rPr>
        <w:t>Figure 4. Number of patients taking at least one medication from different medication classes</w:t>
      </w:r>
    </w:p>
    <w:p w14:paraId="6ABBDD53" w14:textId="6E58109C" w:rsidR="00577C8A" w:rsidRPr="00B67143" w:rsidRDefault="00831EB9" w:rsidP="00577C8A">
      <w:pPr>
        <w:spacing w:line="480" w:lineRule="auto"/>
        <w:jc w:val="both"/>
        <w:rPr>
          <w:b/>
          <w:lang w:val="en-US"/>
        </w:rPr>
      </w:pPr>
      <w:r w:rsidRPr="00B67143">
        <w:rPr>
          <w:lang w:val="en-US"/>
        </w:rPr>
        <w:t>73 (70.2%)</w:t>
      </w:r>
      <w:r w:rsidR="00577C8A" w:rsidRPr="00B67143">
        <w:rPr>
          <w:lang w:val="en-US"/>
        </w:rPr>
        <w:t xml:space="preserve"> patients were taking at least one antihypertensive drug making it the most common type of medication, followed by antiplatelets (</w:t>
      </w:r>
      <w:r w:rsidRPr="00B67143">
        <w:rPr>
          <w:lang w:val="en-US"/>
        </w:rPr>
        <w:t>39 [37.5%] patients</w:t>
      </w:r>
      <w:r w:rsidR="00577C8A" w:rsidRPr="00B67143">
        <w:rPr>
          <w:lang w:val="en-US"/>
        </w:rPr>
        <w:t>), statins (</w:t>
      </w:r>
      <w:r w:rsidR="00192058" w:rsidRPr="00B67143">
        <w:rPr>
          <w:lang w:val="en-US"/>
        </w:rPr>
        <w:t>31 [29.8%]</w:t>
      </w:r>
      <w:r w:rsidR="00577C8A" w:rsidRPr="00B67143">
        <w:rPr>
          <w:lang w:val="en-US"/>
        </w:rPr>
        <w:t xml:space="preserve">) and </w:t>
      </w:r>
      <w:r w:rsidR="00192058" w:rsidRPr="00B67143">
        <w:rPr>
          <w:lang w:val="en-US"/>
        </w:rPr>
        <w:t xml:space="preserve">antidiabetics (21 [20.2%] patients), </w:t>
      </w:r>
      <w:r w:rsidR="00577C8A" w:rsidRPr="00B67143">
        <w:rPr>
          <w:lang w:val="en-US"/>
        </w:rPr>
        <w:t>anticoagulants (</w:t>
      </w:r>
      <w:r w:rsidR="00192058" w:rsidRPr="00B67143">
        <w:rPr>
          <w:lang w:val="en-US"/>
        </w:rPr>
        <w:t>14 [13.5%] patients</w:t>
      </w:r>
      <w:r w:rsidR="00577C8A" w:rsidRPr="00B67143">
        <w:rPr>
          <w:lang w:val="en-US"/>
        </w:rPr>
        <w:t>) and antidepressants/antipsychotics</w:t>
      </w:r>
      <w:r w:rsidR="00880E79" w:rsidRPr="00B67143">
        <w:rPr>
          <w:lang w:val="en-US"/>
        </w:rPr>
        <w:t xml:space="preserve"> (12 [11.5%] patients)</w:t>
      </w:r>
      <w:r w:rsidR="00577C8A" w:rsidRPr="00B67143">
        <w:rPr>
          <w:lang w:val="en-US"/>
        </w:rPr>
        <w:t>.</w:t>
      </w:r>
    </w:p>
    <w:p w14:paraId="4426A01B" w14:textId="339F25D2" w:rsidR="00577C8A" w:rsidRPr="00B67143" w:rsidRDefault="00F874CE" w:rsidP="00577C8A">
      <w:pPr>
        <w:spacing w:line="480" w:lineRule="auto"/>
        <w:jc w:val="both"/>
        <w:rPr>
          <w:rFonts w:ascii="Arial" w:hAnsi="Arial"/>
          <w:sz w:val="22"/>
          <w:szCs w:val="22"/>
          <w:lang w:val="en-US"/>
        </w:rPr>
      </w:pPr>
      <w:r>
        <w:rPr>
          <w:rFonts w:ascii="Arial" w:hAnsi="Arial"/>
          <w:noProof/>
          <w:sz w:val="22"/>
          <w:szCs w:val="22"/>
          <w:lang w:val="en-US"/>
        </w:rPr>
        <w:drawing>
          <wp:inline distT="0" distB="0" distL="0" distR="0" wp14:anchorId="7B7AADEC" wp14:editId="62DE09BB">
            <wp:extent cx="5756910" cy="575691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575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987EF" w14:textId="18D8F551" w:rsidR="00A0085E" w:rsidRPr="00B67143" w:rsidRDefault="00074D1E" w:rsidP="00570440">
      <w:pPr>
        <w:rPr>
          <w:lang w:val="en-US"/>
        </w:rPr>
      </w:pPr>
    </w:p>
    <w:sectPr w:rsidR="00A0085E" w:rsidRPr="00B67143" w:rsidSect="007B0FFC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FF0BB" w14:textId="77777777" w:rsidR="00074D1E" w:rsidRDefault="00074D1E" w:rsidP="00680298">
      <w:r>
        <w:separator/>
      </w:r>
    </w:p>
  </w:endnote>
  <w:endnote w:type="continuationSeparator" w:id="0">
    <w:p w14:paraId="4AA2D376" w14:textId="77777777" w:rsidR="00074D1E" w:rsidRDefault="00074D1E" w:rsidP="00680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1205945111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6953F1CE" w14:textId="75586B0C" w:rsidR="00680298" w:rsidRDefault="00680298" w:rsidP="005269C7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23E02764" w14:textId="77777777" w:rsidR="00680298" w:rsidRDefault="00680298" w:rsidP="00680298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1520228267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4A6F61E6" w14:textId="0CFBE86B" w:rsidR="00680298" w:rsidRDefault="00680298" w:rsidP="005269C7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73F99FAB" w14:textId="77777777" w:rsidR="00680298" w:rsidRDefault="00680298" w:rsidP="00680298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E64E2" w14:textId="77777777" w:rsidR="00074D1E" w:rsidRDefault="00074D1E" w:rsidP="00680298">
      <w:r>
        <w:separator/>
      </w:r>
    </w:p>
  </w:footnote>
  <w:footnote w:type="continuationSeparator" w:id="0">
    <w:p w14:paraId="2E380D52" w14:textId="77777777" w:rsidR="00074D1E" w:rsidRDefault="00074D1E" w:rsidP="006802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04E"/>
    <w:rsid w:val="00045D2E"/>
    <w:rsid w:val="00074D1E"/>
    <w:rsid w:val="000B1C85"/>
    <w:rsid w:val="00163AB8"/>
    <w:rsid w:val="00165D9D"/>
    <w:rsid w:val="00192058"/>
    <w:rsid w:val="00197AB1"/>
    <w:rsid w:val="001E3AAD"/>
    <w:rsid w:val="001F295A"/>
    <w:rsid w:val="00213794"/>
    <w:rsid w:val="00234B3B"/>
    <w:rsid w:val="002363CC"/>
    <w:rsid w:val="0026188C"/>
    <w:rsid w:val="002F02C7"/>
    <w:rsid w:val="002F7265"/>
    <w:rsid w:val="00352994"/>
    <w:rsid w:val="00365F20"/>
    <w:rsid w:val="00374BD8"/>
    <w:rsid w:val="00412BC9"/>
    <w:rsid w:val="00491C1C"/>
    <w:rsid w:val="004B1AF2"/>
    <w:rsid w:val="004C34F2"/>
    <w:rsid w:val="004D58A6"/>
    <w:rsid w:val="004F25CA"/>
    <w:rsid w:val="004F3FF9"/>
    <w:rsid w:val="00520E5D"/>
    <w:rsid w:val="005426E3"/>
    <w:rsid w:val="00570440"/>
    <w:rsid w:val="00577C8A"/>
    <w:rsid w:val="006144EF"/>
    <w:rsid w:val="0064375A"/>
    <w:rsid w:val="006771AB"/>
    <w:rsid w:val="00680298"/>
    <w:rsid w:val="00680B28"/>
    <w:rsid w:val="006A1DD5"/>
    <w:rsid w:val="006B2CBC"/>
    <w:rsid w:val="007558FB"/>
    <w:rsid w:val="007B0FFC"/>
    <w:rsid w:val="007C110C"/>
    <w:rsid w:val="008101EC"/>
    <w:rsid w:val="00823344"/>
    <w:rsid w:val="00831EB9"/>
    <w:rsid w:val="00832966"/>
    <w:rsid w:val="00880E79"/>
    <w:rsid w:val="008A515A"/>
    <w:rsid w:val="008F6BCF"/>
    <w:rsid w:val="0090093C"/>
    <w:rsid w:val="00931389"/>
    <w:rsid w:val="00A065F4"/>
    <w:rsid w:val="00A503EA"/>
    <w:rsid w:val="00A81CAC"/>
    <w:rsid w:val="00AE3992"/>
    <w:rsid w:val="00B04565"/>
    <w:rsid w:val="00B64C7E"/>
    <w:rsid w:val="00B67143"/>
    <w:rsid w:val="00B96B09"/>
    <w:rsid w:val="00BC752C"/>
    <w:rsid w:val="00BE182A"/>
    <w:rsid w:val="00BE401C"/>
    <w:rsid w:val="00C17E42"/>
    <w:rsid w:val="00CA3397"/>
    <w:rsid w:val="00D00A34"/>
    <w:rsid w:val="00D42B46"/>
    <w:rsid w:val="00E37003"/>
    <w:rsid w:val="00E82B07"/>
    <w:rsid w:val="00EB404E"/>
    <w:rsid w:val="00ED10E6"/>
    <w:rsid w:val="00F01D93"/>
    <w:rsid w:val="00F26623"/>
    <w:rsid w:val="00F55BC3"/>
    <w:rsid w:val="00F64CE0"/>
    <w:rsid w:val="00F77BB1"/>
    <w:rsid w:val="00F874CE"/>
    <w:rsid w:val="00FD3BE7"/>
    <w:rsid w:val="00FF7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B94213"/>
  <w15:chartTrackingRefBased/>
  <w15:docId w15:val="{745E12AB-DE2C-524A-BF4A-106C41C2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B404E"/>
    <w:rPr>
      <w:rFonts w:ascii="Times New Roman" w:eastAsia="Times New Roman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Beschriftung">
    <w:name w:val="caption"/>
    <w:qFormat/>
    <w:rsid w:val="00570440"/>
    <w:pPr>
      <w:overflowPunct w:val="0"/>
      <w:spacing w:before="120" w:after="120"/>
    </w:pPr>
    <w:rPr>
      <w:rFonts w:ascii="Times New Roman" w:eastAsia="Arial Unicode MS" w:hAnsi="Times New Roman" w:cs="Arial Unicode MS"/>
      <w:i/>
      <w:iCs/>
      <w:color w:val="000000"/>
      <w:kern w:val="2"/>
      <w:lang w:val="en-US" w:eastAsia="zh-CN" w:bidi="hi-IN"/>
    </w:rPr>
  </w:style>
  <w:style w:type="paragraph" w:styleId="Fuzeile">
    <w:name w:val="footer"/>
    <w:basedOn w:val="Standard"/>
    <w:link w:val="FuzeileZchn"/>
    <w:uiPriority w:val="99"/>
    <w:unhideWhenUsed/>
    <w:rsid w:val="0068029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80298"/>
    <w:rPr>
      <w:rFonts w:ascii="Times New Roman" w:eastAsia="Times New Roman" w:hAnsi="Times New Roman" w:cs="Times New Roman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680298"/>
  </w:style>
  <w:style w:type="character" w:styleId="Kommentarzeichen">
    <w:name w:val="annotation reference"/>
    <w:basedOn w:val="Absatz-Standardschriftart"/>
    <w:uiPriority w:val="99"/>
    <w:semiHidden/>
    <w:unhideWhenUsed/>
    <w:rsid w:val="00CA3397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A339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A3397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A339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A3397"/>
    <w:rPr>
      <w:rFonts w:ascii="Times New Roman" w:eastAsia="Times New Roman" w:hAnsi="Times New Roman" w:cs="Times New Roman"/>
      <w:b/>
      <w:bCs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2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983</Words>
  <Characters>6197</Characters>
  <Application>Microsoft Office Word</Application>
  <DocSecurity>0</DocSecurity>
  <Lines>51</Lines>
  <Paragraphs>14</Paragraphs>
  <ScaleCrop>false</ScaleCrop>
  <Company/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27</cp:revision>
  <dcterms:created xsi:type="dcterms:W3CDTF">2021-12-15T08:38:00Z</dcterms:created>
  <dcterms:modified xsi:type="dcterms:W3CDTF">2022-01-03T16:26:00Z</dcterms:modified>
</cp:coreProperties>
</file>