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9D2986" w14:textId="77777777" w:rsidR="00BD74F5" w:rsidRDefault="00BD74F5" w:rsidP="00BD74F5">
      <w:pPr>
        <w:rPr>
          <w:b/>
          <w:sz w:val="28"/>
          <w:szCs w:val="24"/>
          <w:lang w:val="en-US"/>
        </w:rPr>
      </w:pPr>
      <w:r w:rsidRPr="006F4706">
        <w:rPr>
          <w:b/>
          <w:sz w:val="28"/>
          <w:szCs w:val="24"/>
          <w:lang w:val="en-US"/>
        </w:rPr>
        <w:t>Evaluation by treated vessel plus underlying aneurism type</w:t>
      </w:r>
    </w:p>
    <w:p w14:paraId="424EE042" w14:textId="3A50AC2D" w:rsidR="00BD74F5" w:rsidRPr="00817C62" w:rsidRDefault="00D81FAC" w:rsidP="00BD74F5">
      <w:pPr>
        <w:rPr>
          <w:b/>
          <w:sz w:val="24"/>
          <w:szCs w:val="24"/>
          <w:lang w:val="en-US"/>
        </w:rPr>
      </w:pPr>
      <w:r>
        <w:rPr>
          <w:noProof/>
          <w:lang w:eastAsia="de-DE"/>
        </w:rPr>
        <mc:AlternateContent>
          <mc:Choice Requires="wps">
            <w:drawing>
              <wp:anchor distT="0" distB="0" distL="114300" distR="114300" simplePos="0" relativeHeight="251659264" behindDoc="0" locked="0" layoutInCell="1" allowOverlap="1" wp14:anchorId="48734B6C" wp14:editId="71086524">
                <wp:simplePos x="0" y="0"/>
                <wp:positionH relativeFrom="margin">
                  <wp:posOffset>46355</wp:posOffset>
                </wp:positionH>
                <wp:positionV relativeFrom="paragraph">
                  <wp:posOffset>6415405</wp:posOffset>
                </wp:positionV>
                <wp:extent cx="5634355" cy="495300"/>
                <wp:effectExtent l="0" t="0" r="4445" b="0"/>
                <wp:wrapSquare wrapText="bothSides"/>
                <wp:docPr id="29" name="Textfeld 29"/>
                <wp:cNvGraphicFramePr/>
                <a:graphic xmlns:a="http://schemas.openxmlformats.org/drawingml/2006/main">
                  <a:graphicData uri="http://schemas.microsoft.com/office/word/2010/wordprocessingShape">
                    <wps:wsp>
                      <wps:cNvSpPr txBox="1"/>
                      <wps:spPr>
                        <a:xfrm>
                          <a:off x="0" y="0"/>
                          <a:ext cx="5634355" cy="495300"/>
                        </a:xfrm>
                        <a:prstGeom prst="rect">
                          <a:avLst/>
                        </a:prstGeom>
                        <a:solidFill>
                          <a:prstClr val="white"/>
                        </a:solidFill>
                        <a:ln>
                          <a:noFill/>
                        </a:ln>
                      </wps:spPr>
                      <wps:txbx>
                        <w:txbxContent>
                          <w:p w14:paraId="1D293A80" w14:textId="7D07D2A6" w:rsidR="0084270F" w:rsidRPr="00824049" w:rsidRDefault="0084270F" w:rsidP="00BD74F5">
                            <w:pPr>
                              <w:pStyle w:val="Beschriftung"/>
                              <w:jc w:val="center"/>
                              <w:rPr>
                                <w:noProof/>
                                <w:sz w:val="32"/>
                                <w:lang w:val="en-US"/>
                              </w:rPr>
                            </w:pPr>
                            <w:bookmarkStart w:id="0" w:name="_Ref172892258"/>
                            <w:r w:rsidRPr="00824049">
                              <w:rPr>
                                <w:lang w:val="en-US"/>
                              </w:rPr>
                              <w:t>Fi</w:t>
                            </w:r>
                            <w:bookmarkEnd w:id="0"/>
                            <w:r w:rsidR="005E1A1C">
                              <w:rPr>
                                <w:lang w:val="en-US"/>
                              </w:rPr>
                              <w:t>g.</w:t>
                            </w:r>
                            <w:r w:rsidR="005E1A1C" w:rsidRPr="005E1A1C">
                              <w:rPr>
                                <w:lang w:val="en-US"/>
                              </w:rPr>
                              <w:t>S1</w:t>
                            </w:r>
                            <w:r w:rsidRPr="00824049">
                              <w:rPr>
                                <w:lang w:val="en-US"/>
                              </w:rPr>
                              <w:t xml:space="preserve">: </w:t>
                            </w:r>
                            <w:r>
                              <w:rPr>
                                <w:lang w:val="en-US"/>
                              </w:rPr>
                              <w:t>Juxtaposition graphs of embolization techniques for treatment of saccular and fusiform aneurysms of the basilar artery. The absolute record number is shown on top of each of the graphs. The big blue horizontal line indicates the national diagnostic reference level of 20</w:t>
                            </w:r>
                            <w:r w:rsidR="0044424F">
                              <w:rPr>
                                <w:lang w:val="en-US"/>
                              </w:rPr>
                              <w:t>,</w:t>
                            </w:r>
                            <w:r>
                              <w:rPr>
                                <w:lang w:val="en-US"/>
                              </w:rPr>
                              <w:t>000 cGycm</w:t>
                            </w:r>
                            <w:r>
                              <w:rPr>
                                <w:vertAlign w:val="superscript"/>
                                <w:lang w:val="en-US"/>
                              </w:rPr>
                              <w:t>2</w:t>
                            </w:r>
                            <w:r>
                              <w:rPr>
                                <w:lang w:val="en-US"/>
                              </w:rPr>
                              <w: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734B6C" id="_x0000_t202" coordsize="21600,21600" o:spt="202" path="m,l,21600r21600,l21600,xe">
                <v:stroke joinstyle="miter"/>
                <v:path gradientshapeok="t" o:connecttype="rect"/>
              </v:shapetype>
              <v:shape id="Textfeld 29" o:spid="_x0000_s1026" type="#_x0000_t202" style="position:absolute;margin-left:3.65pt;margin-top:505.15pt;width:443.65pt;height:3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" stroked="f">
                <v:textbox inset="0,0,0,0">
                  <w:txbxContent>
                    <w:p w14:paraId="1D293A80" w14:textId="7D07D2A6" w:rsidR="0084270F" w:rsidRPr="00824049" w:rsidRDefault="0084270F" w:rsidP="00BD74F5">
                      <w:pPr>
                        <w:pStyle w:val="Beschriftung"/>
                        <w:jc w:val="center"/>
                        <w:rPr>
                          <w:noProof/>
                          <w:sz w:val="32"/>
                          <w:lang w:val="en-US"/>
                        </w:rPr>
                      </w:pPr>
                      <w:bookmarkStart w:id="1" w:name="_Ref172892258"/>
                      <w:r w:rsidRPr="00824049">
                        <w:rPr>
                          <w:lang w:val="en-US"/>
                        </w:rPr>
                        <w:t>Fi</w:t>
                      </w:r>
                      <w:bookmarkEnd w:id="1"/>
                      <w:r w:rsidR="005E1A1C">
                        <w:rPr>
                          <w:lang w:val="en-US"/>
                        </w:rPr>
                        <w:t>g.</w:t>
                      </w:r>
                      <w:r w:rsidR="005E1A1C" w:rsidRPr="005E1A1C">
                        <w:rPr>
                          <w:lang w:val="en-US"/>
                        </w:rPr>
                        <w:t>S1</w:t>
                      </w:r>
                      <w:r w:rsidRPr="00824049">
                        <w:rPr>
                          <w:lang w:val="en-US"/>
                        </w:rPr>
                        <w:t xml:space="preserve">: </w:t>
                      </w:r>
                      <w:r>
                        <w:rPr>
                          <w:lang w:val="en-US"/>
                        </w:rPr>
                        <w:t>Juxtaposition graphs of embolization techniques for treatment of saccular and fusiform aneurysms of the basilar artery. The absolute record number is shown on top of each of the graphs. The big blue horizontal line indicates the national diagnostic reference level of 20</w:t>
                      </w:r>
                      <w:r w:rsidR="0044424F">
                        <w:rPr>
                          <w:lang w:val="en-US"/>
                        </w:rPr>
                        <w:t>,</w:t>
                      </w:r>
                      <w:r>
                        <w:rPr>
                          <w:lang w:val="en-US"/>
                        </w:rPr>
                        <w:t>000 cGycm</w:t>
                      </w:r>
                      <w:r>
                        <w:rPr>
                          <w:vertAlign w:val="superscript"/>
                          <w:lang w:val="en-US"/>
                        </w:rPr>
                        <w:t>2</w:t>
                      </w:r>
                      <w:r>
                        <w:rPr>
                          <w:lang w:val="en-US"/>
                        </w:rPr>
                        <w:t>.</w:t>
                      </w:r>
                    </w:p>
                  </w:txbxContent>
                </v:textbox>
                <w10:wrap type="square" anchorx="margin"/>
              </v:shape>
            </w:pict>
          </mc:Fallback>
        </mc:AlternateContent>
      </w:r>
      <w:r>
        <w:rPr>
          <w:noProof/>
          <w:lang w:val="en-US"/>
        </w:rPr>
        <w:drawing>
          <wp:anchor distT="0" distB="0" distL="114300" distR="114300" simplePos="0" relativeHeight="251673600" behindDoc="0" locked="0" layoutInCell="1" allowOverlap="1" wp14:anchorId="34584B9A" wp14:editId="1D71033D">
            <wp:simplePos x="0" y="0"/>
            <wp:positionH relativeFrom="column">
              <wp:posOffset>256540</wp:posOffset>
            </wp:positionH>
            <wp:positionV relativeFrom="paragraph">
              <wp:posOffset>3318510</wp:posOffset>
            </wp:positionV>
            <wp:extent cx="5421600" cy="3074400"/>
            <wp:effectExtent l="0" t="0" r="8255" b="0"/>
            <wp:wrapTopAndBottom/>
            <wp:docPr id="1" name="Grafik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Basilar Artery  - Fusiform resp. Dissected Type.png"/>
                    <pic:cNvPicPr preferRelativeResize="0"/>
                  </pic:nvPicPr>
                  <pic:blipFill>
                    <a:blip r:embed="rId6">
                      <a:extLst>
                        <a:ext uri="{28A0092B-C50C-407E-A947-70E740481C1C}">
                          <a14:useLocalDpi xmlns:a14="http://schemas.microsoft.com/office/drawing/2010/main" val="0"/>
                        </a:ext>
                      </a:extLst>
                    </a:blip>
                    <a:stretch>
                      <a:fillRect/>
                    </a:stretch>
                  </pic:blipFill>
                  <pic:spPr>
                    <a:xfrm>
                      <a:off x="0" y="0"/>
                      <a:ext cx="5421600" cy="3074400"/>
                    </a:xfrm>
                    <a:prstGeom prst="rect">
                      <a:avLst/>
                    </a:prstGeom>
                  </pic:spPr>
                </pic:pic>
              </a:graphicData>
            </a:graphic>
          </wp:anchor>
        </w:drawing>
      </w:r>
      <w:r w:rsidR="00BD74F5">
        <w:rPr>
          <w:b/>
          <w:noProof/>
          <w:sz w:val="20"/>
          <w:szCs w:val="20"/>
          <w:lang w:eastAsia="de-DE"/>
        </w:rPr>
        <w:drawing>
          <wp:anchor distT="0" distB="0" distL="114300" distR="114300" simplePos="0" relativeHeight="251666432" behindDoc="0" locked="0" layoutInCell="1" allowOverlap="1" wp14:anchorId="3BB3FD1B" wp14:editId="0301D4A5">
            <wp:simplePos x="0" y="0"/>
            <wp:positionH relativeFrom="margin">
              <wp:posOffset>343372</wp:posOffset>
            </wp:positionH>
            <wp:positionV relativeFrom="paragraph">
              <wp:posOffset>245110</wp:posOffset>
            </wp:positionV>
            <wp:extent cx="5422605" cy="3072809"/>
            <wp:effectExtent l="0" t="0" r="6985" b="0"/>
            <wp:wrapTopAndBottom/>
            <wp:docPr id="13" name="Grafik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basilar artery with saccular type.png"/>
                    <pic:cNvPicPr/>
                  </pic:nvPicPr>
                  <pic:blipFill>
                    <a:blip r:embed="rId7">
                      <a:extLst>
                        <a:ext uri="{28A0092B-C50C-407E-A947-70E740481C1C}">
                          <a14:useLocalDpi xmlns:a14="http://schemas.microsoft.com/office/drawing/2010/main" val="0"/>
                        </a:ext>
                      </a:extLst>
                    </a:blip>
                    <a:stretch>
                      <a:fillRect/>
                    </a:stretch>
                  </pic:blipFill>
                  <pic:spPr>
                    <a:xfrm>
                      <a:off x="0" y="0"/>
                      <a:ext cx="5422605" cy="3072809"/>
                    </a:xfrm>
                    <a:prstGeom prst="rect">
                      <a:avLst/>
                    </a:prstGeom>
                  </pic:spPr>
                </pic:pic>
              </a:graphicData>
            </a:graphic>
            <wp14:sizeRelH relativeFrom="margin">
              <wp14:pctWidth>0</wp14:pctWidth>
            </wp14:sizeRelH>
            <wp14:sizeRelV relativeFrom="margin">
              <wp14:pctHeight>0</wp14:pctHeight>
            </wp14:sizeRelV>
          </wp:anchor>
        </w:drawing>
      </w:r>
      <w:r w:rsidR="00BD74F5" w:rsidRPr="003F692C">
        <w:rPr>
          <w:b/>
          <w:noProof/>
          <w:sz w:val="24"/>
          <w:lang w:val="en-US"/>
        </w:rPr>
        <w:t>Basilar artery</w:t>
      </w:r>
      <w:r w:rsidR="00BD74F5" w:rsidRPr="003F692C">
        <w:rPr>
          <w:b/>
          <w:sz w:val="20"/>
          <w:szCs w:val="24"/>
          <w:lang w:val="en-US"/>
        </w:rPr>
        <w:t xml:space="preserve"> </w:t>
      </w:r>
      <w:r w:rsidR="00BD74F5" w:rsidRPr="00817C62">
        <w:rPr>
          <w:b/>
          <w:sz w:val="24"/>
          <w:szCs w:val="24"/>
          <w:lang w:val="en-US"/>
        </w:rPr>
        <w:t>with saccular and fusiform aneurysm types</w:t>
      </w:r>
    </w:p>
    <w:p w14:paraId="66FE1100" w14:textId="1F1840CA" w:rsidR="00BD74F5" w:rsidRDefault="00BD74F5" w:rsidP="00BD74F5">
      <w:pPr>
        <w:rPr>
          <w:lang w:val="en-US"/>
        </w:rPr>
      </w:pPr>
      <w:r w:rsidRPr="006A2CA8">
        <w:rPr>
          <w:lang w:val="en-US"/>
        </w:rPr>
        <w:t xml:space="preserve">CE-based approaches remain the most prevalent technique, with 39.07% of records indicating its use in the treatment of a saccular aneurysm of the basilar artery. This approach is analogous to 9.66% of the overall coil-based embolization methodologies. It is noteworthy that exclusively </w:t>
      </w:r>
      <w:proofErr w:type="spellStart"/>
      <w:r w:rsidRPr="006A2CA8">
        <w:rPr>
          <w:lang w:val="en-US"/>
        </w:rPr>
        <w:t>IaFD</w:t>
      </w:r>
      <w:proofErr w:type="spellEnd"/>
      <w:r w:rsidRPr="006A2CA8">
        <w:rPr>
          <w:lang w:val="en-US"/>
        </w:rPr>
        <w:t xml:space="preserve">-based approaches demonstrate superior efficiency in terms of </w:t>
      </w:r>
      <w:r>
        <w:rPr>
          <w:lang w:val="en-US"/>
        </w:rPr>
        <w:t>dose-area product</w:t>
      </w:r>
      <w:r w:rsidRPr="006A2CA8">
        <w:rPr>
          <w:lang w:val="en-US"/>
        </w:rPr>
        <w:t xml:space="preserve"> (77.81%) and </w:t>
      </w:r>
      <w:r>
        <w:rPr>
          <w:lang w:val="en-US"/>
        </w:rPr>
        <w:t>exposure time</w:t>
      </w:r>
      <w:r w:rsidRPr="006A2CA8">
        <w:rPr>
          <w:lang w:val="en-US"/>
        </w:rPr>
        <w:t xml:space="preserve"> (58.75%). In contrast, FD yielded a reduction in exposure time </w:t>
      </w:r>
      <w:r>
        <w:rPr>
          <w:lang w:val="en-US"/>
        </w:rPr>
        <w:t xml:space="preserve">equivalent to </w:t>
      </w:r>
      <w:r w:rsidRPr="006A2CA8">
        <w:rPr>
          <w:lang w:val="en-US"/>
        </w:rPr>
        <w:t>68.57%, yet without a concomitant significant decrease in exposure, which was 95.97%.</w:t>
      </w:r>
      <w:r>
        <w:rPr>
          <w:lang w:val="en-US"/>
        </w:rPr>
        <w:t xml:space="preserve"> </w:t>
      </w:r>
      <w:r w:rsidRPr="0021446F">
        <w:rPr>
          <w:lang w:val="en-US"/>
        </w:rPr>
        <w:t xml:space="preserve">In the case of the treatment of fusiform aneurysms, both techniques demonstrate a tendency to approach the median </w:t>
      </w:r>
      <w:r>
        <w:rPr>
          <w:lang w:val="en-US"/>
        </w:rPr>
        <w:t>dose-area product</w:t>
      </w:r>
      <w:r w:rsidRPr="0021446F">
        <w:rPr>
          <w:lang w:val="en-US"/>
        </w:rPr>
        <w:t xml:space="preserve"> of coil-based </w:t>
      </w:r>
      <w:proofErr w:type="spellStart"/>
      <w:r w:rsidRPr="0021446F">
        <w:rPr>
          <w:lang w:val="en-US"/>
        </w:rPr>
        <w:t>embolizations</w:t>
      </w:r>
      <w:proofErr w:type="spellEnd"/>
      <w:r w:rsidRPr="0021446F">
        <w:rPr>
          <w:lang w:val="en-US"/>
        </w:rPr>
        <w:t xml:space="preserve">. Furthermore, the implementation of </w:t>
      </w:r>
      <w:proofErr w:type="spellStart"/>
      <w:r w:rsidRPr="0021446F">
        <w:rPr>
          <w:lang w:val="en-US"/>
        </w:rPr>
        <w:t>IaFD</w:t>
      </w:r>
      <w:proofErr w:type="spellEnd"/>
      <w:r w:rsidRPr="0021446F">
        <w:rPr>
          <w:lang w:val="en-US"/>
        </w:rPr>
        <w:t xml:space="preserve">-based approaches has been shown to result in an increase in </w:t>
      </w:r>
      <w:r>
        <w:rPr>
          <w:lang w:val="en-US"/>
        </w:rPr>
        <w:t>exposure time</w:t>
      </w:r>
      <w:r w:rsidRPr="0021446F">
        <w:rPr>
          <w:lang w:val="en-US"/>
        </w:rPr>
        <w:t xml:space="preserve"> by 59.68%. For this vessel and aneurysm type combination, the use of BAC techniques results in a 69.21% reduction in exposure. However, these techniques also yield the highest exposure times, with an increase of 150% compared to CE </w:t>
      </w:r>
      <w:r w:rsidRPr="0021446F">
        <w:rPr>
          <w:lang w:val="en-US"/>
        </w:rPr>
        <w:lastRenderedPageBreak/>
        <w:t>approaches</w:t>
      </w:r>
      <w:r w:rsidRPr="0021446F" w:rsidDel="0021446F">
        <w:rPr>
          <w:lang w:val="en-US"/>
        </w:rPr>
        <w:t xml:space="preserve"> </w:t>
      </w:r>
      <w:r w:rsidRPr="002E5280">
        <w:rPr>
          <w:lang w:val="en-US"/>
        </w:rPr>
        <w:t>(see</w:t>
      </w:r>
      <w:r w:rsidR="006F296C">
        <w:rPr>
          <w:lang w:val="en-US"/>
        </w:rPr>
        <w:t xml:space="preserve"> Fig.S1 </w:t>
      </w:r>
      <w:r w:rsidRPr="002E5280">
        <w:rPr>
          <w:lang w:val="en-US"/>
        </w:rPr>
        <w:t>&amp;</w:t>
      </w:r>
      <w:r w:rsidR="006F296C">
        <w:rPr>
          <w:lang w:val="en-US"/>
        </w:rPr>
        <w:t xml:space="preserve"> Tab.S1</w:t>
      </w:r>
      <w:r w:rsidRPr="002E5280">
        <w:rPr>
          <w:lang w:val="en-US"/>
        </w:rPr>
        <w:t xml:space="preserve">). The significance for this analysis was </w:t>
      </w:r>
      <w:proofErr w:type="spellStart"/>
      <w:r w:rsidRPr="002E5280">
        <w:rPr>
          <w:lang w:val="en-US"/>
        </w:rPr>
        <w:t>p</w:t>
      </w:r>
      <w:r>
        <w:rPr>
          <w:vertAlign w:val="subscript"/>
          <w:lang w:val="en-US"/>
        </w:rPr>
        <w:t>saccular</w:t>
      </w:r>
      <w:proofErr w:type="spellEnd"/>
      <w:r w:rsidRPr="002E5280">
        <w:rPr>
          <w:lang w:val="en-US"/>
        </w:rPr>
        <w:t xml:space="preserve"> </w:t>
      </w:r>
      <w:r>
        <w:rPr>
          <w:lang w:val="en-US"/>
        </w:rPr>
        <w:t>=</w:t>
      </w:r>
      <w:r w:rsidRPr="002E5280">
        <w:rPr>
          <w:lang w:val="en-US"/>
        </w:rPr>
        <w:t xml:space="preserve"> </w:t>
      </w:r>
      <w:r>
        <w:rPr>
          <w:lang w:val="en-US"/>
        </w:rPr>
        <w:t>7.15</w:t>
      </w:r>
      <w:r>
        <w:rPr>
          <w:rFonts w:cstheme="minorHAnsi"/>
          <w:lang w:val="en-US"/>
        </w:rPr>
        <w:t>·</w:t>
      </w:r>
      <w:r>
        <w:rPr>
          <w:vertAlign w:val="superscript"/>
          <w:lang w:val="en-US"/>
        </w:rPr>
        <w:t>-13</w:t>
      </w:r>
      <w:r>
        <w:rPr>
          <w:lang w:val="en-US"/>
        </w:rPr>
        <w:t xml:space="preserve"> and </w:t>
      </w:r>
      <w:proofErr w:type="spellStart"/>
      <w:r w:rsidRPr="002E5280">
        <w:rPr>
          <w:lang w:val="en-US"/>
        </w:rPr>
        <w:t>p</w:t>
      </w:r>
      <w:r>
        <w:rPr>
          <w:vertAlign w:val="subscript"/>
          <w:lang w:val="en-US"/>
        </w:rPr>
        <w:t>fusiform</w:t>
      </w:r>
      <w:proofErr w:type="spellEnd"/>
      <w:r w:rsidRPr="002E5280">
        <w:rPr>
          <w:lang w:val="en-US"/>
        </w:rPr>
        <w:t xml:space="preserve"> </w:t>
      </w:r>
      <w:r>
        <w:rPr>
          <w:lang w:val="en-US"/>
        </w:rPr>
        <w:t>=</w:t>
      </w:r>
      <w:r w:rsidRPr="002E5280">
        <w:rPr>
          <w:lang w:val="en-US"/>
        </w:rPr>
        <w:t xml:space="preserve"> </w:t>
      </w:r>
      <w:r>
        <w:rPr>
          <w:lang w:val="en-US"/>
        </w:rPr>
        <w:t xml:space="preserve">0.007 </w:t>
      </w:r>
      <w:r w:rsidRPr="002E5280">
        <w:rPr>
          <w:lang w:val="en-US"/>
        </w:rPr>
        <w:t xml:space="preserve">for </w:t>
      </w:r>
      <w:r>
        <w:rPr>
          <w:lang w:val="en-US"/>
        </w:rPr>
        <w:t>dose-area product,</w:t>
      </w:r>
      <w:r w:rsidRPr="002E5280">
        <w:rPr>
          <w:lang w:val="en-US"/>
        </w:rPr>
        <w:t xml:space="preserve"> </w:t>
      </w:r>
      <w:proofErr w:type="spellStart"/>
      <w:r>
        <w:rPr>
          <w:lang w:val="en-US"/>
        </w:rPr>
        <w:t>p</w:t>
      </w:r>
      <w:r>
        <w:rPr>
          <w:vertAlign w:val="subscript"/>
          <w:lang w:val="en-US"/>
        </w:rPr>
        <w:t>saccular</w:t>
      </w:r>
      <w:proofErr w:type="spellEnd"/>
      <w:r>
        <w:rPr>
          <w:vertAlign w:val="subscript"/>
          <w:lang w:val="en-US"/>
        </w:rPr>
        <w:t xml:space="preserve"> </w:t>
      </w:r>
      <w:r>
        <w:rPr>
          <w:lang w:val="en-US"/>
        </w:rPr>
        <w:t>= 4.19</w:t>
      </w:r>
      <w:r>
        <w:rPr>
          <w:rFonts w:cstheme="minorHAnsi"/>
          <w:lang w:val="en-US"/>
        </w:rPr>
        <w:t>·</w:t>
      </w:r>
      <w:r>
        <w:rPr>
          <w:lang w:val="en-US"/>
        </w:rPr>
        <w:t>10</w:t>
      </w:r>
      <w:r>
        <w:rPr>
          <w:vertAlign w:val="superscript"/>
          <w:lang w:val="en-US"/>
        </w:rPr>
        <w:t xml:space="preserve">-69 </w:t>
      </w:r>
      <w:r>
        <w:rPr>
          <w:lang w:val="en-US"/>
        </w:rPr>
        <w:t xml:space="preserve">and </w:t>
      </w:r>
      <w:proofErr w:type="spellStart"/>
      <w:r w:rsidRPr="002E5280">
        <w:rPr>
          <w:lang w:val="en-US"/>
        </w:rPr>
        <w:t>p</w:t>
      </w:r>
      <w:r>
        <w:rPr>
          <w:vertAlign w:val="subscript"/>
          <w:lang w:val="en-US"/>
        </w:rPr>
        <w:t>fusiform</w:t>
      </w:r>
      <w:proofErr w:type="spellEnd"/>
      <w:r w:rsidRPr="002E5280">
        <w:rPr>
          <w:lang w:val="en-US"/>
        </w:rPr>
        <w:t xml:space="preserve"> </w:t>
      </w:r>
      <w:r>
        <w:rPr>
          <w:lang w:val="en-US"/>
        </w:rPr>
        <w:t>=</w:t>
      </w:r>
      <w:r w:rsidRPr="002E5280">
        <w:rPr>
          <w:lang w:val="en-US"/>
        </w:rPr>
        <w:t xml:space="preserve"> </w:t>
      </w:r>
      <w:r>
        <w:rPr>
          <w:lang w:val="en-US"/>
        </w:rPr>
        <w:t>3.09</w:t>
      </w:r>
      <w:r>
        <w:rPr>
          <w:rFonts w:cstheme="minorHAnsi"/>
          <w:lang w:val="en-US"/>
        </w:rPr>
        <w:t>·</w:t>
      </w:r>
      <w:r>
        <w:rPr>
          <w:vertAlign w:val="superscript"/>
          <w:lang w:val="en-US"/>
        </w:rPr>
        <w:t xml:space="preserve">-6 </w:t>
      </w:r>
      <w:r>
        <w:rPr>
          <w:lang w:val="en-US"/>
        </w:rPr>
        <w:t>for exposure time</w:t>
      </w:r>
      <w:r w:rsidRPr="002E5280">
        <w:rPr>
          <w:lang w:val="en-US"/>
        </w:rPr>
        <w:t>.</w:t>
      </w:r>
    </w:p>
    <w:p w14:paraId="0120FB1D" w14:textId="77777777" w:rsidR="00BD74F5" w:rsidRPr="00BA17D1" w:rsidRDefault="00BD74F5" w:rsidP="00BD74F5">
      <w:pPr>
        <w:rPr>
          <w:lang w:val="en-US"/>
        </w:rPr>
      </w:pPr>
    </w:p>
    <w:tbl>
      <w:tblPr>
        <w:tblStyle w:val="EinfacheTabelle3"/>
        <w:tblW w:w="0" w:type="auto"/>
        <w:jc w:val="center"/>
        <w:tblLayout w:type="fixed"/>
        <w:tblLook w:val="04A0" w:firstRow="1" w:lastRow="0" w:firstColumn="1" w:lastColumn="0" w:noHBand="0" w:noVBand="1"/>
      </w:tblPr>
      <w:tblGrid>
        <w:gridCol w:w="1276"/>
        <w:gridCol w:w="1843"/>
        <w:gridCol w:w="1276"/>
        <w:gridCol w:w="2126"/>
        <w:gridCol w:w="1984"/>
        <w:gridCol w:w="17"/>
      </w:tblGrid>
      <w:tr w:rsidR="00BD74F5" w:rsidRPr="0084270F" w14:paraId="149AE852" w14:textId="77777777" w:rsidTr="00FC4243">
        <w:trPr>
          <w:cnfStyle w:val="100000000000" w:firstRow="1" w:lastRow="0" w:firstColumn="0" w:lastColumn="0" w:oddVBand="0" w:evenVBand="0" w:oddHBand="0" w:evenHBand="0" w:firstRowFirstColumn="0" w:firstRowLastColumn="0" w:lastRowFirstColumn="0" w:lastRowLastColumn="0"/>
          <w:trHeight w:val="1174"/>
          <w:jc w:val="center"/>
        </w:trPr>
        <w:tc>
          <w:tcPr>
            <w:cnfStyle w:val="001000000100" w:firstRow="0" w:lastRow="0" w:firstColumn="1" w:lastColumn="0" w:oddVBand="0" w:evenVBand="0" w:oddHBand="0" w:evenHBand="0" w:firstRowFirstColumn="1" w:firstRowLastColumn="0" w:lastRowFirstColumn="0" w:lastRowLastColumn="0"/>
            <w:tcW w:w="1276" w:type="dxa"/>
            <w:vAlign w:val="center"/>
          </w:tcPr>
          <w:p w14:paraId="4D453A5D" w14:textId="77777777" w:rsidR="00BD74F5" w:rsidRPr="00EB1129" w:rsidRDefault="00BD74F5" w:rsidP="00FC4243">
            <w:pPr>
              <w:jc w:val="center"/>
              <w:rPr>
                <w:rFonts w:cstheme="minorHAnsi"/>
                <w:sz w:val="20"/>
                <w:szCs w:val="20"/>
                <w:lang w:val="en-US"/>
              </w:rPr>
            </w:pPr>
            <w:r w:rsidRPr="00EB1129">
              <w:rPr>
                <w:rFonts w:cstheme="minorHAnsi"/>
                <w:sz w:val="20"/>
                <w:szCs w:val="20"/>
                <w:lang w:val="en-US"/>
              </w:rPr>
              <w:t>Technique</w:t>
            </w:r>
          </w:p>
        </w:tc>
        <w:tc>
          <w:tcPr>
            <w:tcW w:w="1843" w:type="dxa"/>
            <w:vAlign w:val="center"/>
          </w:tcPr>
          <w:p w14:paraId="73DCD122" w14:textId="77777777" w:rsidR="00BD74F5" w:rsidRPr="003D3A33"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8D6E6C">
              <w:rPr>
                <w:rFonts w:cstheme="minorHAnsi"/>
                <w:sz w:val="20"/>
                <w:szCs w:val="20"/>
                <w:lang w:val="en-US"/>
              </w:rPr>
              <w:t xml:space="preserve">Relative </w:t>
            </w:r>
            <w:r w:rsidRPr="003D3A33">
              <w:rPr>
                <w:rFonts w:cstheme="minorHAnsi"/>
                <w:sz w:val="20"/>
                <w:szCs w:val="20"/>
                <w:lang w:val="en-US"/>
              </w:rPr>
              <w:t>Dose-Area Product Compared to Coils</w:t>
            </w:r>
          </w:p>
        </w:tc>
        <w:tc>
          <w:tcPr>
            <w:tcW w:w="1276" w:type="dxa"/>
            <w:vAlign w:val="center"/>
          </w:tcPr>
          <w:p w14:paraId="794FECE6" w14:textId="77777777" w:rsidR="00BD74F5" w:rsidRPr="009408E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9408EA">
              <w:rPr>
                <w:rFonts w:cstheme="minorHAnsi"/>
                <w:sz w:val="20"/>
                <w:szCs w:val="20"/>
                <w:lang w:val="en-US"/>
              </w:rPr>
              <w:t>Relative Exposure Time Compared to Coils</w:t>
            </w:r>
          </w:p>
        </w:tc>
        <w:tc>
          <w:tcPr>
            <w:tcW w:w="2126" w:type="dxa"/>
            <w:vAlign w:val="center"/>
          </w:tcPr>
          <w:p w14:paraId="0A4034F6" w14:textId="77777777" w:rsidR="00BD74F5" w:rsidRPr="009408E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9408EA">
              <w:rPr>
                <w:rFonts w:cstheme="minorHAnsi"/>
                <w:sz w:val="20"/>
                <w:szCs w:val="20"/>
                <w:lang w:val="en-US"/>
              </w:rPr>
              <w:t>Dunn test: DAP significance of each technique compared to Coils</w:t>
            </w:r>
          </w:p>
        </w:tc>
        <w:tc>
          <w:tcPr>
            <w:tcW w:w="2001" w:type="dxa"/>
            <w:gridSpan w:val="2"/>
            <w:vAlign w:val="center"/>
          </w:tcPr>
          <w:p w14:paraId="5C3C6927" w14:textId="77777777" w:rsidR="00BD74F5" w:rsidRPr="00EB1129"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EB1129">
              <w:rPr>
                <w:rFonts w:cstheme="minorHAnsi"/>
                <w:sz w:val="20"/>
                <w:szCs w:val="20"/>
                <w:lang w:val="en-US"/>
              </w:rPr>
              <w:t>Dunn test: ET significance of each technique compared to Coils</w:t>
            </w:r>
          </w:p>
        </w:tc>
      </w:tr>
      <w:tr w:rsidR="00BD74F5" w:rsidRPr="0084270F" w14:paraId="4BA1FB91" w14:textId="77777777" w:rsidTr="00FC4243">
        <w:trPr>
          <w:gridAfter w:val="1"/>
          <w:cnfStyle w:val="000000100000" w:firstRow="0" w:lastRow="0" w:firstColumn="0" w:lastColumn="0" w:oddVBand="0" w:evenVBand="0" w:oddHBand="1" w:evenHBand="0" w:firstRowFirstColumn="0" w:firstRowLastColumn="0" w:lastRowFirstColumn="0" w:lastRowLastColumn="0"/>
          <w:wAfter w:w="17" w:type="dxa"/>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15CF3B87" w14:textId="77777777" w:rsidR="00BD74F5" w:rsidRPr="00E133DC" w:rsidRDefault="00BD74F5" w:rsidP="00FC4243">
            <w:pPr>
              <w:jc w:val="center"/>
              <w:rPr>
                <w:rFonts w:cstheme="minorHAnsi"/>
                <w:sz w:val="20"/>
                <w:szCs w:val="20"/>
                <w:lang w:val="en-US"/>
              </w:rPr>
            </w:pPr>
          </w:p>
        </w:tc>
        <w:tc>
          <w:tcPr>
            <w:tcW w:w="7229" w:type="dxa"/>
            <w:gridSpan w:val="4"/>
            <w:vAlign w:val="center"/>
          </w:tcPr>
          <w:p w14:paraId="4A2B6430" w14:textId="77777777"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E133DC">
              <w:rPr>
                <w:rFonts w:cstheme="minorHAnsi"/>
                <w:sz w:val="20"/>
                <w:szCs w:val="20"/>
                <w:lang w:val="en-US"/>
              </w:rPr>
              <w:t>Basilar artery with saccular aneurysm</w:t>
            </w:r>
          </w:p>
          <w:p w14:paraId="7DAF5D7A" w14:textId="77777777"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E133DC">
              <w:rPr>
                <w:rFonts w:cstheme="minorHAnsi"/>
                <w:sz w:val="20"/>
                <w:szCs w:val="20"/>
                <w:lang w:val="en-US"/>
              </w:rPr>
              <w:t>n=1963</w:t>
            </w:r>
          </w:p>
        </w:tc>
      </w:tr>
      <w:tr w:rsidR="00BD74F5" w:rsidRPr="00E133DC" w14:paraId="518E36E3" w14:textId="77777777" w:rsidTr="00FC4243">
        <w:trPr>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203CD965" w14:textId="77777777" w:rsidR="00BD74F5" w:rsidRPr="00E133DC" w:rsidRDefault="00BD74F5" w:rsidP="00FC4243">
            <w:pPr>
              <w:jc w:val="center"/>
              <w:rPr>
                <w:rFonts w:cstheme="minorHAnsi"/>
                <w:sz w:val="20"/>
                <w:szCs w:val="20"/>
                <w:lang w:val="en-US"/>
              </w:rPr>
            </w:pPr>
            <w:r>
              <w:rPr>
                <w:rFonts w:cstheme="minorHAnsi"/>
                <w:sz w:val="20"/>
                <w:szCs w:val="20"/>
                <w:lang w:val="en-US"/>
              </w:rPr>
              <w:t>CE</w:t>
            </w:r>
          </w:p>
        </w:tc>
        <w:tc>
          <w:tcPr>
            <w:tcW w:w="1843" w:type="dxa"/>
            <w:vAlign w:val="center"/>
          </w:tcPr>
          <w:p w14:paraId="596CCADC" w14:textId="77777777"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E133DC">
              <w:rPr>
                <w:rFonts w:cstheme="minorHAnsi"/>
                <w:sz w:val="20"/>
                <w:szCs w:val="20"/>
                <w:lang w:val="en-US"/>
              </w:rPr>
              <w:t>100%</w:t>
            </w:r>
          </w:p>
        </w:tc>
        <w:tc>
          <w:tcPr>
            <w:tcW w:w="1276" w:type="dxa"/>
            <w:vAlign w:val="center"/>
          </w:tcPr>
          <w:p w14:paraId="3DAF4B97" w14:textId="77777777"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E133DC">
              <w:rPr>
                <w:rFonts w:cstheme="minorHAnsi"/>
                <w:sz w:val="20"/>
                <w:szCs w:val="20"/>
                <w:lang w:val="en-US"/>
              </w:rPr>
              <w:t>100%</w:t>
            </w:r>
          </w:p>
        </w:tc>
        <w:tc>
          <w:tcPr>
            <w:tcW w:w="2126" w:type="dxa"/>
          </w:tcPr>
          <w:p w14:paraId="08F3A864" w14:textId="77777777"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Pr>
                <w:rFonts w:cstheme="minorHAnsi"/>
                <w:sz w:val="20"/>
                <w:szCs w:val="20"/>
                <w:lang w:val="en-US"/>
              </w:rPr>
              <w:t>N/A</w:t>
            </w:r>
          </w:p>
        </w:tc>
        <w:tc>
          <w:tcPr>
            <w:tcW w:w="2001" w:type="dxa"/>
            <w:gridSpan w:val="2"/>
          </w:tcPr>
          <w:p w14:paraId="068FB137" w14:textId="77777777"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Pr>
                <w:rFonts w:cstheme="minorHAnsi"/>
                <w:sz w:val="20"/>
                <w:szCs w:val="20"/>
                <w:lang w:val="en-US"/>
              </w:rPr>
              <w:t>N/A</w:t>
            </w:r>
          </w:p>
        </w:tc>
      </w:tr>
      <w:tr w:rsidR="00BD74F5" w:rsidRPr="00E133DC" w14:paraId="550F6212" w14:textId="77777777" w:rsidTr="00FC42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57DC8D3D" w14:textId="77777777" w:rsidR="00BD74F5" w:rsidRPr="00E133DC" w:rsidRDefault="00BD74F5" w:rsidP="00FC4243">
            <w:pPr>
              <w:jc w:val="center"/>
              <w:rPr>
                <w:rFonts w:cstheme="minorHAnsi"/>
                <w:sz w:val="20"/>
                <w:szCs w:val="20"/>
                <w:lang w:val="en-US"/>
              </w:rPr>
            </w:pPr>
            <w:r w:rsidRPr="00E133DC">
              <w:rPr>
                <w:rFonts w:cstheme="minorHAnsi"/>
                <w:sz w:val="20"/>
                <w:szCs w:val="20"/>
                <w:lang w:val="en-US"/>
              </w:rPr>
              <w:t>FD</w:t>
            </w:r>
          </w:p>
        </w:tc>
        <w:tc>
          <w:tcPr>
            <w:tcW w:w="1843" w:type="dxa"/>
            <w:vAlign w:val="center"/>
          </w:tcPr>
          <w:p w14:paraId="432330C8" w14:textId="5A34C4AC"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E133DC">
              <w:rPr>
                <w:rFonts w:cstheme="minorHAnsi"/>
                <w:sz w:val="20"/>
                <w:szCs w:val="20"/>
                <w:lang w:val="en-US"/>
              </w:rPr>
              <w:t>95</w:t>
            </w:r>
            <w:r w:rsidR="0084270F">
              <w:rPr>
                <w:rFonts w:cstheme="minorHAnsi"/>
                <w:sz w:val="20"/>
                <w:szCs w:val="20"/>
                <w:lang w:val="en-US"/>
              </w:rPr>
              <w:t>.</w:t>
            </w:r>
            <w:r w:rsidRPr="00E133DC">
              <w:rPr>
                <w:rFonts w:cstheme="minorHAnsi"/>
                <w:sz w:val="20"/>
                <w:szCs w:val="20"/>
                <w:lang w:val="en-US"/>
              </w:rPr>
              <w:t>97%</w:t>
            </w:r>
          </w:p>
        </w:tc>
        <w:tc>
          <w:tcPr>
            <w:tcW w:w="1276" w:type="dxa"/>
            <w:vAlign w:val="center"/>
          </w:tcPr>
          <w:p w14:paraId="38133768" w14:textId="3B02CEC2"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E133DC">
              <w:rPr>
                <w:rFonts w:cstheme="minorHAnsi"/>
                <w:color w:val="00B050"/>
                <w:sz w:val="20"/>
                <w:szCs w:val="20"/>
                <w:lang w:val="en-US"/>
              </w:rPr>
              <w:t>68</w:t>
            </w:r>
            <w:r w:rsidR="0084270F">
              <w:rPr>
                <w:rFonts w:cstheme="minorHAnsi"/>
                <w:color w:val="00B050"/>
                <w:sz w:val="20"/>
                <w:szCs w:val="20"/>
                <w:lang w:val="en-US"/>
              </w:rPr>
              <w:t>.</w:t>
            </w:r>
            <w:r w:rsidRPr="00E133DC">
              <w:rPr>
                <w:rFonts w:cstheme="minorHAnsi"/>
                <w:color w:val="00B050"/>
                <w:sz w:val="20"/>
                <w:szCs w:val="20"/>
                <w:lang w:val="en-US"/>
              </w:rPr>
              <w:t>57%</w:t>
            </w:r>
          </w:p>
        </w:tc>
        <w:tc>
          <w:tcPr>
            <w:tcW w:w="2126" w:type="dxa"/>
          </w:tcPr>
          <w:p w14:paraId="544166F3" w14:textId="77777777"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sidRPr="00B96289">
              <w:rPr>
                <w:rFonts w:cstheme="minorHAnsi"/>
                <w:color w:val="FF0000"/>
                <w:sz w:val="20"/>
                <w:szCs w:val="20"/>
                <w:lang w:val="en-US"/>
              </w:rPr>
              <w:t>No</w:t>
            </w:r>
          </w:p>
        </w:tc>
        <w:tc>
          <w:tcPr>
            <w:tcW w:w="2001" w:type="dxa"/>
            <w:gridSpan w:val="2"/>
          </w:tcPr>
          <w:p w14:paraId="6C174DC5" w14:textId="77777777"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Pr>
                <w:rFonts w:cstheme="minorHAnsi"/>
                <w:color w:val="00B050"/>
                <w:sz w:val="20"/>
                <w:szCs w:val="20"/>
                <w:lang w:val="en-US"/>
              </w:rPr>
              <w:t>Yes</w:t>
            </w:r>
          </w:p>
        </w:tc>
      </w:tr>
      <w:tr w:rsidR="00BD74F5" w:rsidRPr="00E133DC" w14:paraId="491676A0" w14:textId="77777777" w:rsidTr="00FC4243">
        <w:trPr>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4A322EC5" w14:textId="77777777" w:rsidR="00BD74F5" w:rsidRPr="00E133DC" w:rsidRDefault="00BD74F5" w:rsidP="00FC4243">
            <w:pPr>
              <w:jc w:val="center"/>
              <w:rPr>
                <w:rFonts w:cstheme="minorHAnsi"/>
                <w:sz w:val="20"/>
                <w:szCs w:val="20"/>
                <w:lang w:val="en-US"/>
              </w:rPr>
            </w:pPr>
            <w:r>
              <w:rPr>
                <w:sz w:val="20"/>
                <w:szCs w:val="20"/>
                <w:lang w:val="en-US"/>
              </w:rPr>
              <w:t>SAC</w:t>
            </w:r>
          </w:p>
        </w:tc>
        <w:tc>
          <w:tcPr>
            <w:tcW w:w="1843" w:type="dxa"/>
            <w:vAlign w:val="center"/>
          </w:tcPr>
          <w:p w14:paraId="02391A6E" w14:textId="4C3528A2"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E133DC">
              <w:rPr>
                <w:rFonts w:cstheme="minorHAnsi"/>
                <w:color w:val="FF0000"/>
                <w:sz w:val="20"/>
                <w:szCs w:val="20"/>
                <w:lang w:val="en-US"/>
              </w:rPr>
              <w:t>110</w:t>
            </w:r>
            <w:r w:rsidR="0084270F">
              <w:rPr>
                <w:rFonts w:cstheme="minorHAnsi"/>
                <w:color w:val="FF0000"/>
                <w:sz w:val="20"/>
                <w:szCs w:val="20"/>
                <w:lang w:val="en-US"/>
              </w:rPr>
              <w:t>.</w:t>
            </w:r>
            <w:r w:rsidRPr="00E133DC">
              <w:rPr>
                <w:rFonts w:cstheme="minorHAnsi"/>
                <w:color w:val="FF0000"/>
                <w:sz w:val="20"/>
                <w:szCs w:val="20"/>
                <w:lang w:val="en-US"/>
              </w:rPr>
              <w:t>68%</w:t>
            </w:r>
          </w:p>
        </w:tc>
        <w:tc>
          <w:tcPr>
            <w:tcW w:w="1276" w:type="dxa"/>
            <w:vAlign w:val="center"/>
          </w:tcPr>
          <w:p w14:paraId="63B79FC9" w14:textId="6474F952"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E133DC">
              <w:rPr>
                <w:rFonts w:cstheme="minorHAnsi"/>
                <w:color w:val="FF0000"/>
                <w:sz w:val="20"/>
                <w:szCs w:val="20"/>
                <w:lang w:val="en-US"/>
              </w:rPr>
              <w:t>131</w:t>
            </w:r>
            <w:r w:rsidR="0084270F">
              <w:rPr>
                <w:rFonts w:cstheme="minorHAnsi"/>
                <w:color w:val="FF0000"/>
                <w:sz w:val="20"/>
                <w:szCs w:val="20"/>
                <w:lang w:val="en-US"/>
              </w:rPr>
              <w:t>.</w:t>
            </w:r>
            <w:r w:rsidRPr="00E133DC">
              <w:rPr>
                <w:rFonts w:cstheme="minorHAnsi"/>
                <w:color w:val="FF0000"/>
                <w:sz w:val="20"/>
                <w:szCs w:val="20"/>
                <w:lang w:val="en-US"/>
              </w:rPr>
              <w:t>43</w:t>
            </w:r>
          </w:p>
        </w:tc>
        <w:tc>
          <w:tcPr>
            <w:tcW w:w="2126" w:type="dxa"/>
          </w:tcPr>
          <w:p w14:paraId="1679DA36" w14:textId="77777777"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Pr>
                <w:rFonts w:cstheme="minorHAnsi"/>
                <w:color w:val="FF0000"/>
                <w:sz w:val="20"/>
                <w:szCs w:val="20"/>
                <w:lang w:val="en-US"/>
              </w:rPr>
              <w:t>No</w:t>
            </w:r>
          </w:p>
        </w:tc>
        <w:tc>
          <w:tcPr>
            <w:tcW w:w="2001" w:type="dxa"/>
            <w:gridSpan w:val="2"/>
          </w:tcPr>
          <w:p w14:paraId="5BB4FB38" w14:textId="77777777"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sidRPr="00B96289">
              <w:rPr>
                <w:rFonts w:cstheme="minorHAnsi"/>
                <w:color w:val="00B050"/>
                <w:sz w:val="20"/>
                <w:szCs w:val="20"/>
                <w:lang w:val="en-US"/>
              </w:rPr>
              <w:t>Yes</w:t>
            </w:r>
          </w:p>
        </w:tc>
      </w:tr>
      <w:tr w:rsidR="00BD74F5" w:rsidRPr="00E133DC" w14:paraId="3AEE2F64" w14:textId="77777777" w:rsidTr="00FC42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7DD1A573" w14:textId="77777777" w:rsidR="00BD74F5" w:rsidRPr="00E133DC" w:rsidRDefault="00BD74F5" w:rsidP="00FC4243">
            <w:pPr>
              <w:jc w:val="center"/>
              <w:rPr>
                <w:rFonts w:cstheme="minorHAnsi"/>
                <w:sz w:val="20"/>
                <w:szCs w:val="20"/>
                <w:lang w:val="en-US"/>
              </w:rPr>
            </w:pPr>
            <w:r w:rsidRPr="00E133DC">
              <w:rPr>
                <w:rFonts w:cstheme="minorHAnsi"/>
                <w:sz w:val="20"/>
                <w:szCs w:val="20"/>
                <w:lang w:val="en-US"/>
              </w:rPr>
              <w:t>IaFD</w:t>
            </w:r>
          </w:p>
        </w:tc>
        <w:tc>
          <w:tcPr>
            <w:tcW w:w="1843" w:type="dxa"/>
            <w:vAlign w:val="center"/>
          </w:tcPr>
          <w:p w14:paraId="6EC517FF" w14:textId="31646751"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E133DC">
              <w:rPr>
                <w:rFonts w:cstheme="minorHAnsi"/>
                <w:color w:val="00B050"/>
                <w:sz w:val="20"/>
                <w:szCs w:val="20"/>
                <w:lang w:val="en-US"/>
              </w:rPr>
              <w:t>77</w:t>
            </w:r>
            <w:r w:rsidR="0084270F">
              <w:rPr>
                <w:rFonts w:cstheme="minorHAnsi"/>
                <w:color w:val="00B050"/>
                <w:sz w:val="20"/>
                <w:szCs w:val="20"/>
                <w:lang w:val="en-US"/>
              </w:rPr>
              <w:t>.</w:t>
            </w:r>
            <w:r w:rsidRPr="00E133DC">
              <w:rPr>
                <w:rFonts w:cstheme="minorHAnsi"/>
                <w:color w:val="00B050"/>
                <w:sz w:val="20"/>
                <w:szCs w:val="20"/>
                <w:lang w:val="en-US"/>
              </w:rPr>
              <w:t>81%</w:t>
            </w:r>
          </w:p>
        </w:tc>
        <w:tc>
          <w:tcPr>
            <w:tcW w:w="1276" w:type="dxa"/>
            <w:vAlign w:val="center"/>
          </w:tcPr>
          <w:p w14:paraId="1A368F25" w14:textId="6770E334"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E133DC">
              <w:rPr>
                <w:rFonts w:cstheme="minorHAnsi"/>
                <w:color w:val="00B050"/>
                <w:sz w:val="20"/>
                <w:szCs w:val="20"/>
                <w:lang w:val="en-US"/>
              </w:rPr>
              <w:t>58</w:t>
            </w:r>
            <w:r w:rsidR="0084270F">
              <w:rPr>
                <w:rFonts w:cstheme="minorHAnsi"/>
                <w:color w:val="00B050"/>
                <w:sz w:val="20"/>
                <w:szCs w:val="20"/>
                <w:lang w:val="en-US"/>
              </w:rPr>
              <w:t>.</w:t>
            </w:r>
            <w:r w:rsidRPr="00E133DC">
              <w:rPr>
                <w:rFonts w:cstheme="minorHAnsi"/>
                <w:color w:val="00B050"/>
                <w:sz w:val="20"/>
                <w:szCs w:val="20"/>
                <w:lang w:val="en-US"/>
              </w:rPr>
              <w:t>57%</w:t>
            </w:r>
          </w:p>
        </w:tc>
        <w:tc>
          <w:tcPr>
            <w:tcW w:w="2126" w:type="dxa"/>
          </w:tcPr>
          <w:p w14:paraId="3A1E3B82" w14:textId="77777777"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Pr>
                <w:rFonts w:cstheme="minorHAnsi"/>
                <w:color w:val="00B050"/>
                <w:sz w:val="20"/>
                <w:szCs w:val="20"/>
                <w:lang w:val="en-US"/>
              </w:rPr>
              <w:t>Yes</w:t>
            </w:r>
          </w:p>
        </w:tc>
        <w:tc>
          <w:tcPr>
            <w:tcW w:w="2001" w:type="dxa"/>
            <w:gridSpan w:val="2"/>
          </w:tcPr>
          <w:p w14:paraId="34DDC57D" w14:textId="77777777"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Pr>
                <w:rFonts w:cstheme="minorHAnsi"/>
                <w:color w:val="00B050"/>
                <w:sz w:val="20"/>
                <w:szCs w:val="20"/>
                <w:lang w:val="en-US"/>
              </w:rPr>
              <w:t>Yes</w:t>
            </w:r>
          </w:p>
        </w:tc>
      </w:tr>
      <w:tr w:rsidR="00BD74F5" w:rsidRPr="00E133DC" w14:paraId="734C5756" w14:textId="77777777" w:rsidTr="00FC4243">
        <w:trPr>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5E9CE724" w14:textId="77777777" w:rsidR="00BD74F5" w:rsidRPr="00E133DC" w:rsidRDefault="00BD74F5" w:rsidP="00FC4243">
            <w:pPr>
              <w:jc w:val="center"/>
              <w:rPr>
                <w:rFonts w:cstheme="minorHAnsi"/>
                <w:sz w:val="20"/>
                <w:szCs w:val="20"/>
                <w:lang w:val="en-US"/>
              </w:rPr>
            </w:pPr>
            <w:r>
              <w:rPr>
                <w:sz w:val="20"/>
                <w:szCs w:val="20"/>
                <w:lang w:val="en-US"/>
              </w:rPr>
              <w:t>BAC</w:t>
            </w:r>
          </w:p>
        </w:tc>
        <w:tc>
          <w:tcPr>
            <w:tcW w:w="1843" w:type="dxa"/>
            <w:vAlign w:val="center"/>
          </w:tcPr>
          <w:p w14:paraId="445C4BC9" w14:textId="71C5FDBC"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E133DC">
              <w:rPr>
                <w:rFonts w:cstheme="minorHAnsi"/>
                <w:color w:val="FF0000"/>
                <w:sz w:val="20"/>
                <w:szCs w:val="20"/>
                <w:lang w:val="en-US"/>
              </w:rPr>
              <w:t>111</w:t>
            </w:r>
            <w:r w:rsidR="0084270F">
              <w:rPr>
                <w:rFonts w:cstheme="minorHAnsi"/>
                <w:color w:val="FF0000"/>
                <w:sz w:val="20"/>
                <w:szCs w:val="20"/>
                <w:lang w:val="en-US"/>
              </w:rPr>
              <w:t>.</w:t>
            </w:r>
            <w:r w:rsidRPr="00E133DC">
              <w:rPr>
                <w:rFonts w:cstheme="minorHAnsi"/>
                <w:color w:val="FF0000"/>
                <w:sz w:val="20"/>
                <w:szCs w:val="20"/>
                <w:lang w:val="en-US"/>
              </w:rPr>
              <w:t>58%</w:t>
            </w:r>
          </w:p>
        </w:tc>
        <w:tc>
          <w:tcPr>
            <w:tcW w:w="1276" w:type="dxa"/>
            <w:vAlign w:val="center"/>
          </w:tcPr>
          <w:p w14:paraId="23D43397" w14:textId="591E9E24"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E133DC">
              <w:rPr>
                <w:rFonts w:cstheme="minorHAnsi"/>
                <w:color w:val="FF0000"/>
                <w:sz w:val="20"/>
                <w:szCs w:val="20"/>
                <w:lang w:val="en-US"/>
              </w:rPr>
              <w:t>128</w:t>
            </w:r>
            <w:r w:rsidR="0084270F">
              <w:rPr>
                <w:rFonts w:cstheme="minorHAnsi"/>
                <w:color w:val="FF0000"/>
                <w:sz w:val="20"/>
                <w:szCs w:val="20"/>
                <w:lang w:val="en-US"/>
              </w:rPr>
              <w:t>.</w:t>
            </w:r>
            <w:r w:rsidRPr="00E133DC">
              <w:rPr>
                <w:rFonts w:cstheme="minorHAnsi"/>
                <w:color w:val="FF0000"/>
                <w:sz w:val="20"/>
                <w:szCs w:val="20"/>
                <w:lang w:val="en-US"/>
              </w:rPr>
              <w:t>57%</w:t>
            </w:r>
          </w:p>
        </w:tc>
        <w:tc>
          <w:tcPr>
            <w:tcW w:w="2126" w:type="dxa"/>
          </w:tcPr>
          <w:p w14:paraId="1ECBEBF8" w14:textId="77777777"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Pr>
                <w:rFonts w:cstheme="minorHAnsi"/>
                <w:color w:val="FF0000"/>
                <w:sz w:val="20"/>
                <w:szCs w:val="20"/>
                <w:lang w:val="en-US"/>
              </w:rPr>
              <w:t>No</w:t>
            </w:r>
          </w:p>
        </w:tc>
        <w:tc>
          <w:tcPr>
            <w:tcW w:w="2001" w:type="dxa"/>
            <w:gridSpan w:val="2"/>
          </w:tcPr>
          <w:p w14:paraId="102840D8" w14:textId="77777777"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sidRPr="00B96289">
              <w:rPr>
                <w:rFonts w:cstheme="minorHAnsi"/>
                <w:color w:val="00B050"/>
                <w:sz w:val="20"/>
                <w:szCs w:val="20"/>
                <w:lang w:val="en-US"/>
              </w:rPr>
              <w:t>Yes</w:t>
            </w:r>
          </w:p>
        </w:tc>
      </w:tr>
      <w:tr w:rsidR="00BD74F5" w:rsidRPr="00E133DC" w14:paraId="06AD62BE" w14:textId="77777777" w:rsidTr="00FC42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52BF7946" w14:textId="77777777" w:rsidR="00BD74F5" w:rsidRPr="00E133DC" w:rsidRDefault="00BD74F5" w:rsidP="00FC4243">
            <w:pPr>
              <w:jc w:val="center"/>
              <w:rPr>
                <w:rFonts w:cstheme="minorHAnsi"/>
                <w:sz w:val="20"/>
                <w:szCs w:val="20"/>
                <w:lang w:val="en-US"/>
              </w:rPr>
            </w:pPr>
            <w:r>
              <w:rPr>
                <w:rFonts w:cstheme="minorHAnsi"/>
                <w:sz w:val="20"/>
                <w:szCs w:val="20"/>
                <w:lang w:val="en-US"/>
              </w:rPr>
              <w:t>FDAC</w:t>
            </w:r>
          </w:p>
        </w:tc>
        <w:tc>
          <w:tcPr>
            <w:tcW w:w="1843" w:type="dxa"/>
            <w:vAlign w:val="center"/>
          </w:tcPr>
          <w:p w14:paraId="169C5629" w14:textId="1F1B95DC"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E133DC">
              <w:rPr>
                <w:rFonts w:cstheme="minorHAnsi"/>
                <w:color w:val="FF0000"/>
                <w:sz w:val="20"/>
                <w:szCs w:val="20"/>
                <w:lang w:val="en-US"/>
              </w:rPr>
              <w:t>154</w:t>
            </w:r>
            <w:r w:rsidR="0084270F">
              <w:rPr>
                <w:rFonts w:cstheme="minorHAnsi"/>
                <w:color w:val="FF0000"/>
                <w:sz w:val="20"/>
                <w:szCs w:val="20"/>
                <w:lang w:val="en-US"/>
              </w:rPr>
              <w:t>.</w:t>
            </w:r>
            <w:r w:rsidRPr="00E133DC">
              <w:rPr>
                <w:rFonts w:cstheme="minorHAnsi"/>
                <w:color w:val="FF0000"/>
                <w:sz w:val="20"/>
                <w:szCs w:val="20"/>
                <w:lang w:val="en-US"/>
              </w:rPr>
              <w:t>98%</w:t>
            </w:r>
          </w:p>
        </w:tc>
        <w:tc>
          <w:tcPr>
            <w:tcW w:w="1276" w:type="dxa"/>
            <w:vAlign w:val="center"/>
          </w:tcPr>
          <w:p w14:paraId="06A233AC" w14:textId="3944F9A1"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E133DC">
              <w:rPr>
                <w:rFonts w:cstheme="minorHAnsi"/>
                <w:color w:val="FF0000"/>
                <w:sz w:val="20"/>
                <w:szCs w:val="20"/>
                <w:lang w:val="en-US"/>
              </w:rPr>
              <w:t>128</w:t>
            </w:r>
            <w:r w:rsidR="0084270F">
              <w:rPr>
                <w:rFonts w:cstheme="minorHAnsi"/>
                <w:color w:val="FF0000"/>
                <w:sz w:val="20"/>
                <w:szCs w:val="20"/>
                <w:lang w:val="en-US"/>
              </w:rPr>
              <w:t>.</w:t>
            </w:r>
            <w:r w:rsidRPr="00E133DC">
              <w:rPr>
                <w:rFonts w:cstheme="minorHAnsi"/>
                <w:color w:val="FF0000"/>
                <w:sz w:val="20"/>
                <w:szCs w:val="20"/>
                <w:lang w:val="en-US"/>
              </w:rPr>
              <w:t>57%</w:t>
            </w:r>
          </w:p>
        </w:tc>
        <w:tc>
          <w:tcPr>
            <w:tcW w:w="2126" w:type="dxa"/>
          </w:tcPr>
          <w:p w14:paraId="17A4F99F" w14:textId="77777777"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sidRPr="00B96289">
              <w:rPr>
                <w:rFonts w:cstheme="minorHAnsi"/>
                <w:color w:val="00B050"/>
                <w:sz w:val="20"/>
                <w:szCs w:val="20"/>
                <w:lang w:val="en-US"/>
              </w:rPr>
              <w:t>Yes</w:t>
            </w:r>
          </w:p>
        </w:tc>
        <w:tc>
          <w:tcPr>
            <w:tcW w:w="2001" w:type="dxa"/>
            <w:gridSpan w:val="2"/>
          </w:tcPr>
          <w:p w14:paraId="2F08FBB7" w14:textId="77777777"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Pr>
                <w:rFonts w:cstheme="minorHAnsi"/>
                <w:color w:val="FF0000"/>
                <w:sz w:val="20"/>
                <w:szCs w:val="20"/>
                <w:lang w:val="en-US"/>
              </w:rPr>
              <w:t>No</w:t>
            </w:r>
          </w:p>
        </w:tc>
      </w:tr>
      <w:tr w:rsidR="00BD74F5" w:rsidRPr="00E133DC" w14:paraId="5195F719" w14:textId="77777777" w:rsidTr="00FC4243">
        <w:trPr>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44B1BC89" w14:textId="77777777" w:rsidR="00BD74F5" w:rsidRPr="00E133DC" w:rsidRDefault="00BD74F5" w:rsidP="00FC4243">
            <w:pPr>
              <w:jc w:val="center"/>
              <w:rPr>
                <w:rFonts w:cstheme="minorHAnsi"/>
                <w:sz w:val="20"/>
                <w:szCs w:val="20"/>
                <w:lang w:val="en-US"/>
              </w:rPr>
            </w:pPr>
            <w:r>
              <w:rPr>
                <w:rFonts w:cstheme="minorHAnsi"/>
                <w:sz w:val="20"/>
                <w:szCs w:val="20"/>
                <w:lang w:val="en-US"/>
              </w:rPr>
              <w:t>IAFDAC</w:t>
            </w:r>
          </w:p>
        </w:tc>
        <w:tc>
          <w:tcPr>
            <w:tcW w:w="1843" w:type="dxa"/>
            <w:vAlign w:val="center"/>
          </w:tcPr>
          <w:p w14:paraId="719A9F5F" w14:textId="1D95759A"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E133DC">
              <w:rPr>
                <w:rFonts w:cstheme="minorHAnsi"/>
                <w:color w:val="FF0000"/>
                <w:sz w:val="20"/>
                <w:szCs w:val="20"/>
                <w:lang w:val="en-US"/>
              </w:rPr>
              <w:t>145</w:t>
            </w:r>
            <w:r w:rsidR="0084270F">
              <w:rPr>
                <w:rFonts w:cstheme="minorHAnsi"/>
                <w:color w:val="FF0000"/>
                <w:sz w:val="20"/>
                <w:szCs w:val="20"/>
                <w:lang w:val="en-US"/>
              </w:rPr>
              <w:t>.</w:t>
            </w:r>
            <w:r w:rsidRPr="00E133DC">
              <w:rPr>
                <w:rFonts w:cstheme="minorHAnsi"/>
                <w:color w:val="FF0000"/>
                <w:sz w:val="20"/>
                <w:szCs w:val="20"/>
                <w:lang w:val="en-US"/>
              </w:rPr>
              <w:t>60%</w:t>
            </w:r>
          </w:p>
        </w:tc>
        <w:tc>
          <w:tcPr>
            <w:tcW w:w="1276" w:type="dxa"/>
            <w:vAlign w:val="center"/>
          </w:tcPr>
          <w:p w14:paraId="53E0E3EA" w14:textId="28485065"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E133DC">
              <w:rPr>
                <w:rFonts w:cstheme="minorHAnsi"/>
                <w:color w:val="FF0000"/>
                <w:sz w:val="20"/>
                <w:szCs w:val="20"/>
                <w:lang w:val="en-US"/>
              </w:rPr>
              <w:t>134</w:t>
            </w:r>
            <w:r w:rsidR="0084270F">
              <w:rPr>
                <w:rFonts w:cstheme="minorHAnsi"/>
                <w:color w:val="FF0000"/>
                <w:sz w:val="20"/>
                <w:szCs w:val="20"/>
                <w:lang w:val="en-US"/>
              </w:rPr>
              <w:t>.</w:t>
            </w:r>
            <w:r w:rsidRPr="00E133DC">
              <w:rPr>
                <w:rFonts w:cstheme="minorHAnsi"/>
                <w:color w:val="FF0000"/>
                <w:sz w:val="20"/>
                <w:szCs w:val="20"/>
                <w:lang w:val="en-US"/>
              </w:rPr>
              <w:t>29%</w:t>
            </w:r>
          </w:p>
        </w:tc>
        <w:tc>
          <w:tcPr>
            <w:tcW w:w="2126" w:type="dxa"/>
          </w:tcPr>
          <w:p w14:paraId="75947121" w14:textId="77777777"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Pr>
                <w:rFonts w:cstheme="minorHAnsi"/>
                <w:color w:val="FF0000"/>
                <w:sz w:val="20"/>
                <w:szCs w:val="20"/>
                <w:lang w:val="en-US"/>
              </w:rPr>
              <w:t>No</w:t>
            </w:r>
          </w:p>
        </w:tc>
        <w:tc>
          <w:tcPr>
            <w:tcW w:w="2001" w:type="dxa"/>
            <w:gridSpan w:val="2"/>
          </w:tcPr>
          <w:p w14:paraId="5AC4F91F" w14:textId="77777777"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sidRPr="00B96289">
              <w:rPr>
                <w:rFonts w:cstheme="minorHAnsi"/>
                <w:color w:val="00B050"/>
                <w:sz w:val="20"/>
                <w:szCs w:val="20"/>
                <w:lang w:val="en-US"/>
              </w:rPr>
              <w:t>Yes</w:t>
            </w:r>
          </w:p>
        </w:tc>
      </w:tr>
      <w:tr w:rsidR="00BD74F5" w:rsidRPr="00E133DC" w14:paraId="14E8CF22" w14:textId="77777777" w:rsidTr="00FC42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013555F3" w14:textId="77777777" w:rsidR="00BD74F5" w:rsidRPr="00E133DC" w:rsidRDefault="00BD74F5" w:rsidP="00FC4243">
            <w:pPr>
              <w:jc w:val="center"/>
              <w:rPr>
                <w:rFonts w:cstheme="minorHAnsi"/>
                <w:sz w:val="20"/>
                <w:szCs w:val="20"/>
                <w:lang w:val="en-US"/>
              </w:rPr>
            </w:pPr>
            <w:r>
              <w:rPr>
                <w:sz w:val="20"/>
                <w:szCs w:val="20"/>
                <w:lang w:val="en-US"/>
              </w:rPr>
              <w:t>xyt-SAC</w:t>
            </w:r>
          </w:p>
        </w:tc>
        <w:tc>
          <w:tcPr>
            <w:tcW w:w="1843" w:type="dxa"/>
            <w:vAlign w:val="center"/>
          </w:tcPr>
          <w:p w14:paraId="762EF2E9" w14:textId="4A0CEE51"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E133DC">
              <w:rPr>
                <w:rFonts w:cstheme="minorHAnsi"/>
                <w:sz w:val="20"/>
                <w:szCs w:val="20"/>
                <w:lang w:val="en-US"/>
              </w:rPr>
              <w:t>104</w:t>
            </w:r>
            <w:r w:rsidR="0084270F">
              <w:rPr>
                <w:rFonts w:cstheme="minorHAnsi"/>
                <w:sz w:val="20"/>
                <w:szCs w:val="20"/>
                <w:lang w:val="en-US"/>
              </w:rPr>
              <w:t>.</w:t>
            </w:r>
            <w:r w:rsidRPr="00E133DC">
              <w:rPr>
                <w:rFonts w:cstheme="minorHAnsi"/>
                <w:sz w:val="20"/>
                <w:szCs w:val="20"/>
                <w:lang w:val="en-US"/>
              </w:rPr>
              <w:t>82%</w:t>
            </w:r>
          </w:p>
        </w:tc>
        <w:tc>
          <w:tcPr>
            <w:tcW w:w="1276" w:type="dxa"/>
            <w:vAlign w:val="center"/>
          </w:tcPr>
          <w:p w14:paraId="0229D839" w14:textId="6D9266F9"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E133DC">
              <w:rPr>
                <w:rFonts w:cstheme="minorHAnsi"/>
                <w:color w:val="FF0000"/>
                <w:sz w:val="20"/>
                <w:szCs w:val="20"/>
                <w:lang w:val="en-US"/>
              </w:rPr>
              <w:t>175</w:t>
            </w:r>
            <w:r w:rsidR="0084270F">
              <w:rPr>
                <w:rFonts w:cstheme="minorHAnsi"/>
                <w:color w:val="FF0000"/>
                <w:sz w:val="20"/>
                <w:szCs w:val="20"/>
                <w:lang w:val="en-US"/>
              </w:rPr>
              <w:t>.</w:t>
            </w:r>
            <w:r w:rsidRPr="00E133DC">
              <w:rPr>
                <w:rFonts w:cstheme="minorHAnsi"/>
                <w:color w:val="FF0000"/>
                <w:sz w:val="20"/>
                <w:szCs w:val="20"/>
                <w:lang w:val="en-US"/>
              </w:rPr>
              <w:t>71%</w:t>
            </w:r>
          </w:p>
        </w:tc>
        <w:tc>
          <w:tcPr>
            <w:tcW w:w="2126" w:type="dxa"/>
          </w:tcPr>
          <w:p w14:paraId="1A58C03A" w14:textId="77777777"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Pr>
                <w:rFonts w:cstheme="minorHAnsi"/>
                <w:color w:val="FF0000"/>
                <w:sz w:val="20"/>
                <w:szCs w:val="20"/>
                <w:lang w:val="en-US"/>
              </w:rPr>
              <w:t>No</w:t>
            </w:r>
          </w:p>
        </w:tc>
        <w:tc>
          <w:tcPr>
            <w:tcW w:w="2001" w:type="dxa"/>
            <w:gridSpan w:val="2"/>
          </w:tcPr>
          <w:p w14:paraId="59D3296B" w14:textId="77777777"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sidRPr="00B96289">
              <w:rPr>
                <w:rFonts w:cstheme="minorHAnsi"/>
                <w:color w:val="00B050"/>
                <w:sz w:val="20"/>
                <w:szCs w:val="20"/>
                <w:lang w:val="en-US"/>
              </w:rPr>
              <w:t>Yes</w:t>
            </w:r>
          </w:p>
        </w:tc>
      </w:tr>
      <w:tr w:rsidR="00BD74F5" w:rsidRPr="00E133DC" w14:paraId="3B66B850" w14:textId="77777777" w:rsidTr="00FC4243">
        <w:trPr>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425EF5FC" w14:textId="77777777" w:rsidR="00BD74F5" w:rsidRPr="00E133DC" w:rsidRDefault="00BD74F5" w:rsidP="00FC4243">
            <w:pPr>
              <w:jc w:val="center"/>
              <w:rPr>
                <w:rFonts w:cstheme="minorHAnsi"/>
                <w:sz w:val="20"/>
                <w:szCs w:val="20"/>
                <w:lang w:val="en-US"/>
              </w:rPr>
            </w:pPr>
            <w:r>
              <w:rPr>
                <w:rFonts w:cstheme="minorHAnsi"/>
                <w:sz w:val="20"/>
                <w:szCs w:val="20"/>
                <w:lang w:val="en-US"/>
              </w:rPr>
              <w:t>SAIaFD</w:t>
            </w:r>
          </w:p>
        </w:tc>
        <w:tc>
          <w:tcPr>
            <w:tcW w:w="1843" w:type="dxa"/>
            <w:vAlign w:val="center"/>
          </w:tcPr>
          <w:p w14:paraId="500FABF2" w14:textId="282EF1F1"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E133DC">
              <w:rPr>
                <w:rFonts w:cstheme="minorHAnsi"/>
                <w:color w:val="FF0000"/>
                <w:sz w:val="20"/>
                <w:szCs w:val="20"/>
                <w:lang w:val="en-US"/>
              </w:rPr>
              <w:t>124</w:t>
            </w:r>
            <w:r w:rsidR="0084270F">
              <w:rPr>
                <w:rFonts w:cstheme="minorHAnsi"/>
                <w:color w:val="FF0000"/>
                <w:sz w:val="20"/>
                <w:szCs w:val="20"/>
                <w:lang w:val="en-US"/>
              </w:rPr>
              <w:t>.</w:t>
            </w:r>
            <w:r w:rsidRPr="00E133DC">
              <w:rPr>
                <w:rFonts w:cstheme="minorHAnsi"/>
                <w:color w:val="FF0000"/>
                <w:sz w:val="20"/>
                <w:szCs w:val="20"/>
                <w:lang w:val="en-US"/>
              </w:rPr>
              <w:t>29%</w:t>
            </w:r>
          </w:p>
        </w:tc>
        <w:tc>
          <w:tcPr>
            <w:tcW w:w="1276" w:type="dxa"/>
            <w:vAlign w:val="center"/>
          </w:tcPr>
          <w:p w14:paraId="0444563C" w14:textId="40DF89F6"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E133DC">
              <w:rPr>
                <w:rFonts w:cstheme="minorHAnsi"/>
                <w:color w:val="00B050"/>
                <w:sz w:val="20"/>
                <w:szCs w:val="20"/>
                <w:lang w:val="en-US"/>
              </w:rPr>
              <w:t>82</w:t>
            </w:r>
            <w:r w:rsidR="0084270F">
              <w:rPr>
                <w:rFonts w:cstheme="minorHAnsi"/>
                <w:color w:val="00B050"/>
                <w:sz w:val="20"/>
                <w:szCs w:val="20"/>
                <w:lang w:val="en-US"/>
              </w:rPr>
              <w:t>.</w:t>
            </w:r>
            <w:r w:rsidRPr="00E133DC">
              <w:rPr>
                <w:rFonts w:cstheme="minorHAnsi"/>
                <w:color w:val="00B050"/>
                <w:sz w:val="20"/>
                <w:szCs w:val="20"/>
                <w:lang w:val="en-US"/>
              </w:rPr>
              <w:t>86%</w:t>
            </w:r>
          </w:p>
        </w:tc>
        <w:tc>
          <w:tcPr>
            <w:tcW w:w="2126" w:type="dxa"/>
          </w:tcPr>
          <w:p w14:paraId="4CACDDD0" w14:textId="77777777" w:rsidR="00BD74F5" w:rsidRPr="00B96289"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sidRPr="00B96289">
              <w:rPr>
                <w:rFonts w:cstheme="minorHAnsi"/>
                <w:color w:val="FF0000"/>
                <w:sz w:val="20"/>
                <w:szCs w:val="20"/>
                <w:lang w:val="en-US"/>
              </w:rPr>
              <w:t>No</w:t>
            </w:r>
          </w:p>
        </w:tc>
        <w:tc>
          <w:tcPr>
            <w:tcW w:w="2001" w:type="dxa"/>
            <w:gridSpan w:val="2"/>
          </w:tcPr>
          <w:p w14:paraId="1EC6603D" w14:textId="77777777" w:rsidR="00BD74F5" w:rsidRPr="00B96289"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sidRPr="00B96289">
              <w:rPr>
                <w:rFonts w:cstheme="minorHAnsi"/>
                <w:color w:val="FF0000"/>
                <w:sz w:val="20"/>
                <w:szCs w:val="20"/>
                <w:lang w:val="en-US"/>
              </w:rPr>
              <w:t>No</w:t>
            </w:r>
          </w:p>
        </w:tc>
      </w:tr>
      <w:tr w:rsidR="00BD74F5" w:rsidRPr="0084270F" w14:paraId="3CA021D6" w14:textId="77777777" w:rsidTr="00FC4243">
        <w:trPr>
          <w:gridAfter w:val="1"/>
          <w:cnfStyle w:val="000000100000" w:firstRow="0" w:lastRow="0" w:firstColumn="0" w:lastColumn="0" w:oddVBand="0" w:evenVBand="0" w:oddHBand="1" w:evenHBand="0" w:firstRowFirstColumn="0" w:firstRowLastColumn="0" w:lastRowFirstColumn="0" w:lastRowLastColumn="0"/>
          <w:wAfter w:w="17" w:type="dxa"/>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6EB998B8" w14:textId="77777777" w:rsidR="00BD74F5" w:rsidRPr="00E133DC" w:rsidRDefault="00BD74F5" w:rsidP="00FC4243">
            <w:pPr>
              <w:jc w:val="center"/>
              <w:rPr>
                <w:rFonts w:cstheme="minorHAnsi"/>
                <w:sz w:val="20"/>
                <w:szCs w:val="20"/>
                <w:lang w:val="en-US"/>
              </w:rPr>
            </w:pPr>
          </w:p>
        </w:tc>
        <w:tc>
          <w:tcPr>
            <w:tcW w:w="7229" w:type="dxa"/>
            <w:gridSpan w:val="4"/>
            <w:vAlign w:val="center"/>
          </w:tcPr>
          <w:p w14:paraId="6124CBDE" w14:textId="77777777"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E133DC">
              <w:rPr>
                <w:rFonts w:cstheme="minorHAnsi"/>
                <w:sz w:val="20"/>
                <w:szCs w:val="20"/>
                <w:lang w:val="en-US"/>
              </w:rPr>
              <w:t>Basilar artery with fusiform aneurysm</w:t>
            </w:r>
          </w:p>
          <w:p w14:paraId="5BADFBC2" w14:textId="77777777"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E133DC">
              <w:rPr>
                <w:rFonts w:cstheme="minorHAnsi"/>
                <w:sz w:val="20"/>
                <w:szCs w:val="20"/>
                <w:lang w:val="en-US"/>
              </w:rPr>
              <w:t xml:space="preserve"> n=236</w:t>
            </w:r>
          </w:p>
        </w:tc>
      </w:tr>
      <w:tr w:rsidR="00BD74F5" w:rsidRPr="00E133DC" w14:paraId="3EC9D0AB" w14:textId="77777777" w:rsidTr="00FC4243">
        <w:trPr>
          <w:trHeight w:val="351"/>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663ED8D8" w14:textId="77777777" w:rsidR="00BD74F5" w:rsidRPr="00E133DC" w:rsidRDefault="00BD74F5" w:rsidP="00FC4243">
            <w:pPr>
              <w:jc w:val="center"/>
              <w:rPr>
                <w:rFonts w:cstheme="minorHAnsi"/>
                <w:sz w:val="20"/>
                <w:szCs w:val="20"/>
                <w:lang w:val="en-US"/>
              </w:rPr>
            </w:pPr>
            <w:r>
              <w:rPr>
                <w:rFonts w:cstheme="minorHAnsi"/>
                <w:sz w:val="20"/>
                <w:szCs w:val="20"/>
                <w:lang w:val="en-US"/>
              </w:rPr>
              <w:t>CE</w:t>
            </w:r>
          </w:p>
        </w:tc>
        <w:tc>
          <w:tcPr>
            <w:tcW w:w="1843" w:type="dxa"/>
            <w:vAlign w:val="center"/>
          </w:tcPr>
          <w:p w14:paraId="1411C8F6" w14:textId="77777777"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E133DC">
              <w:rPr>
                <w:rFonts w:cstheme="minorHAnsi"/>
                <w:sz w:val="20"/>
                <w:szCs w:val="20"/>
                <w:lang w:val="en-US"/>
              </w:rPr>
              <w:t>100%</w:t>
            </w:r>
          </w:p>
        </w:tc>
        <w:tc>
          <w:tcPr>
            <w:tcW w:w="1276" w:type="dxa"/>
            <w:vAlign w:val="center"/>
          </w:tcPr>
          <w:p w14:paraId="09574DD4" w14:textId="77777777"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E133DC">
              <w:rPr>
                <w:rFonts w:cstheme="minorHAnsi"/>
                <w:sz w:val="20"/>
                <w:szCs w:val="20"/>
                <w:lang w:val="en-US"/>
              </w:rPr>
              <w:t>100%</w:t>
            </w:r>
          </w:p>
        </w:tc>
        <w:tc>
          <w:tcPr>
            <w:tcW w:w="2126" w:type="dxa"/>
          </w:tcPr>
          <w:p w14:paraId="755163ED" w14:textId="77777777"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Pr>
                <w:rFonts w:cstheme="minorHAnsi"/>
                <w:sz w:val="20"/>
                <w:szCs w:val="20"/>
                <w:lang w:val="en-US"/>
              </w:rPr>
              <w:t>N/A</w:t>
            </w:r>
          </w:p>
        </w:tc>
        <w:tc>
          <w:tcPr>
            <w:tcW w:w="2001" w:type="dxa"/>
            <w:gridSpan w:val="2"/>
          </w:tcPr>
          <w:p w14:paraId="4E7377DA" w14:textId="77777777"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Pr>
                <w:rFonts w:cstheme="minorHAnsi"/>
                <w:sz w:val="20"/>
                <w:szCs w:val="20"/>
                <w:lang w:val="en-US"/>
              </w:rPr>
              <w:t>N/A</w:t>
            </w:r>
          </w:p>
        </w:tc>
      </w:tr>
      <w:tr w:rsidR="00BD74F5" w:rsidRPr="00E133DC" w14:paraId="6639BB69" w14:textId="77777777" w:rsidTr="00FC4243">
        <w:trPr>
          <w:cnfStyle w:val="000000100000" w:firstRow="0" w:lastRow="0" w:firstColumn="0" w:lastColumn="0" w:oddVBand="0" w:evenVBand="0" w:oddHBand="1" w:evenHBand="0" w:firstRowFirstColumn="0" w:firstRowLastColumn="0" w:lastRowFirstColumn="0" w:lastRowLastColumn="0"/>
          <w:trHeight w:val="351"/>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5F570E3B" w14:textId="77777777" w:rsidR="00BD74F5" w:rsidRPr="00E133DC" w:rsidRDefault="00BD74F5" w:rsidP="00FC4243">
            <w:pPr>
              <w:jc w:val="center"/>
              <w:rPr>
                <w:rFonts w:cstheme="minorHAnsi"/>
                <w:sz w:val="20"/>
                <w:szCs w:val="20"/>
                <w:lang w:val="en-US"/>
              </w:rPr>
            </w:pPr>
            <w:r w:rsidRPr="00E133DC">
              <w:rPr>
                <w:rFonts w:cstheme="minorHAnsi"/>
                <w:sz w:val="20"/>
                <w:szCs w:val="20"/>
                <w:lang w:val="en-US"/>
              </w:rPr>
              <w:t>FD</w:t>
            </w:r>
          </w:p>
        </w:tc>
        <w:tc>
          <w:tcPr>
            <w:tcW w:w="1843" w:type="dxa"/>
            <w:vAlign w:val="center"/>
          </w:tcPr>
          <w:p w14:paraId="29C9CCAB" w14:textId="0D0122E7"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E133DC">
              <w:rPr>
                <w:rFonts w:cstheme="minorHAnsi"/>
                <w:sz w:val="20"/>
                <w:szCs w:val="20"/>
                <w:lang w:val="en-US"/>
              </w:rPr>
              <w:t>98</w:t>
            </w:r>
            <w:r w:rsidR="0084270F">
              <w:rPr>
                <w:rFonts w:cstheme="minorHAnsi"/>
                <w:sz w:val="20"/>
                <w:szCs w:val="20"/>
                <w:lang w:val="en-US"/>
              </w:rPr>
              <w:t>.</w:t>
            </w:r>
            <w:r w:rsidRPr="00E133DC">
              <w:rPr>
                <w:rFonts w:cstheme="minorHAnsi"/>
                <w:sz w:val="20"/>
                <w:szCs w:val="20"/>
                <w:lang w:val="en-US"/>
              </w:rPr>
              <w:t>42%</w:t>
            </w:r>
          </w:p>
        </w:tc>
        <w:tc>
          <w:tcPr>
            <w:tcW w:w="1276" w:type="dxa"/>
            <w:vAlign w:val="center"/>
          </w:tcPr>
          <w:p w14:paraId="3DBD90CA" w14:textId="6B4D337E"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E133DC">
              <w:rPr>
                <w:rFonts w:cstheme="minorHAnsi"/>
                <w:sz w:val="20"/>
                <w:szCs w:val="20"/>
                <w:lang w:val="en-US"/>
              </w:rPr>
              <w:t>103</w:t>
            </w:r>
            <w:r w:rsidR="0084270F">
              <w:rPr>
                <w:rFonts w:cstheme="minorHAnsi"/>
                <w:sz w:val="20"/>
                <w:szCs w:val="20"/>
                <w:lang w:val="en-US"/>
              </w:rPr>
              <w:t>.</w:t>
            </w:r>
            <w:r w:rsidRPr="00E133DC">
              <w:rPr>
                <w:rFonts w:cstheme="minorHAnsi"/>
                <w:sz w:val="20"/>
                <w:szCs w:val="20"/>
                <w:lang w:val="en-US"/>
              </w:rPr>
              <w:t>23%</w:t>
            </w:r>
          </w:p>
        </w:tc>
        <w:tc>
          <w:tcPr>
            <w:tcW w:w="2126" w:type="dxa"/>
          </w:tcPr>
          <w:p w14:paraId="2C6878F7" w14:textId="77777777" w:rsidR="00BD74F5" w:rsidRPr="00B96289"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sidRPr="00B96289">
              <w:rPr>
                <w:rFonts w:cstheme="minorHAnsi"/>
                <w:color w:val="FF0000"/>
                <w:sz w:val="20"/>
                <w:szCs w:val="20"/>
                <w:lang w:val="en-US"/>
              </w:rPr>
              <w:t>No</w:t>
            </w:r>
          </w:p>
        </w:tc>
        <w:tc>
          <w:tcPr>
            <w:tcW w:w="2001" w:type="dxa"/>
            <w:gridSpan w:val="2"/>
          </w:tcPr>
          <w:p w14:paraId="3EF55E91" w14:textId="77777777" w:rsidR="00BD74F5" w:rsidRPr="00B96289"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sidRPr="00B96289">
              <w:rPr>
                <w:rFonts w:cstheme="minorHAnsi"/>
                <w:color w:val="FF0000"/>
                <w:sz w:val="20"/>
                <w:szCs w:val="20"/>
                <w:lang w:val="en-US"/>
              </w:rPr>
              <w:t>No</w:t>
            </w:r>
          </w:p>
        </w:tc>
      </w:tr>
      <w:tr w:rsidR="00BD74F5" w:rsidRPr="00E133DC" w14:paraId="6A8E8C7D" w14:textId="77777777" w:rsidTr="00FC4243">
        <w:trPr>
          <w:trHeight w:val="351"/>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4FD7AA13" w14:textId="77777777" w:rsidR="00BD74F5" w:rsidRPr="00E133DC" w:rsidRDefault="00BD74F5" w:rsidP="00FC4243">
            <w:pPr>
              <w:jc w:val="center"/>
              <w:rPr>
                <w:rFonts w:cstheme="minorHAnsi"/>
                <w:sz w:val="20"/>
                <w:szCs w:val="20"/>
                <w:lang w:val="en-US"/>
              </w:rPr>
            </w:pPr>
            <w:r>
              <w:rPr>
                <w:sz w:val="20"/>
                <w:szCs w:val="20"/>
                <w:lang w:val="en-US"/>
              </w:rPr>
              <w:t>SAC</w:t>
            </w:r>
          </w:p>
        </w:tc>
        <w:tc>
          <w:tcPr>
            <w:tcW w:w="1843" w:type="dxa"/>
            <w:vAlign w:val="center"/>
          </w:tcPr>
          <w:p w14:paraId="1FA46934" w14:textId="77410C50"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E133DC">
              <w:rPr>
                <w:rFonts w:cstheme="minorHAnsi"/>
                <w:sz w:val="20"/>
                <w:szCs w:val="20"/>
                <w:lang w:val="en-US"/>
              </w:rPr>
              <w:t>103</w:t>
            </w:r>
            <w:r w:rsidR="0084270F">
              <w:rPr>
                <w:rFonts w:cstheme="minorHAnsi"/>
                <w:sz w:val="20"/>
                <w:szCs w:val="20"/>
                <w:lang w:val="en-US"/>
              </w:rPr>
              <w:t>.</w:t>
            </w:r>
            <w:r w:rsidRPr="00E133DC">
              <w:rPr>
                <w:rFonts w:cstheme="minorHAnsi"/>
                <w:sz w:val="20"/>
                <w:szCs w:val="20"/>
                <w:lang w:val="en-US"/>
              </w:rPr>
              <w:t>71%</w:t>
            </w:r>
          </w:p>
        </w:tc>
        <w:tc>
          <w:tcPr>
            <w:tcW w:w="1276" w:type="dxa"/>
            <w:vAlign w:val="center"/>
          </w:tcPr>
          <w:p w14:paraId="0164C29E" w14:textId="437F44B2"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E133DC">
              <w:rPr>
                <w:rFonts w:cstheme="minorHAnsi"/>
                <w:color w:val="FF0000"/>
                <w:sz w:val="20"/>
                <w:szCs w:val="20"/>
                <w:lang w:val="en-US"/>
              </w:rPr>
              <w:t>176</w:t>
            </w:r>
            <w:r w:rsidR="0084270F">
              <w:rPr>
                <w:rFonts w:cstheme="minorHAnsi"/>
                <w:color w:val="FF0000"/>
                <w:sz w:val="20"/>
                <w:szCs w:val="20"/>
                <w:lang w:val="en-US"/>
              </w:rPr>
              <w:t>.</w:t>
            </w:r>
            <w:r w:rsidRPr="00E133DC">
              <w:rPr>
                <w:rFonts w:cstheme="minorHAnsi"/>
                <w:color w:val="FF0000"/>
                <w:sz w:val="20"/>
                <w:szCs w:val="20"/>
                <w:lang w:val="en-US"/>
              </w:rPr>
              <w:t>13%</w:t>
            </w:r>
          </w:p>
        </w:tc>
        <w:tc>
          <w:tcPr>
            <w:tcW w:w="2126" w:type="dxa"/>
          </w:tcPr>
          <w:p w14:paraId="118AC8E5" w14:textId="77777777"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Pr>
                <w:rFonts w:cstheme="minorHAnsi"/>
                <w:color w:val="FF0000"/>
                <w:sz w:val="20"/>
                <w:szCs w:val="20"/>
                <w:lang w:val="en-US"/>
              </w:rPr>
              <w:t>No</w:t>
            </w:r>
          </w:p>
        </w:tc>
        <w:tc>
          <w:tcPr>
            <w:tcW w:w="2001" w:type="dxa"/>
            <w:gridSpan w:val="2"/>
          </w:tcPr>
          <w:p w14:paraId="1449B417" w14:textId="77777777"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sidRPr="00B96289">
              <w:rPr>
                <w:rFonts w:cstheme="minorHAnsi"/>
                <w:color w:val="00B050"/>
                <w:sz w:val="20"/>
                <w:szCs w:val="20"/>
                <w:lang w:val="en-US"/>
              </w:rPr>
              <w:t>Yes</w:t>
            </w:r>
          </w:p>
        </w:tc>
      </w:tr>
      <w:tr w:rsidR="00BD74F5" w:rsidRPr="00E133DC" w14:paraId="4974C7D8" w14:textId="77777777" w:rsidTr="00FC42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79B08D75" w14:textId="77777777" w:rsidR="00BD74F5" w:rsidRPr="00E133DC" w:rsidRDefault="00BD74F5" w:rsidP="00FC4243">
            <w:pPr>
              <w:jc w:val="center"/>
              <w:rPr>
                <w:rFonts w:cstheme="minorHAnsi"/>
                <w:sz w:val="20"/>
                <w:szCs w:val="20"/>
                <w:lang w:val="en-US"/>
              </w:rPr>
            </w:pPr>
            <w:r w:rsidRPr="00E133DC">
              <w:rPr>
                <w:rFonts w:cstheme="minorHAnsi"/>
                <w:sz w:val="20"/>
                <w:szCs w:val="20"/>
                <w:lang w:val="en-US"/>
              </w:rPr>
              <w:t>IaFD</w:t>
            </w:r>
          </w:p>
        </w:tc>
        <w:tc>
          <w:tcPr>
            <w:tcW w:w="1843" w:type="dxa"/>
            <w:vAlign w:val="center"/>
          </w:tcPr>
          <w:p w14:paraId="052FB532" w14:textId="06CDD50C"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E133DC">
              <w:rPr>
                <w:rFonts w:cstheme="minorHAnsi"/>
                <w:sz w:val="20"/>
                <w:szCs w:val="20"/>
                <w:lang w:val="en-US"/>
              </w:rPr>
              <w:t>98</w:t>
            </w:r>
            <w:r w:rsidR="0084270F">
              <w:rPr>
                <w:rFonts w:cstheme="minorHAnsi"/>
                <w:sz w:val="20"/>
                <w:szCs w:val="20"/>
                <w:lang w:val="en-US"/>
              </w:rPr>
              <w:t>.</w:t>
            </w:r>
            <w:r w:rsidRPr="00E133DC">
              <w:rPr>
                <w:rFonts w:cstheme="minorHAnsi"/>
                <w:sz w:val="20"/>
                <w:szCs w:val="20"/>
                <w:lang w:val="en-US"/>
              </w:rPr>
              <w:t>01%</w:t>
            </w:r>
          </w:p>
        </w:tc>
        <w:tc>
          <w:tcPr>
            <w:tcW w:w="1276" w:type="dxa"/>
            <w:vAlign w:val="center"/>
          </w:tcPr>
          <w:p w14:paraId="12470407" w14:textId="4FA99D98" w:rsidR="00BD74F5" w:rsidRPr="00E133DC"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E133DC">
              <w:rPr>
                <w:rFonts w:cstheme="minorHAnsi"/>
                <w:color w:val="FF0000"/>
                <w:sz w:val="20"/>
                <w:szCs w:val="20"/>
                <w:lang w:val="en-US"/>
              </w:rPr>
              <w:t>159</w:t>
            </w:r>
            <w:r w:rsidR="0084270F">
              <w:rPr>
                <w:rFonts w:cstheme="minorHAnsi"/>
                <w:color w:val="FF0000"/>
                <w:sz w:val="20"/>
                <w:szCs w:val="20"/>
                <w:lang w:val="en-US"/>
              </w:rPr>
              <w:t>.</w:t>
            </w:r>
            <w:r w:rsidRPr="00E133DC">
              <w:rPr>
                <w:rFonts w:cstheme="minorHAnsi"/>
                <w:color w:val="FF0000"/>
                <w:sz w:val="20"/>
                <w:szCs w:val="20"/>
                <w:lang w:val="en-US"/>
              </w:rPr>
              <w:t>68%</w:t>
            </w:r>
          </w:p>
        </w:tc>
        <w:tc>
          <w:tcPr>
            <w:tcW w:w="2126" w:type="dxa"/>
          </w:tcPr>
          <w:p w14:paraId="4972313F" w14:textId="77777777" w:rsidR="00BD74F5" w:rsidRPr="00E133DC"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Pr>
                <w:rFonts w:cstheme="minorHAnsi"/>
                <w:color w:val="FF0000"/>
                <w:sz w:val="20"/>
                <w:szCs w:val="20"/>
                <w:lang w:val="en-US"/>
              </w:rPr>
              <w:t>No</w:t>
            </w:r>
          </w:p>
        </w:tc>
        <w:tc>
          <w:tcPr>
            <w:tcW w:w="2001" w:type="dxa"/>
            <w:gridSpan w:val="2"/>
          </w:tcPr>
          <w:p w14:paraId="3CD81A46" w14:textId="77777777" w:rsidR="00BD74F5" w:rsidRPr="00E133DC"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Pr>
                <w:rFonts w:cstheme="minorHAnsi"/>
                <w:color w:val="FF0000"/>
                <w:sz w:val="20"/>
                <w:szCs w:val="20"/>
                <w:lang w:val="en-US"/>
              </w:rPr>
              <w:t>No</w:t>
            </w:r>
          </w:p>
        </w:tc>
      </w:tr>
      <w:tr w:rsidR="00BD74F5" w:rsidRPr="00E133DC" w14:paraId="26117D0D" w14:textId="77777777" w:rsidTr="00FC4243">
        <w:trPr>
          <w:trHeight w:val="351"/>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20239033" w14:textId="77777777" w:rsidR="00BD74F5" w:rsidRPr="00E133DC" w:rsidRDefault="00BD74F5" w:rsidP="00FC4243">
            <w:pPr>
              <w:jc w:val="center"/>
              <w:rPr>
                <w:rFonts w:cstheme="minorHAnsi"/>
                <w:sz w:val="20"/>
                <w:szCs w:val="20"/>
                <w:lang w:val="en-US"/>
              </w:rPr>
            </w:pPr>
            <w:r>
              <w:rPr>
                <w:sz w:val="20"/>
                <w:szCs w:val="20"/>
                <w:lang w:val="en-US"/>
              </w:rPr>
              <w:t>BAC</w:t>
            </w:r>
          </w:p>
        </w:tc>
        <w:tc>
          <w:tcPr>
            <w:tcW w:w="1843" w:type="dxa"/>
            <w:vAlign w:val="center"/>
          </w:tcPr>
          <w:p w14:paraId="0F5FA921" w14:textId="29DEE8E8"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B96289">
              <w:rPr>
                <w:rFonts w:cstheme="minorHAnsi"/>
                <w:color w:val="00B050"/>
                <w:sz w:val="20"/>
                <w:szCs w:val="20"/>
                <w:lang w:val="en-US"/>
              </w:rPr>
              <w:t>30</w:t>
            </w:r>
            <w:r w:rsidR="0084270F">
              <w:rPr>
                <w:rFonts w:cstheme="minorHAnsi"/>
                <w:color w:val="00B050"/>
                <w:sz w:val="20"/>
                <w:szCs w:val="20"/>
                <w:lang w:val="en-US"/>
              </w:rPr>
              <w:t>.</w:t>
            </w:r>
            <w:r w:rsidRPr="00B96289">
              <w:rPr>
                <w:rFonts w:cstheme="minorHAnsi"/>
                <w:color w:val="00B050"/>
                <w:sz w:val="20"/>
                <w:szCs w:val="20"/>
                <w:lang w:val="en-US"/>
              </w:rPr>
              <w:t>79%</w:t>
            </w:r>
          </w:p>
        </w:tc>
        <w:tc>
          <w:tcPr>
            <w:tcW w:w="1276" w:type="dxa"/>
            <w:vAlign w:val="center"/>
          </w:tcPr>
          <w:p w14:paraId="63E81E18" w14:textId="77777777"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E133DC">
              <w:rPr>
                <w:rFonts w:cstheme="minorHAnsi"/>
                <w:color w:val="FF0000"/>
                <w:sz w:val="20"/>
                <w:szCs w:val="20"/>
                <w:lang w:val="en-US"/>
              </w:rPr>
              <w:t>250%</w:t>
            </w:r>
          </w:p>
        </w:tc>
        <w:tc>
          <w:tcPr>
            <w:tcW w:w="2126" w:type="dxa"/>
          </w:tcPr>
          <w:p w14:paraId="5AD76705" w14:textId="77777777"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Pr>
                <w:rFonts w:cstheme="minorHAnsi"/>
                <w:color w:val="FF0000"/>
                <w:sz w:val="20"/>
                <w:szCs w:val="20"/>
                <w:lang w:val="en-US"/>
              </w:rPr>
              <w:t>No</w:t>
            </w:r>
          </w:p>
        </w:tc>
        <w:tc>
          <w:tcPr>
            <w:tcW w:w="2001" w:type="dxa"/>
            <w:gridSpan w:val="2"/>
          </w:tcPr>
          <w:p w14:paraId="1497FEAA" w14:textId="77777777" w:rsidR="00BD74F5" w:rsidRPr="00E133D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sidRPr="00B96289">
              <w:rPr>
                <w:rFonts w:cstheme="minorHAnsi"/>
                <w:color w:val="00B050"/>
                <w:sz w:val="20"/>
                <w:szCs w:val="20"/>
                <w:lang w:val="en-US"/>
              </w:rPr>
              <w:t>Yes</w:t>
            </w:r>
          </w:p>
        </w:tc>
      </w:tr>
      <w:tr w:rsidR="00BD74F5" w:rsidRPr="00E133DC" w14:paraId="3AF25D57" w14:textId="77777777" w:rsidTr="00FC4243">
        <w:trPr>
          <w:cnfStyle w:val="000000100000" w:firstRow="0" w:lastRow="0" w:firstColumn="0" w:lastColumn="0" w:oddVBand="0" w:evenVBand="0" w:oddHBand="1" w:evenHBand="0" w:firstRowFirstColumn="0" w:firstRowLastColumn="0" w:lastRowFirstColumn="0" w:lastRowLastColumn="0"/>
          <w:trHeight w:val="351"/>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07F72588" w14:textId="77777777" w:rsidR="00BD74F5" w:rsidRPr="00E133DC" w:rsidRDefault="00BD74F5" w:rsidP="00FC4243">
            <w:pPr>
              <w:jc w:val="center"/>
              <w:rPr>
                <w:rFonts w:cstheme="minorHAnsi"/>
                <w:sz w:val="20"/>
                <w:szCs w:val="20"/>
                <w:lang w:val="en-US"/>
              </w:rPr>
            </w:pPr>
            <w:r>
              <w:rPr>
                <w:rFonts w:cstheme="minorHAnsi"/>
                <w:sz w:val="20"/>
                <w:szCs w:val="20"/>
                <w:lang w:val="en-US"/>
              </w:rPr>
              <w:t>FDAC</w:t>
            </w:r>
          </w:p>
        </w:tc>
        <w:tc>
          <w:tcPr>
            <w:tcW w:w="1843" w:type="dxa"/>
            <w:vAlign w:val="center"/>
          </w:tcPr>
          <w:p w14:paraId="2F6782A9" w14:textId="134105EA"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E133DC">
              <w:rPr>
                <w:rFonts w:cstheme="minorHAnsi"/>
                <w:color w:val="FF0000"/>
                <w:sz w:val="20"/>
                <w:szCs w:val="20"/>
                <w:lang w:val="en-US"/>
              </w:rPr>
              <w:t>142</w:t>
            </w:r>
            <w:r w:rsidR="0084270F">
              <w:rPr>
                <w:rFonts w:cstheme="minorHAnsi"/>
                <w:color w:val="FF0000"/>
                <w:sz w:val="20"/>
                <w:szCs w:val="20"/>
                <w:lang w:val="en-US"/>
              </w:rPr>
              <w:t>.</w:t>
            </w:r>
            <w:r w:rsidRPr="00E133DC">
              <w:rPr>
                <w:rFonts w:cstheme="minorHAnsi"/>
                <w:color w:val="FF0000"/>
                <w:sz w:val="20"/>
                <w:szCs w:val="20"/>
                <w:lang w:val="en-US"/>
              </w:rPr>
              <w:t>77%</w:t>
            </w:r>
          </w:p>
        </w:tc>
        <w:tc>
          <w:tcPr>
            <w:tcW w:w="1276" w:type="dxa"/>
            <w:vAlign w:val="center"/>
          </w:tcPr>
          <w:p w14:paraId="310C6656" w14:textId="6E800E7F"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E133DC">
              <w:rPr>
                <w:rFonts w:cstheme="minorHAnsi"/>
                <w:color w:val="FF0000"/>
                <w:sz w:val="20"/>
                <w:szCs w:val="20"/>
                <w:lang w:val="en-US"/>
              </w:rPr>
              <w:t>183</w:t>
            </w:r>
            <w:r w:rsidR="0084270F">
              <w:rPr>
                <w:rFonts w:cstheme="minorHAnsi"/>
                <w:color w:val="FF0000"/>
                <w:sz w:val="20"/>
                <w:szCs w:val="20"/>
                <w:lang w:val="en-US"/>
              </w:rPr>
              <w:t>.</w:t>
            </w:r>
            <w:r w:rsidRPr="00E133DC">
              <w:rPr>
                <w:rFonts w:cstheme="minorHAnsi"/>
                <w:color w:val="FF0000"/>
                <w:sz w:val="20"/>
                <w:szCs w:val="20"/>
                <w:lang w:val="en-US"/>
              </w:rPr>
              <w:t>87%</w:t>
            </w:r>
          </w:p>
        </w:tc>
        <w:tc>
          <w:tcPr>
            <w:tcW w:w="2126" w:type="dxa"/>
          </w:tcPr>
          <w:p w14:paraId="43BEBC05" w14:textId="77777777"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Pr>
                <w:rFonts w:cstheme="minorHAnsi"/>
                <w:color w:val="FF0000"/>
                <w:sz w:val="20"/>
                <w:szCs w:val="20"/>
                <w:lang w:val="en-US"/>
              </w:rPr>
              <w:t>No</w:t>
            </w:r>
          </w:p>
        </w:tc>
        <w:tc>
          <w:tcPr>
            <w:tcW w:w="2001" w:type="dxa"/>
            <w:gridSpan w:val="2"/>
          </w:tcPr>
          <w:p w14:paraId="073FF04D" w14:textId="77777777" w:rsidR="00BD74F5" w:rsidRPr="00E133D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sidRPr="00B96289">
              <w:rPr>
                <w:rFonts w:cstheme="minorHAnsi"/>
                <w:color w:val="00B050"/>
                <w:sz w:val="20"/>
                <w:szCs w:val="20"/>
                <w:lang w:val="en-US"/>
              </w:rPr>
              <w:t>Yes</w:t>
            </w:r>
          </w:p>
        </w:tc>
      </w:tr>
    </w:tbl>
    <w:p w14:paraId="7EF3A240" w14:textId="3C023F5F" w:rsidR="00BD74F5" w:rsidRDefault="00BD74F5" w:rsidP="00BD74F5">
      <w:pPr>
        <w:pStyle w:val="Beschriftung"/>
        <w:jc w:val="center"/>
        <w:rPr>
          <w:lang w:val="en-US"/>
        </w:rPr>
      </w:pPr>
      <w:bookmarkStart w:id="2" w:name="_Ref172892261"/>
      <w:r w:rsidRPr="002519D1">
        <w:rPr>
          <w:lang w:val="en-US"/>
        </w:rPr>
        <w:t>Tab</w:t>
      </w:r>
      <w:r w:rsidR="005E1A1C">
        <w:rPr>
          <w:lang w:val="en-US"/>
        </w:rPr>
        <w:t>.S</w:t>
      </w:r>
      <w:r w:rsidR="005E1A1C" w:rsidRPr="005E1A1C">
        <w:rPr>
          <w:lang w:val="en-US"/>
        </w:rPr>
        <w:t>1</w:t>
      </w:r>
      <w:r w:rsidRPr="002519D1">
        <w:rPr>
          <w:lang w:val="en-US"/>
        </w:rPr>
        <w:t>: Relative values of t</w:t>
      </w:r>
      <w:r>
        <w:rPr>
          <w:lang w:val="en-US"/>
        </w:rPr>
        <w:t>he used techniques for embolization treatment of the basilar artery with either saccular or fusiform aneurysm types.</w:t>
      </w:r>
      <w:bookmarkEnd w:id="2"/>
      <w:r>
        <w:rPr>
          <w:lang w:val="en-US"/>
        </w:rPr>
        <w:t xml:space="preserve"> Values in green: Saving potential as a percentage of CEs’ baseline value. This accounts vice versa for the red values.</w:t>
      </w:r>
    </w:p>
    <w:p w14:paraId="63A474AC" w14:textId="18493CF3" w:rsidR="00BD74F5" w:rsidRDefault="00BD74F5" w:rsidP="00BD74F5">
      <w:pPr>
        <w:rPr>
          <w:b/>
          <w:lang w:val="en-US"/>
        </w:rPr>
      </w:pPr>
      <w:r>
        <w:rPr>
          <w:b/>
          <w:lang w:val="en-US"/>
        </w:rPr>
        <w:br w:type="page"/>
      </w:r>
      <w:r>
        <w:rPr>
          <w:b/>
          <w:lang w:val="en-US"/>
        </w:rPr>
        <w:lastRenderedPageBreak/>
        <w:t>I</w:t>
      </w:r>
      <w:r w:rsidRPr="00383549">
        <w:rPr>
          <w:b/>
          <w:lang w:val="en-US"/>
        </w:rPr>
        <w:t>nternal carotid artery + posterior communicating artery</w:t>
      </w:r>
      <w:r w:rsidRPr="002E5280">
        <w:rPr>
          <w:lang w:val="en-US"/>
        </w:rPr>
        <w:t xml:space="preserve"> </w:t>
      </w:r>
      <w:r>
        <w:rPr>
          <w:b/>
          <w:lang w:val="en-US"/>
        </w:rPr>
        <w:t>with saccular and fusiform aneurysm types</w:t>
      </w:r>
    </w:p>
    <w:p w14:paraId="371CDB67" w14:textId="73030432" w:rsidR="00BD74F5" w:rsidRDefault="00BD74F5" w:rsidP="00BD74F5">
      <w:pPr>
        <w:rPr>
          <w:lang w:val="en-US"/>
        </w:rPr>
      </w:pPr>
      <w:r w:rsidRPr="002E5280">
        <w:rPr>
          <w:noProof/>
          <w:lang w:eastAsia="de-DE"/>
        </w:rPr>
        <mc:AlternateContent>
          <mc:Choice Requires="wps">
            <w:drawing>
              <wp:anchor distT="0" distB="0" distL="114300" distR="114300" simplePos="0" relativeHeight="251660288" behindDoc="1" locked="0" layoutInCell="1" allowOverlap="1" wp14:anchorId="78477DA1" wp14:editId="2D12C711">
                <wp:simplePos x="0" y="0"/>
                <wp:positionH relativeFrom="margin">
                  <wp:posOffset>7620</wp:posOffset>
                </wp:positionH>
                <wp:positionV relativeFrom="paragraph">
                  <wp:posOffset>7832725</wp:posOffset>
                </wp:positionV>
                <wp:extent cx="5753100" cy="609600"/>
                <wp:effectExtent l="0" t="0" r="0" b="0"/>
                <wp:wrapTopAndBottom/>
                <wp:docPr id="4" name="Textfeld 4"/>
                <wp:cNvGraphicFramePr/>
                <a:graphic xmlns:a="http://schemas.openxmlformats.org/drawingml/2006/main">
                  <a:graphicData uri="http://schemas.microsoft.com/office/word/2010/wordprocessingShape">
                    <wps:wsp>
                      <wps:cNvSpPr txBox="1"/>
                      <wps:spPr>
                        <a:xfrm>
                          <a:off x="0" y="0"/>
                          <a:ext cx="5753100" cy="609600"/>
                        </a:xfrm>
                        <a:prstGeom prst="rect">
                          <a:avLst/>
                        </a:prstGeom>
                        <a:solidFill>
                          <a:prstClr val="white"/>
                        </a:solidFill>
                        <a:ln>
                          <a:noFill/>
                        </a:ln>
                      </wps:spPr>
                      <wps:txbx>
                        <w:txbxContent>
                          <w:p w14:paraId="4DCA9F11" w14:textId="3029335A" w:rsidR="0084270F" w:rsidRPr="00E04A45" w:rsidRDefault="0084270F" w:rsidP="00BD74F5">
                            <w:pPr>
                              <w:pStyle w:val="Beschriftung"/>
                              <w:jc w:val="center"/>
                              <w:rPr>
                                <w:noProof/>
                                <w:sz w:val="32"/>
                                <w:vertAlign w:val="superscript"/>
                                <w:lang w:val="en-US"/>
                              </w:rPr>
                            </w:pPr>
                            <w:bookmarkStart w:id="3" w:name="_Ref173156775"/>
                            <w:r w:rsidRPr="00E04A45">
                              <w:rPr>
                                <w:lang w:val="en-US"/>
                              </w:rPr>
                              <w:t>Fig</w:t>
                            </w:r>
                            <w:r w:rsidR="005E1A1C">
                              <w:rPr>
                                <w:lang w:val="en-US"/>
                              </w:rPr>
                              <w:t>.S2</w:t>
                            </w:r>
                            <w:bookmarkEnd w:id="3"/>
                            <w:r w:rsidRPr="00E04A45">
                              <w:rPr>
                                <w:lang w:val="en-US"/>
                              </w:rPr>
                              <w:t xml:space="preserve">: </w:t>
                            </w:r>
                            <w:r>
                              <w:rPr>
                                <w:lang w:val="en-US"/>
                              </w:rPr>
                              <w:t xml:space="preserve">Juxtaposition graphs of embolization techniques for treatment of saccular and fusiform aneurysms of the </w:t>
                            </w:r>
                            <w:r w:rsidRPr="005B3C9A">
                              <w:rPr>
                                <w:lang w:val="en-US"/>
                              </w:rPr>
                              <w:t>internal carotid artery + posterior communicating artery</w:t>
                            </w:r>
                            <w:r>
                              <w:rPr>
                                <w:lang w:val="en-US"/>
                              </w:rPr>
                              <w:t>. The absolute record number is shown on top of each of the graphs. The big blue horizontal line indicates the national diagnostic reference level of 20</w:t>
                            </w:r>
                            <w:r w:rsidR="0044424F">
                              <w:rPr>
                                <w:lang w:val="en-US"/>
                              </w:rPr>
                              <w:t>,</w:t>
                            </w:r>
                            <w:bookmarkStart w:id="4" w:name="_GoBack"/>
                            <w:bookmarkEnd w:id="4"/>
                            <w:r>
                              <w:rPr>
                                <w:lang w:val="en-US"/>
                              </w:rPr>
                              <w:t>000 cGycm</w:t>
                            </w:r>
                            <w:r>
                              <w:rPr>
                                <w:vertAlign w:val="superscript"/>
                                <w:lang w:val="en-US"/>
                              </w:rPr>
                              <w:t>2</w:t>
                            </w:r>
                            <w:r>
                              <w:rPr>
                                <w:lang w:val="en-US"/>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477DA1" id="Textfeld 4" o:spid="_x0000_s1027" type="#_x0000_t202" style="position:absolute;margin-left:.6pt;margin-top:616.75pt;width:453pt;height:48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" stroked="f">
                <v:textbox inset="0,0,0,0">
                  <w:txbxContent>
                    <w:p w14:paraId="4DCA9F11" w14:textId="3029335A" w:rsidR="0084270F" w:rsidRPr="00E04A45" w:rsidRDefault="0084270F" w:rsidP="00BD74F5">
                      <w:pPr>
                        <w:pStyle w:val="Beschriftung"/>
                        <w:jc w:val="center"/>
                        <w:rPr>
                          <w:noProof/>
                          <w:sz w:val="32"/>
                          <w:vertAlign w:val="superscript"/>
                          <w:lang w:val="en-US"/>
                        </w:rPr>
                      </w:pPr>
                      <w:bookmarkStart w:id="5" w:name="_Ref173156775"/>
                      <w:r w:rsidRPr="00E04A45">
                        <w:rPr>
                          <w:lang w:val="en-US"/>
                        </w:rPr>
                        <w:t>Fig</w:t>
                      </w:r>
                      <w:r w:rsidR="005E1A1C">
                        <w:rPr>
                          <w:lang w:val="en-US"/>
                        </w:rPr>
                        <w:t>.S2</w:t>
                      </w:r>
                      <w:bookmarkEnd w:id="5"/>
                      <w:r w:rsidRPr="00E04A45">
                        <w:rPr>
                          <w:lang w:val="en-US"/>
                        </w:rPr>
                        <w:t xml:space="preserve">: </w:t>
                      </w:r>
                      <w:r>
                        <w:rPr>
                          <w:lang w:val="en-US"/>
                        </w:rPr>
                        <w:t xml:space="preserve">Juxtaposition graphs of embolization techniques for treatment of saccular and fusiform aneurysms of the </w:t>
                      </w:r>
                      <w:r w:rsidRPr="005B3C9A">
                        <w:rPr>
                          <w:lang w:val="en-US"/>
                        </w:rPr>
                        <w:t>internal carotid artery + posterior communicating artery</w:t>
                      </w:r>
                      <w:r>
                        <w:rPr>
                          <w:lang w:val="en-US"/>
                        </w:rPr>
                        <w:t>. The absolute record number is shown on top of each of the graphs. The big blue horizontal line indicates the national diagnostic reference level of 20</w:t>
                      </w:r>
                      <w:r w:rsidR="0044424F">
                        <w:rPr>
                          <w:lang w:val="en-US"/>
                        </w:rPr>
                        <w:t>,</w:t>
                      </w:r>
                      <w:bookmarkStart w:id="6" w:name="_GoBack"/>
                      <w:bookmarkEnd w:id="6"/>
                      <w:r>
                        <w:rPr>
                          <w:lang w:val="en-US"/>
                        </w:rPr>
                        <w:t>000 cGycm</w:t>
                      </w:r>
                      <w:r>
                        <w:rPr>
                          <w:vertAlign w:val="superscript"/>
                          <w:lang w:val="en-US"/>
                        </w:rPr>
                        <w:t>2</w:t>
                      </w:r>
                      <w:r>
                        <w:rPr>
                          <w:lang w:val="en-US"/>
                        </w:rPr>
                        <w:t>.</w:t>
                      </w:r>
                    </w:p>
                  </w:txbxContent>
                </v:textbox>
                <w10:wrap type="topAndBottom" anchorx="margin"/>
              </v:shape>
            </w:pict>
          </mc:Fallback>
        </mc:AlternateContent>
      </w:r>
      <w:r>
        <w:rPr>
          <w:noProof/>
          <w:vertAlign w:val="superscript"/>
          <w:lang w:eastAsia="de-DE"/>
        </w:rPr>
        <w:drawing>
          <wp:anchor distT="0" distB="0" distL="114300" distR="114300" simplePos="0" relativeHeight="251668480" behindDoc="0" locked="0" layoutInCell="1" allowOverlap="1" wp14:anchorId="71531C10" wp14:editId="75C0309A">
            <wp:simplePos x="0" y="0"/>
            <wp:positionH relativeFrom="margin">
              <wp:posOffset>5080</wp:posOffset>
            </wp:positionH>
            <wp:positionV relativeFrom="paragraph">
              <wp:posOffset>4613910</wp:posOffset>
            </wp:positionV>
            <wp:extent cx="5753100" cy="3168000"/>
            <wp:effectExtent l="0" t="0" r="0" b="0"/>
            <wp:wrapSquare wrapText="bothSides"/>
            <wp:docPr id="18" name="Grafik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53100" cy="3168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vertAlign w:val="superscript"/>
          <w:lang w:eastAsia="de-DE"/>
        </w:rPr>
        <w:drawing>
          <wp:anchor distT="0" distB="0" distL="114300" distR="114300" simplePos="0" relativeHeight="251667456" behindDoc="0" locked="0" layoutInCell="1" allowOverlap="1" wp14:anchorId="730411C8" wp14:editId="7E2B10CD">
            <wp:simplePos x="0" y="0"/>
            <wp:positionH relativeFrom="margin">
              <wp:posOffset>-4445</wp:posOffset>
            </wp:positionH>
            <wp:positionV relativeFrom="paragraph">
              <wp:posOffset>1470660</wp:posOffset>
            </wp:positionV>
            <wp:extent cx="5692775" cy="3166110"/>
            <wp:effectExtent l="0" t="0" r="3175" b="0"/>
            <wp:wrapTopAndBottom/>
            <wp:docPr id="17" name="Grafik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692775" cy="3166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B266F">
        <w:rPr>
          <w:noProof/>
          <w:lang w:val="en-US" w:eastAsia="de-DE"/>
        </w:rPr>
        <w:t xml:space="preserve"> CE approaches remains the most </w:t>
      </w:r>
      <w:r>
        <w:rPr>
          <w:noProof/>
          <w:lang w:val="en-US" w:eastAsia="de-DE"/>
        </w:rPr>
        <w:t>commonly used</w:t>
      </w:r>
      <w:r w:rsidRPr="00FB266F">
        <w:rPr>
          <w:noProof/>
          <w:lang w:val="en-US" w:eastAsia="de-DE"/>
        </w:rPr>
        <w:t xml:space="preserve"> technique, with 36.45% of the records involving the treatment of a saccular aneurysm of the internal carotid artery </w:t>
      </w:r>
      <w:r>
        <w:rPr>
          <w:noProof/>
          <w:lang w:val="en-US" w:eastAsia="de-DE"/>
        </w:rPr>
        <w:t>as well as</w:t>
      </w:r>
      <w:r w:rsidRPr="00FB266F">
        <w:rPr>
          <w:noProof/>
          <w:lang w:val="en-US" w:eastAsia="de-DE"/>
        </w:rPr>
        <w:t xml:space="preserve"> the posterior communicating artery (ACI + PCOM). This is equivalent to 19.55% of the overall CE approaches. It is noteworthy that FD-based approaches have been shown to yield higher efficiency in terms of </w:t>
      </w:r>
      <w:r>
        <w:rPr>
          <w:noProof/>
          <w:lang w:val="en-US" w:eastAsia="de-DE"/>
        </w:rPr>
        <w:t>dose-area product</w:t>
      </w:r>
      <w:r w:rsidRPr="00FB266F">
        <w:rPr>
          <w:noProof/>
          <w:lang w:val="en-US" w:eastAsia="de-DE"/>
        </w:rPr>
        <w:t xml:space="preserve"> (79.05%) and </w:t>
      </w:r>
      <w:r>
        <w:rPr>
          <w:noProof/>
          <w:lang w:val="en-US" w:eastAsia="de-DE"/>
        </w:rPr>
        <w:t>exposure time</w:t>
      </w:r>
      <w:r w:rsidRPr="00FB266F">
        <w:rPr>
          <w:noProof/>
          <w:lang w:val="en-US" w:eastAsia="de-DE"/>
        </w:rPr>
        <w:t xml:space="preserve"> (73.53%). In contrast, IaFD yielded a reduction in exposure time equivalent to 76.47%, yet without a significant decrease in </w:t>
      </w:r>
      <w:r>
        <w:rPr>
          <w:noProof/>
          <w:lang w:val="en-US" w:eastAsia="de-DE"/>
        </w:rPr>
        <w:t>dose-area product</w:t>
      </w:r>
      <w:r w:rsidRPr="00FB266F">
        <w:rPr>
          <w:noProof/>
          <w:lang w:val="en-US" w:eastAsia="de-DE"/>
        </w:rPr>
        <w:t xml:space="preserve"> (96.65%).</w:t>
      </w:r>
      <w:r w:rsidRPr="002E5280">
        <w:rPr>
          <w:lang w:val="en-US"/>
        </w:rPr>
        <w:t xml:space="preserve"> </w:t>
      </w:r>
      <w:r w:rsidRPr="002E5280">
        <w:rPr>
          <w:lang w:val="en-US"/>
        </w:rPr>
        <w:br/>
        <w:t>In the case of the treatment of a fusiform aneurysm</w:t>
      </w:r>
      <w:r>
        <w:rPr>
          <w:lang w:val="en-US"/>
        </w:rPr>
        <w:t>,</w:t>
      </w:r>
      <w:r w:rsidRPr="002E5280">
        <w:rPr>
          <w:lang w:val="en-US"/>
        </w:rPr>
        <w:t xml:space="preserve"> both techniques </w:t>
      </w:r>
      <w:r>
        <w:rPr>
          <w:lang w:val="en-US"/>
        </w:rPr>
        <w:t>yielded higher dose-area product</w:t>
      </w:r>
      <w:r w:rsidRPr="002E5280">
        <w:rPr>
          <w:lang w:val="en-US"/>
        </w:rPr>
        <w:t xml:space="preserve"> </w:t>
      </w:r>
      <w:r>
        <w:rPr>
          <w:lang w:val="en-US"/>
        </w:rPr>
        <w:t>compared to CE</w:t>
      </w:r>
      <w:r w:rsidRPr="002E5280">
        <w:rPr>
          <w:lang w:val="en-US"/>
        </w:rPr>
        <w:t xml:space="preserve">. </w:t>
      </w:r>
      <w:r w:rsidRPr="007A7262">
        <w:rPr>
          <w:lang w:val="en-US"/>
        </w:rPr>
        <w:t xml:space="preserve">While </w:t>
      </w:r>
      <w:proofErr w:type="spellStart"/>
      <w:r w:rsidRPr="007A7262">
        <w:rPr>
          <w:lang w:val="en-US"/>
        </w:rPr>
        <w:t>IaFD</w:t>
      </w:r>
      <w:proofErr w:type="spellEnd"/>
      <w:r w:rsidRPr="007A7262">
        <w:rPr>
          <w:lang w:val="en-US"/>
        </w:rPr>
        <w:t xml:space="preserve"> </w:t>
      </w:r>
      <w:proofErr w:type="spellStart"/>
      <w:r w:rsidRPr="007A7262">
        <w:rPr>
          <w:lang w:val="en-US"/>
        </w:rPr>
        <w:t>embolizations</w:t>
      </w:r>
      <w:proofErr w:type="spellEnd"/>
      <w:r w:rsidRPr="007A7262">
        <w:rPr>
          <w:lang w:val="en-US"/>
        </w:rPr>
        <w:t xml:space="preserve"> was found to be 17.84% higher than the median </w:t>
      </w:r>
    </w:p>
    <w:p w14:paraId="6919CDFD" w14:textId="016FBE7C" w:rsidR="00BD74F5" w:rsidRDefault="00BD74F5" w:rsidP="00BD74F5">
      <w:pPr>
        <w:rPr>
          <w:sz w:val="24"/>
          <w:szCs w:val="24"/>
          <w:lang w:val="en-US"/>
        </w:rPr>
      </w:pPr>
      <w:r>
        <w:rPr>
          <w:lang w:val="en-US"/>
        </w:rPr>
        <w:lastRenderedPageBreak/>
        <w:t>dose-area product</w:t>
      </w:r>
      <w:r w:rsidRPr="007A7262">
        <w:rPr>
          <w:lang w:val="en-US"/>
        </w:rPr>
        <w:t>,</w:t>
      </w:r>
      <w:r w:rsidRPr="007A7262" w:rsidDel="007A7262">
        <w:rPr>
          <w:lang w:val="en-US"/>
        </w:rPr>
        <w:t xml:space="preserve"> </w:t>
      </w:r>
      <w:r w:rsidRPr="002E5280">
        <w:rPr>
          <w:lang w:val="en-US"/>
        </w:rPr>
        <w:t xml:space="preserve">the </w:t>
      </w:r>
      <w:r>
        <w:rPr>
          <w:lang w:val="en-US"/>
        </w:rPr>
        <w:t>exposure time</w:t>
      </w:r>
      <w:r w:rsidRPr="002E5280">
        <w:rPr>
          <w:lang w:val="en-US"/>
        </w:rPr>
        <w:t xml:space="preserve"> near</w:t>
      </w:r>
      <w:r>
        <w:rPr>
          <w:lang w:val="en-US"/>
        </w:rPr>
        <w:t>s</w:t>
      </w:r>
      <w:r w:rsidRPr="002E5280">
        <w:rPr>
          <w:lang w:val="en-US"/>
        </w:rPr>
        <w:t xml:space="preserve"> </w:t>
      </w:r>
      <w:r>
        <w:rPr>
          <w:lang w:val="en-US"/>
        </w:rPr>
        <w:t>CE</w:t>
      </w:r>
      <w:r w:rsidRPr="002E5280">
        <w:rPr>
          <w:lang w:val="en-US"/>
        </w:rPr>
        <w:t xml:space="preserve">’s baseline. </w:t>
      </w:r>
      <w:r w:rsidRPr="00CE376A">
        <w:rPr>
          <w:lang w:val="en-US"/>
        </w:rPr>
        <w:t>It has emerged that FD-based approaches yield a slight benefit in terms of exposure time, with an observed percentage of 87.67%, in comparison to the CE's baseline.</w:t>
      </w:r>
      <w:r>
        <w:rPr>
          <w:lang w:val="en-US"/>
        </w:rPr>
        <w:t xml:space="preserve"> </w:t>
      </w:r>
      <w:r w:rsidRPr="00CE376A">
        <w:rPr>
          <w:lang w:val="en-US"/>
        </w:rPr>
        <w:t xml:space="preserve">Nevertheless, </w:t>
      </w:r>
      <w:r>
        <w:rPr>
          <w:lang w:val="en-US"/>
        </w:rPr>
        <w:t>FD-based approaches seem to be</w:t>
      </w:r>
      <w:r w:rsidRPr="00CE376A">
        <w:rPr>
          <w:lang w:val="en-US"/>
        </w:rPr>
        <w:t xml:space="preserve"> the technique of choice, since 56.91% of all treatments of this data subset were performed using this technique.</w:t>
      </w:r>
      <w:r>
        <w:rPr>
          <w:lang w:val="en-US"/>
        </w:rPr>
        <w:t xml:space="preserve"> </w:t>
      </w:r>
      <w:r w:rsidRPr="00CE376A">
        <w:rPr>
          <w:lang w:val="en-US"/>
        </w:rPr>
        <w:t>For</w:t>
      </w:r>
      <w:r>
        <w:rPr>
          <w:lang w:val="en-US"/>
        </w:rPr>
        <w:t xml:space="preserve"> the treatment of</w:t>
      </w:r>
      <w:r w:rsidRPr="00CE376A">
        <w:rPr>
          <w:lang w:val="en-US"/>
        </w:rPr>
        <w:t xml:space="preserve"> </w:t>
      </w:r>
      <w:r>
        <w:rPr>
          <w:lang w:val="en-US"/>
        </w:rPr>
        <w:t>internal carotid artery and posterior communicating artery combinations with fusiform aneurysms</w:t>
      </w:r>
      <w:r w:rsidRPr="00CE376A">
        <w:rPr>
          <w:lang w:val="en-US"/>
        </w:rPr>
        <w:t xml:space="preserve">, the BAC technique yielded the most significant reduction in exposure </w:t>
      </w:r>
      <w:r>
        <w:rPr>
          <w:lang w:val="en-US"/>
        </w:rPr>
        <w:t xml:space="preserve">with </w:t>
      </w:r>
      <w:r w:rsidRPr="00CE376A">
        <w:rPr>
          <w:lang w:val="en-US"/>
        </w:rPr>
        <w:t xml:space="preserve">67.93% </w:t>
      </w:r>
      <w:r>
        <w:rPr>
          <w:lang w:val="en-US"/>
        </w:rPr>
        <w:t>dose-area product,</w:t>
      </w:r>
      <w:r w:rsidRPr="00CE376A">
        <w:rPr>
          <w:lang w:val="en-US"/>
        </w:rPr>
        <w:t xml:space="preserve"> while </w:t>
      </w:r>
      <w:r>
        <w:rPr>
          <w:lang w:val="en-US"/>
        </w:rPr>
        <w:t>simultaneously</w:t>
      </w:r>
      <w:r w:rsidRPr="00CE376A">
        <w:rPr>
          <w:lang w:val="en-US"/>
        </w:rPr>
        <w:t xml:space="preserve"> exhibiting the highest exposure times </w:t>
      </w:r>
      <w:r>
        <w:rPr>
          <w:lang w:val="en-US"/>
        </w:rPr>
        <w:t xml:space="preserve">with </w:t>
      </w:r>
      <w:r w:rsidRPr="00CE376A">
        <w:rPr>
          <w:lang w:val="en-US"/>
        </w:rPr>
        <w:t>68.49% increase compared to C</w:t>
      </w:r>
      <w:r>
        <w:rPr>
          <w:lang w:val="en-US"/>
        </w:rPr>
        <w:t>E</w:t>
      </w:r>
      <w:r w:rsidRPr="00CE376A" w:rsidDel="00CE376A">
        <w:rPr>
          <w:lang w:val="en-US"/>
        </w:rPr>
        <w:t xml:space="preserve"> </w:t>
      </w:r>
      <w:r w:rsidRPr="002E5280">
        <w:rPr>
          <w:lang w:val="en-US"/>
        </w:rPr>
        <w:t xml:space="preserve">(see </w:t>
      </w:r>
      <w:r w:rsidR="006F296C">
        <w:rPr>
          <w:lang w:val="en-US"/>
        </w:rPr>
        <w:t>Fig.S2</w:t>
      </w:r>
      <w:r w:rsidRPr="002E5280">
        <w:rPr>
          <w:lang w:val="en-US"/>
        </w:rPr>
        <w:fldChar w:fldCharType="begin"/>
      </w:r>
      <w:r w:rsidRPr="002E5280">
        <w:rPr>
          <w:lang w:val="en-US"/>
        </w:rPr>
        <w:instrText xml:space="preserve"> REF _Ref173156777 \h </w:instrText>
      </w:r>
      <w:r>
        <w:rPr>
          <w:lang w:val="en-US"/>
        </w:rPr>
        <w:instrText xml:space="preserve"> \* MERGEFORMAT </w:instrText>
      </w:r>
      <w:r w:rsidRPr="002E5280">
        <w:rPr>
          <w:lang w:val="en-US"/>
        </w:rPr>
      </w:r>
      <w:r w:rsidRPr="002E5280">
        <w:rPr>
          <w:lang w:val="en-US"/>
        </w:rPr>
        <w:fldChar w:fldCharType="end"/>
      </w:r>
      <w:r w:rsidRPr="002E5280">
        <w:rPr>
          <w:lang w:val="en-US"/>
        </w:rPr>
        <w:t xml:space="preserve"> &amp;</w:t>
      </w:r>
      <w:r w:rsidR="006F296C">
        <w:rPr>
          <w:lang w:val="en-US"/>
        </w:rPr>
        <w:t xml:space="preserve"> Tab.S2</w:t>
      </w:r>
      <w:r w:rsidRPr="002E5280">
        <w:rPr>
          <w:lang w:val="en-US"/>
        </w:rPr>
        <w:t>). Each technique fell below 20</w:t>
      </w:r>
      <w:r w:rsidR="0044424F">
        <w:rPr>
          <w:lang w:val="en-US"/>
        </w:rPr>
        <w:t>,</w:t>
      </w:r>
      <w:r w:rsidRPr="002E5280">
        <w:rPr>
          <w:lang w:val="en-US"/>
        </w:rPr>
        <w:t>000 cGycm</w:t>
      </w:r>
      <w:r w:rsidRPr="002E5280">
        <w:rPr>
          <w:vertAlign w:val="superscript"/>
          <w:lang w:val="en-US"/>
        </w:rPr>
        <w:t>2</w:t>
      </w:r>
      <w:r w:rsidRPr="002E5280">
        <w:rPr>
          <w:lang w:val="en-US"/>
        </w:rPr>
        <w:t xml:space="preserve"> for both vessel and aneurysm type combinations. The signif</w:t>
      </w:r>
      <w:r>
        <w:rPr>
          <w:lang w:val="en-US"/>
        </w:rPr>
        <w:t xml:space="preserve">icance for this analysis was set at </w:t>
      </w:r>
      <w:proofErr w:type="spellStart"/>
      <w:r w:rsidRPr="002E5280">
        <w:rPr>
          <w:lang w:val="en-US"/>
        </w:rPr>
        <w:t>p</w:t>
      </w:r>
      <w:r>
        <w:rPr>
          <w:vertAlign w:val="subscript"/>
          <w:lang w:val="en-US"/>
        </w:rPr>
        <w:t>saccular</w:t>
      </w:r>
      <w:proofErr w:type="spellEnd"/>
      <w:r w:rsidRPr="002E5280">
        <w:rPr>
          <w:lang w:val="en-US"/>
        </w:rPr>
        <w:t xml:space="preserve"> </w:t>
      </w:r>
      <w:r>
        <w:rPr>
          <w:lang w:val="en-US"/>
        </w:rPr>
        <w:t>=</w:t>
      </w:r>
      <w:r w:rsidRPr="002E5280">
        <w:rPr>
          <w:lang w:val="en-US"/>
        </w:rPr>
        <w:t xml:space="preserve"> </w:t>
      </w:r>
      <w:r>
        <w:rPr>
          <w:lang w:val="en-US"/>
        </w:rPr>
        <w:t>2.09</w:t>
      </w:r>
      <w:r>
        <w:rPr>
          <w:rFonts w:cstheme="minorHAnsi"/>
          <w:lang w:val="en-US"/>
        </w:rPr>
        <w:t>·10</w:t>
      </w:r>
      <w:r>
        <w:rPr>
          <w:vertAlign w:val="superscript"/>
          <w:lang w:val="en-US"/>
        </w:rPr>
        <w:t>-23</w:t>
      </w:r>
      <w:r>
        <w:rPr>
          <w:lang w:val="en-US"/>
        </w:rPr>
        <w:t xml:space="preserve"> and </w:t>
      </w:r>
      <w:proofErr w:type="spellStart"/>
      <w:r w:rsidRPr="002E5280">
        <w:rPr>
          <w:lang w:val="en-US"/>
        </w:rPr>
        <w:t>p</w:t>
      </w:r>
      <w:r>
        <w:rPr>
          <w:vertAlign w:val="subscript"/>
          <w:lang w:val="en-US"/>
        </w:rPr>
        <w:t>fusiform</w:t>
      </w:r>
      <w:proofErr w:type="spellEnd"/>
      <w:r w:rsidRPr="002E5280">
        <w:rPr>
          <w:lang w:val="en-US"/>
        </w:rPr>
        <w:t xml:space="preserve"> </w:t>
      </w:r>
      <w:r>
        <w:rPr>
          <w:lang w:val="en-US"/>
        </w:rPr>
        <w:t>=</w:t>
      </w:r>
      <w:r w:rsidRPr="002E5280">
        <w:rPr>
          <w:lang w:val="en-US"/>
        </w:rPr>
        <w:t xml:space="preserve"> </w:t>
      </w:r>
      <w:r>
        <w:rPr>
          <w:lang w:val="en-US"/>
        </w:rPr>
        <w:t>1.99</w:t>
      </w:r>
      <w:r>
        <w:rPr>
          <w:rFonts w:cstheme="minorHAnsi"/>
          <w:lang w:val="en-US"/>
        </w:rPr>
        <w:t>·</w:t>
      </w:r>
      <w:r>
        <w:rPr>
          <w:lang w:val="en-US"/>
        </w:rPr>
        <w:t>10</w:t>
      </w:r>
      <w:r>
        <w:rPr>
          <w:vertAlign w:val="superscript"/>
          <w:lang w:val="en-US"/>
        </w:rPr>
        <w:t>-5</w:t>
      </w:r>
      <w:r>
        <w:rPr>
          <w:lang w:val="en-US"/>
        </w:rPr>
        <w:t xml:space="preserve"> </w:t>
      </w:r>
      <w:r w:rsidRPr="002E5280">
        <w:rPr>
          <w:lang w:val="en-US"/>
        </w:rPr>
        <w:t xml:space="preserve">for </w:t>
      </w:r>
      <w:r>
        <w:rPr>
          <w:lang w:val="en-US"/>
        </w:rPr>
        <w:t>dose-area product,</w:t>
      </w:r>
      <w:r w:rsidRPr="002E5280">
        <w:rPr>
          <w:lang w:val="en-US"/>
        </w:rPr>
        <w:t xml:space="preserve"> </w:t>
      </w:r>
      <w:proofErr w:type="spellStart"/>
      <w:r>
        <w:rPr>
          <w:lang w:val="en-US"/>
        </w:rPr>
        <w:t>p</w:t>
      </w:r>
      <w:r>
        <w:rPr>
          <w:vertAlign w:val="subscript"/>
          <w:lang w:val="en-US"/>
        </w:rPr>
        <w:t>saccular</w:t>
      </w:r>
      <w:proofErr w:type="spellEnd"/>
      <w:r>
        <w:rPr>
          <w:vertAlign w:val="subscript"/>
          <w:lang w:val="en-US"/>
        </w:rPr>
        <w:t xml:space="preserve"> </w:t>
      </w:r>
      <w:r>
        <w:rPr>
          <w:lang w:val="en-US"/>
        </w:rPr>
        <w:t>= 5.95</w:t>
      </w:r>
      <w:r>
        <w:rPr>
          <w:rFonts w:cstheme="minorHAnsi"/>
          <w:lang w:val="en-US"/>
        </w:rPr>
        <w:t>·</w:t>
      </w:r>
      <w:r>
        <w:rPr>
          <w:lang w:val="en-US"/>
        </w:rPr>
        <w:t>10</w:t>
      </w:r>
      <w:r>
        <w:rPr>
          <w:vertAlign w:val="superscript"/>
          <w:lang w:val="en-US"/>
        </w:rPr>
        <w:t xml:space="preserve">-72 </w:t>
      </w:r>
      <w:r>
        <w:rPr>
          <w:lang w:val="en-US"/>
        </w:rPr>
        <w:t xml:space="preserve">and </w:t>
      </w:r>
      <w:proofErr w:type="spellStart"/>
      <w:r w:rsidRPr="002E5280">
        <w:rPr>
          <w:lang w:val="en-US"/>
        </w:rPr>
        <w:t>p</w:t>
      </w:r>
      <w:r>
        <w:rPr>
          <w:vertAlign w:val="subscript"/>
          <w:lang w:val="en-US"/>
        </w:rPr>
        <w:t>fusiform</w:t>
      </w:r>
      <w:proofErr w:type="spellEnd"/>
      <w:r w:rsidRPr="002E5280">
        <w:rPr>
          <w:lang w:val="en-US"/>
        </w:rPr>
        <w:t xml:space="preserve"> </w:t>
      </w:r>
      <w:r>
        <w:rPr>
          <w:lang w:val="en-US"/>
        </w:rPr>
        <w:t>=</w:t>
      </w:r>
      <w:r w:rsidRPr="002E5280">
        <w:rPr>
          <w:lang w:val="en-US"/>
        </w:rPr>
        <w:t xml:space="preserve"> </w:t>
      </w:r>
      <w:r>
        <w:rPr>
          <w:lang w:val="en-US"/>
        </w:rPr>
        <w:t>1.97</w:t>
      </w:r>
      <w:r>
        <w:rPr>
          <w:rFonts w:cstheme="minorHAnsi"/>
          <w:lang w:val="en-US"/>
        </w:rPr>
        <w:t>·10</w:t>
      </w:r>
      <w:r>
        <w:rPr>
          <w:vertAlign w:val="superscript"/>
          <w:lang w:val="en-US"/>
        </w:rPr>
        <w:t xml:space="preserve">-13 </w:t>
      </w:r>
      <w:r>
        <w:rPr>
          <w:lang w:val="en-US"/>
        </w:rPr>
        <w:t>for exposure time</w:t>
      </w:r>
    </w:p>
    <w:tbl>
      <w:tblPr>
        <w:tblStyle w:val="EinfacheTabelle3"/>
        <w:tblW w:w="8647" w:type="dxa"/>
        <w:jc w:val="center"/>
        <w:tblLayout w:type="fixed"/>
        <w:tblLook w:val="04A0" w:firstRow="1" w:lastRow="0" w:firstColumn="1" w:lastColumn="0" w:noHBand="0" w:noVBand="1"/>
      </w:tblPr>
      <w:tblGrid>
        <w:gridCol w:w="1276"/>
        <w:gridCol w:w="2125"/>
        <w:gridCol w:w="1276"/>
        <w:gridCol w:w="2125"/>
        <w:gridCol w:w="142"/>
        <w:gridCol w:w="1703"/>
      </w:tblGrid>
      <w:tr w:rsidR="00BD74F5" w:rsidRPr="0084270F" w14:paraId="033DF189" w14:textId="77777777" w:rsidTr="00FC4243">
        <w:trPr>
          <w:cnfStyle w:val="100000000000" w:firstRow="1" w:lastRow="0" w:firstColumn="0" w:lastColumn="0" w:oddVBand="0" w:evenVBand="0" w:oddHBand="0" w:evenHBand="0" w:firstRowFirstColumn="0" w:firstRowLastColumn="0" w:lastRowFirstColumn="0" w:lastRowLastColumn="0"/>
          <w:trHeight w:val="1174"/>
          <w:jc w:val="center"/>
        </w:trPr>
        <w:tc>
          <w:tcPr>
            <w:cnfStyle w:val="001000000100" w:firstRow="0" w:lastRow="0" w:firstColumn="1" w:lastColumn="0" w:oddVBand="0" w:evenVBand="0" w:oddHBand="0" w:evenHBand="0" w:firstRowFirstColumn="1" w:firstRowLastColumn="0" w:lastRowFirstColumn="0" w:lastRowLastColumn="0"/>
            <w:tcW w:w="1276" w:type="dxa"/>
            <w:vAlign w:val="center"/>
          </w:tcPr>
          <w:p w14:paraId="1E005F5E" w14:textId="77777777" w:rsidR="00BD74F5" w:rsidRPr="00E17B4A" w:rsidRDefault="00BD74F5" w:rsidP="00FC4243">
            <w:pPr>
              <w:jc w:val="center"/>
              <w:rPr>
                <w:rFonts w:cstheme="minorHAnsi"/>
                <w:sz w:val="20"/>
                <w:szCs w:val="20"/>
                <w:lang w:val="en-US"/>
              </w:rPr>
            </w:pPr>
            <w:r w:rsidRPr="00E17B4A">
              <w:rPr>
                <w:rFonts w:cstheme="minorHAnsi"/>
                <w:sz w:val="20"/>
                <w:szCs w:val="20"/>
                <w:lang w:val="en-US"/>
              </w:rPr>
              <w:t>Technique</w:t>
            </w:r>
          </w:p>
        </w:tc>
        <w:tc>
          <w:tcPr>
            <w:tcW w:w="2125" w:type="dxa"/>
            <w:vAlign w:val="center"/>
          </w:tcPr>
          <w:p w14:paraId="0F5767AD"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E17B4A">
              <w:rPr>
                <w:rFonts w:cstheme="minorHAnsi"/>
                <w:sz w:val="20"/>
                <w:szCs w:val="20"/>
                <w:lang w:val="en-US"/>
              </w:rPr>
              <w:t>Relative Dose-Area Product Compared to Coils</w:t>
            </w:r>
          </w:p>
        </w:tc>
        <w:tc>
          <w:tcPr>
            <w:tcW w:w="1276" w:type="dxa"/>
            <w:vAlign w:val="center"/>
          </w:tcPr>
          <w:p w14:paraId="2731191D"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E17B4A">
              <w:rPr>
                <w:rFonts w:cstheme="minorHAnsi"/>
                <w:sz w:val="20"/>
                <w:szCs w:val="20"/>
                <w:lang w:val="en-US"/>
              </w:rPr>
              <w:t>Relative Exposure Time Compared to Coils</w:t>
            </w:r>
          </w:p>
        </w:tc>
        <w:tc>
          <w:tcPr>
            <w:tcW w:w="2125" w:type="dxa"/>
            <w:vAlign w:val="center"/>
          </w:tcPr>
          <w:p w14:paraId="219D2908"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FE2C72">
              <w:rPr>
                <w:rFonts w:cstheme="minorHAnsi"/>
                <w:sz w:val="20"/>
                <w:szCs w:val="20"/>
                <w:lang w:val="en-US"/>
              </w:rPr>
              <w:t>Dunn test: DAP significance of each technique compared to Coils</w:t>
            </w:r>
          </w:p>
        </w:tc>
        <w:tc>
          <w:tcPr>
            <w:tcW w:w="1845" w:type="dxa"/>
            <w:gridSpan w:val="2"/>
            <w:vAlign w:val="center"/>
          </w:tcPr>
          <w:p w14:paraId="253BD3ED"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FE2C72">
              <w:rPr>
                <w:rFonts w:cstheme="minorHAnsi"/>
                <w:sz w:val="20"/>
                <w:szCs w:val="20"/>
                <w:lang w:val="en-US"/>
              </w:rPr>
              <w:t xml:space="preserve">Dunn test: </w:t>
            </w:r>
            <w:r>
              <w:rPr>
                <w:rFonts w:cstheme="minorHAnsi"/>
                <w:sz w:val="20"/>
                <w:szCs w:val="20"/>
                <w:lang w:val="en-US"/>
              </w:rPr>
              <w:t>ET</w:t>
            </w:r>
            <w:r w:rsidRPr="00FE2C72">
              <w:rPr>
                <w:rFonts w:cstheme="minorHAnsi"/>
                <w:sz w:val="20"/>
                <w:szCs w:val="20"/>
                <w:lang w:val="en-US"/>
              </w:rPr>
              <w:t xml:space="preserve"> significance of each technique compared to Coils</w:t>
            </w:r>
          </w:p>
        </w:tc>
      </w:tr>
      <w:tr w:rsidR="00BD74F5" w:rsidRPr="0084270F" w14:paraId="55D9C6D9" w14:textId="77777777" w:rsidTr="00FC42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7A67BE5A" w14:textId="77777777" w:rsidR="00BD74F5" w:rsidRPr="00E17B4A" w:rsidRDefault="00BD74F5" w:rsidP="00FC4243">
            <w:pPr>
              <w:jc w:val="center"/>
              <w:rPr>
                <w:rFonts w:cstheme="minorHAnsi"/>
                <w:sz w:val="20"/>
                <w:szCs w:val="20"/>
                <w:lang w:val="en-US"/>
              </w:rPr>
            </w:pPr>
          </w:p>
        </w:tc>
        <w:tc>
          <w:tcPr>
            <w:tcW w:w="7371" w:type="dxa"/>
            <w:gridSpan w:val="5"/>
            <w:vAlign w:val="center"/>
          </w:tcPr>
          <w:p w14:paraId="78FE7BA1" w14:textId="77777777" w:rsidR="00BD74F5"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Pr>
                <w:rFonts w:cstheme="minorHAnsi"/>
                <w:sz w:val="20"/>
                <w:szCs w:val="20"/>
                <w:lang w:val="en-US"/>
              </w:rPr>
              <w:t xml:space="preserve">Internal carotid artery + Posterior communicating artery with saccular aneurysm     </w:t>
            </w:r>
            <w:r>
              <w:rPr>
                <w:rFonts w:cstheme="minorHAnsi"/>
                <w:sz w:val="20"/>
                <w:szCs w:val="20"/>
                <w:lang w:val="en-US"/>
              </w:rPr>
              <w:br/>
              <w:t xml:space="preserve">         n = 4258</w:t>
            </w:r>
          </w:p>
        </w:tc>
      </w:tr>
      <w:tr w:rsidR="00BD74F5" w:rsidRPr="00F2169F" w14:paraId="06A2D137" w14:textId="77777777" w:rsidTr="00FC4243">
        <w:trPr>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1EAE5A4F" w14:textId="77777777" w:rsidR="00BD74F5" w:rsidRPr="00E17B4A" w:rsidRDefault="00BD74F5" w:rsidP="00FC4243">
            <w:pPr>
              <w:jc w:val="center"/>
              <w:rPr>
                <w:rFonts w:cstheme="minorHAnsi"/>
                <w:sz w:val="20"/>
                <w:szCs w:val="20"/>
                <w:lang w:val="en-US"/>
              </w:rPr>
            </w:pPr>
            <w:r>
              <w:rPr>
                <w:rFonts w:cstheme="minorHAnsi"/>
                <w:sz w:val="20"/>
                <w:szCs w:val="20"/>
                <w:lang w:val="en-US"/>
              </w:rPr>
              <w:t>CE</w:t>
            </w:r>
          </w:p>
        </w:tc>
        <w:tc>
          <w:tcPr>
            <w:tcW w:w="2125" w:type="dxa"/>
            <w:vAlign w:val="center"/>
          </w:tcPr>
          <w:p w14:paraId="21CB5C9F" w14:textId="77777777" w:rsidR="00BD74F5" w:rsidRPr="00E17B4A"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E17B4A">
              <w:rPr>
                <w:rFonts w:cstheme="minorHAnsi"/>
                <w:sz w:val="20"/>
                <w:szCs w:val="20"/>
                <w:lang w:val="en-US"/>
              </w:rPr>
              <w:t>100%</w:t>
            </w:r>
          </w:p>
        </w:tc>
        <w:tc>
          <w:tcPr>
            <w:tcW w:w="1276" w:type="dxa"/>
            <w:vAlign w:val="center"/>
          </w:tcPr>
          <w:p w14:paraId="11AD0406" w14:textId="77777777" w:rsidR="00BD74F5" w:rsidRPr="00E17B4A"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E17B4A">
              <w:rPr>
                <w:rFonts w:cstheme="minorHAnsi"/>
                <w:sz w:val="20"/>
                <w:szCs w:val="20"/>
                <w:lang w:val="en-US"/>
              </w:rPr>
              <w:t>100%</w:t>
            </w:r>
          </w:p>
        </w:tc>
        <w:tc>
          <w:tcPr>
            <w:tcW w:w="2267" w:type="dxa"/>
            <w:gridSpan w:val="2"/>
          </w:tcPr>
          <w:p w14:paraId="35801FDD" w14:textId="77777777" w:rsidR="00BD74F5" w:rsidRPr="00E17B4A"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Pr>
                <w:rFonts w:cstheme="minorHAnsi"/>
                <w:sz w:val="20"/>
                <w:szCs w:val="20"/>
                <w:lang w:val="en-US"/>
              </w:rPr>
              <w:t>N/A</w:t>
            </w:r>
          </w:p>
        </w:tc>
        <w:tc>
          <w:tcPr>
            <w:tcW w:w="1703" w:type="dxa"/>
          </w:tcPr>
          <w:p w14:paraId="0F533848" w14:textId="77777777" w:rsidR="00BD74F5" w:rsidRPr="00E17B4A"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Pr>
                <w:rFonts w:cstheme="minorHAnsi"/>
                <w:sz w:val="20"/>
                <w:szCs w:val="20"/>
                <w:lang w:val="en-US"/>
              </w:rPr>
              <w:t>N/A</w:t>
            </w:r>
          </w:p>
        </w:tc>
      </w:tr>
      <w:tr w:rsidR="00BD74F5" w:rsidRPr="00F2169F" w14:paraId="56AF3BF4" w14:textId="77777777" w:rsidTr="00FC42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2F40E128" w14:textId="77777777" w:rsidR="00BD74F5" w:rsidRPr="00E17B4A" w:rsidRDefault="00BD74F5" w:rsidP="00FC4243">
            <w:pPr>
              <w:jc w:val="center"/>
              <w:rPr>
                <w:rFonts w:cstheme="minorHAnsi"/>
                <w:sz w:val="20"/>
                <w:szCs w:val="20"/>
                <w:lang w:val="en-US"/>
              </w:rPr>
            </w:pPr>
            <w:r>
              <w:rPr>
                <w:rFonts w:cstheme="minorHAnsi"/>
                <w:sz w:val="20"/>
                <w:szCs w:val="20"/>
                <w:lang w:val="en-US"/>
              </w:rPr>
              <w:t>FD</w:t>
            </w:r>
          </w:p>
        </w:tc>
        <w:tc>
          <w:tcPr>
            <w:tcW w:w="2125" w:type="dxa"/>
            <w:vAlign w:val="center"/>
          </w:tcPr>
          <w:p w14:paraId="670A7B85" w14:textId="77777777" w:rsidR="00BD74F5" w:rsidRPr="00B52348"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sidRPr="00B52348">
              <w:rPr>
                <w:rFonts w:cstheme="minorHAnsi"/>
                <w:color w:val="00B050"/>
                <w:sz w:val="20"/>
                <w:szCs w:val="20"/>
                <w:lang w:val="en-US"/>
              </w:rPr>
              <w:t>79.05%</w:t>
            </w:r>
          </w:p>
        </w:tc>
        <w:tc>
          <w:tcPr>
            <w:tcW w:w="1276" w:type="dxa"/>
            <w:vAlign w:val="center"/>
          </w:tcPr>
          <w:p w14:paraId="18317BCE" w14:textId="77777777" w:rsidR="00BD74F5" w:rsidRPr="00B52348"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sidRPr="00B52348">
              <w:rPr>
                <w:rFonts w:cstheme="minorHAnsi"/>
                <w:color w:val="00B050"/>
                <w:sz w:val="20"/>
                <w:szCs w:val="20"/>
                <w:lang w:val="en-US"/>
              </w:rPr>
              <w:t>73.53%</w:t>
            </w:r>
          </w:p>
        </w:tc>
        <w:tc>
          <w:tcPr>
            <w:tcW w:w="2267" w:type="dxa"/>
            <w:gridSpan w:val="2"/>
          </w:tcPr>
          <w:p w14:paraId="3D67432F" w14:textId="77777777" w:rsidR="00BD74F5" w:rsidRPr="00B52348"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Pr>
                <w:rFonts w:cstheme="minorHAnsi"/>
                <w:color w:val="00B050"/>
                <w:sz w:val="20"/>
                <w:szCs w:val="20"/>
                <w:lang w:val="en-US"/>
              </w:rPr>
              <w:t>Yes</w:t>
            </w:r>
          </w:p>
        </w:tc>
        <w:tc>
          <w:tcPr>
            <w:tcW w:w="1703" w:type="dxa"/>
          </w:tcPr>
          <w:p w14:paraId="3D894880" w14:textId="77777777" w:rsidR="00BD74F5" w:rsidRPr="00B52348"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Pr>
                <w:rFonts w:cstheme="minorHAnsi"/>
                <w:color w:val="00B050"/>
                <w:sz w:val="20"/>
                <w:szCs w:val="20"/>
                <w:lang w:val="en-US"/>
              </w:rPr>
              <w:t>Yes</w:t>
            </w:r>
          </w:p>
        </w:tc>
      </w:tr>
      <w:tr w:rsidR="00BD74F5" w:rsidRPr="00F2169F" w14:paraId="70F8C8AE" w14:textId="77777777" w:rsidTr="00FC4243">
        <w:trPr>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1B9BD73C" w14:textId="77777777" w:rsidR="00BD74F5" w:rsidRPr="00E17B4A" w:rsidRDefault="00BD74F5" w:rsidP="00FC4243">
            <w:pPr>
              <w:jc w:val="center"/>
              <w:rPr>
                <w:rFonts w:cstheme="minorHAnsi"/>
                <w:sz w:val="20"/>
                <w:szCs w:val="20"/>
                <w:lang w:val="en-US"/>
              </w:rPr>
            </w:pPr>
            <w:r>
              <w:rPr>
                <w:sz w:val="20"/>
                <w:szCs w:val="20"/>
                <w:lang w:val="en-US"/>
              </w:rPr>
              <w:t>SAC</w:t>
            </w:r>
          </w:p>
        </w:tc>
        <w:tc>
          <w:tcPr>
            <w:tcW w:w="2125" w:type="dxa"/>
            <w:vAlign w:val="center"/>
          </w:tcPr>
          <w:p w14:paraId="449CD93C" w14:textId="77777777" w:rsidR="00BD74F5" w:rsidRPr="00B52348"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sidRPr="00B52348">
              <w:rPr>
                <w:rFonts w:cstheme="minorHAnsi"/>
                <w:color w:val="FF0000"/>
                <w:sz w:val="20"/>
                <w:szCs w:val="20"/>
                <w:lang w:val="en-US"/>
              </w:rPr>
              <w:t>121.91%</w:t>
            </w:r>
          </w:p>
        </w:tc>
        <w:tc>
          <w:tcPr>
            <w:tcW w:w="1276" w:type="dxa"/>
            <w:vAlign w:val="center"/>
          </w:tcPr>
          <w:p w14:paraId="5046B4BA" w14:textId="77777777" w:rsidR="00BD74F5" w:rsidRPr="00B52348"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sidRPr="00B52348">
              <w:rPr>
                <w:rFonts w:cstheme="minorHAnsi"/>
                <w:color w:val="FF0000"/>
                <w:sz w:val="20"/>
                <w:szCs w:val="20"/>
                <w:lang w:val="en-US"/>
              </w:rPr>
              <w:t>125.21%</w:t>
            </w:r>
          </w:p>
        </w:tc>
        <w:tc>
          <w:tcPr>
            <w:tcW w:w="2267" w:type="dxa"/>
            <w:gridSpan w:val="2"/>
          </w:tcPr>
          <w:p w14:paraId="43902CEB" w14:textId="77777777" w:rsidR="00BD74F5" w:rsidRPr="00B96289"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00B050"/>
                <w:sz w:val="20"/>
                <w:szCs w:val="20"/>
                <w:lang w:val="en-US"/>
              </w:rPr>
            </w:pPr>
            <w:r w:rsidRPr="00B96289">
              <w:rPr>
                <w:rFonts w:cstheme="minorHAnsi"/>
                <w:color w:val="00B050"/>
                <w:sz w:val="20"/>
                <w:szCs w:val="20"/>
                <w:lang w:val="en-US"/>
              </w:rPr>
              <w:t>Yes</w:t>
            </w:r>
          </w:p>
        </w:tc>
        <w:tc>
          <w:tcPr>
            <w:tcW w:w="1703" w:type="dxa"/>
          </w:tcPr>
          <w:p w14:paraId="0D181C0D" w14:textId="77777777" w:rsidR="00BD74F5" w:rsidRPr="00B96289"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00B050"/>
                <w:sz w:val="20"/>
                <w:szCs w:val="20"/>
                <w:lang w:val="en-US"/>
              </w:rPr>
            </w:pPr>
            <w:r w:rsidRPr="00B96289">
              <w:rPr>
                <w:rFonts w:cstheme="minorHAnsi"/>
                <w:color w:val="00B050"/>
                <w:sz w:val="20"/>
                <w:szCs w:val="20"/>
                <w:lang w:val="en-US"/>
              </w:rPr>
              <w:t>Yes</w:t>
            </w:r>
          </w:p>
        </w:tc>
      </w:tr>
      <w:tr w:rsidR="00BD74F5" w:rsidRPr="00F2169F" w14:paraId="2EC062DA" w14:textId="77777777" w:rsidTr="00FC42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1337B0A0" w14:textId="77777777" w:rsidR="00BD74F5" w:rsidRPr="00E17B4A" w:rsidRDefault="00BD74F5" w:rsidP="00FC4243">
            <w:pPr>
              <w:jc w:val="center"/>
              <w:rPr>
                <w:rFonts w:cstheme="minorHAnsi"/>
                <w:sz w:val="20"/>
                <w:szCs w:val="20"/>
                <w:lang w:val="en-US"/>
              </w:rPr>
            </w:pPr>
            <w:r>
              <w:rPr>
                <w:rFonts w:cstheme="minorHAnsi"/>
                <w:sz w:val="20"/>
                <w:szCs w:val="20"/>
                <w:lang w:val="en-US"/>
              </w:rPr>
              <w:t>IaFD</w:t>
            </w:r>
          </w:p>
        </w:tc>
        <w:tc>
          <w:tcPr>
            <w:tcW w:w="2125" w:type="dxa"/>
            <w:vAlign w:val="center"/>
          </w:tcPr>
          <w:p w14:paraId="5A7FB5E0" w14:textId="77777777" w:rsidR="00BD74F5" w:rsidRPr="00E17B4A"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Pr>
                <w:rFonts w:cstheme="minorHAnsi"/>
                <w:sz w:val="20"/>
                <w:szCs w:val="20"/>
                <w:lang w:val="en-US"/>
              </w:rPr>
              <w:t>96.65</w:t>
            </w:r>
            <w:r w:rsidRPr="00E17B4A">
              <w:rPr>
                <w:rFonts w:cstheme="minorHAnsi"/>
                <w:sz w:val="20"/>
                <w:szCs w:val="20"/>
                <w:lang w:val="en-US"/>
              </w:rPr>
              <w:t>%</w:t>
            </w:r>
          </w:p>
        </w:tc>
        <w:tc>
          <w:tcPr>
            <w:tcW w:w="1276" w:type="dxa"/>
            <w:vAlign w:val="center"/>
          </w:tcPr>
          <w:p w14:paraId="707144B7" w14:textId="77777777" w:rsidR="00BD74F5" w:rsidRPr="00E17B4A"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B52348">
              <w:rPr>
                <w:rFonts w:cstheme="minorHAnsi"/>
                <w:color w:val="00B050"/>
                <w:sz w:val="20"/>
                <w:szCs w:val="20"/>
                <w:lang w:val="en-US"/>
              </w:rPr>
              <w:t>76.47%</w:t>
            </w:r>
          </w:p>
        </w:tc>
        <w:tc>
          <w:tcPr>
            <w:tcW w:w="2267" w:type="dxa"/>
            <w:gridSpan w:val="2"/>
          </w:tcPr>
          <w:p w14:paraId="4466015D" w14:textId="77777777" w:rsidR="00BD74F5" w:rsidRPr="00B52348"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sidRPr="00B96289">
              <w:rPr>
                <w:rFonts w:cstheme="minorHAnsi"/>
                <w:color w:val="FF0000"/>
                <w:sz w:val="20"/>
                <w:szCs w:val="20"/>
                <w:lang w:val="en-US"/>
              </w:rPr>
              <w:t>No</w:t>
            </w:r>
          </w:p>
        </w:tc>
        <w:tc>
          <w:tcPr>
            <w:tcW w:w="1703" w:type="dxa"/>
          </w:tcPr>
          <w:p w14:paraId="184F2162" w14:textId="77777777" w:rsidR="00BD74F5" w:rsidRPr="00B52348"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Pr>
                <w:rFonts w:cstheme="minorHAnsi"/>
                <w:color w:val="00B050"/>
                <w:sz w:val="20"/>
                <w:szCs w:val="20"/>
                <w:lang w:val="en-US"/>
              </w:rPr>
              <w:t>Yes</w:t>
            </w:r>
          </w:p>
        </w:tc>
      </w:tr>
      <w:tr w:rsidR="00BD74F5" w:rsidRPr="00F2169F" w14:paraId="2F106FEA" w14:textId="77777777" w:rsidTr="00FC4243">
        <w:trPr>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259D0C28" w14:textId="77777777" w:rsidR="00BD74F5" w:rsidRPr="00E17B4A" w:rsidRDefault="00BD74F5" w:rsidP="00FC4243">
            <w:pPr>
              <w:jc w:val="center"/>
              <w:rPr>
                <w:rFonts w:cstheme="minorHAnsi"/>
                <w:sz w:val="20"/>
                <w:szCs w:val="20"/>
                <w:lang w:val="en-US"/>
              </w:rPr>
            </w:pPr>
            <w:r>
              <w:rPr>
                <w:sz w:val="20"/>
                <w:szCs w:val="20"/>
                <w:lang w:val="en-US"/>
              </w:rPr>
              <w:t>BAC</w:t>
            </w:r>
          </w:p>
        </w:tc>
        <w:tc>
          <w:tcPr>
            <w:tcW w:w="2125" w:type="dxa"/>
            <w:vAlign w:val="center"/>
          </w:tcPr>
          <w:p w14:paraId="14E80E89" w14:textId="77777777" w:rsidR="00BD74F5" w:rsidRPr="00E17B4A"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B52348">
              <w:rPr>
                <w:rFonts w:cstheme="minorHAnsi"/>
                <w:color w:val="000000" w:themeColor="text1"/>
                <w:sz w:val="20"/>
                <w:szCs w:val="20"/>
                <w:lang w:val="en-US"/>
              </w:rPr>
              <w:t>95.35%</w:t>
            </w:r>
          </w:p>
        </w:tc>
        <w:tc>
          <w:tcPr>
            <w:tcW w:w="1276" w:type="dxa"/>
            <w:vAlign w:val="center"/>
          </w:tcPr>
          <w:p w14:paraId="2582537F" w14:textId="77777777" w:rsidR="00BD74F5" w:rsidRPr="00E17B4A"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B52348">
              <w:rPr>
                <w:rFonts w:cstheme="minorHAnsi"/>
                <w:color w:val="FF0000"/>
                <w:sz w:val="20"/>
                <w:szCs w:val="20"/>
                <w:lang w:val="en-US"/>
              </w:rPr>
              <w:t>120.59%</w:t>
            </w:r>
          </w:p>
        </w:tc>
        <w:tc>
          <w:tcPr>
            <w:tcW w:w="2267" w:type="dxa"/>
            <w:gridSpan w:val="2"/>
          </w:tcPr>
          <w:p w14:paraId="13C9EBAF" w14:textId="77777777" w:rsidR="00BD74F5" w:rsidRPr="00B52348"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Pr>
                <w:rFonts w:cstheme="minorHAnsi"/>
                <w:color w:val="FF0000"/>
                <w:sz w:val="20"/>
                <w:szCs w:val="20"/>
                <w:lang w:val="en-US"/>
              </w:rPr>
              <w:t>No</w:t>
            </w:r>
          </w:p>
        </w:tc>
        <w:tc>
          <w:tcPr>
            <w:tcW w:w="1703" w:type="dxa"/>
          </w:tcPr>
          <w:p w14:paraId="4463430F" w14:textId="77777777" w:rsidR="00BD74F5" w:rsidRPr="00B96289"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00B050"/>
                <w:sz w:val="20"/>
                <w:szCs w:val="20"/>
                <w:lang w:val="en-US"/>
              </w:rPr>
            </w:pPr>
            <w:r w:rsidRPr="00B96289">
              <w:rPr>
                <w:rFonts w:cstheme="minorHAnsi"/>
                <w:color w:val="00B050"/>
                <w:sz w:val="20"/>
                <w:szCs w:val="20"/>
                <w:lang w:val="en-US"/>
              </w:rPr>
              <w:t>Yes</w:t>
            </w:r>
          </w:p>
        </w:tc>
      </w:tr>
      <w:tr w:rsidR="00BD74F5" w:rsidRPr="00F2169F" w14:paraId="74FAC896" w14:textId="77777777" w:rsidTr="00FC42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24A23934" w14:textId="77777777" w:rsidR="00BD74F5" w:rsidRPr="00E17B4A" w:rsidRDefault="00BD74F5" w:rsidP="00FC4243">
            <w:pPr>
              <w:jc w:val="center"/>
              <w:rPr>
                <w:rFonts w:cstheme="minorHAnsi"/>
                <w:sz w:val="20"/>
                <w:szCs w:val="20"/>
                <w:lang w:val="en-US"/>
              </w:rPr>
            </w:pPr>
            <w:r>
              <w:rPr>
                <w:rFonts w:cstheme="minorHAnsi"/>
                <w:sz w:val="20"/>
                <w:szCs w:val="20"/>
                <w:lang w:val="en-US"/>
              </w:rPr>
              <w:t>FDAC</w:t>
            </w:r>
          </w:p>
        </w:tc>
        <w:tc>
          <w:tcPr>
            <w:tcW w:w="2125" w:type="dxa"/>
            <w:vAlign w:val="center"/>
          </w:tcPr>
          <w:p w14:paraId="7E794785" w14:textId="77777777" w:rsidR="00BD74F5" w:rsidRPr="00E17B4A"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Pr>
                <w:rFonts w:cstheme="minorHAnsi"/>
                <w:color w:val="FF0000"/>
                <w:sz w:val="20"/>
                <w:szCs w:val="20"/>
                <w:lang w:val="en-US"/>
              </w:rPr>
              <w:t>111.75</w:t>
            </w:r>
            <w:r w:rsidRPr="00E17B4A">
              <w:rPr>
                <w:rFonts w:cstheme="minorHAnsi"/>
                <w:color w:val="FF0000"/>
                <w:sz w:val="20"/>
                <w:szCs w:val="20"/>
                <w:lang w:val="en-US"/>
              </w:rPr>
              <w:t>%</w:t>
            </w:r>
          </w:p>
        </w:tc>
        <w:tc>
          <w:tcPr>
            <w:tcW w:w="1276" w:type="dxa"/>
            <w:vAlign w:val="center"/>
          </w:tcPr>
          <w:p w14:paraId="0DB9AC09" w14:textId="77777777" w:rsidR="00BD74F5" w:rsidRPr="00E17B4A"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Pr>
                <w:rFonts w:cstheme="minorHAnsi"/>
                <w:color w:val="FF0000"/>
                <w:sz w:val="20"/>
                <w:szCs w:val="20"/>
                <w:lang w:val="en-US"/>
              </w:rPr>
              <w:t>117.65</w:t>
            </w:r>
            <w:r w:rsidRPr="00E17B4A">
              <w:rPr>
                <w:rFonts w:cstheme="minorHAnsi"/>
                <w:color w:val="FF0000"/>
                <w:sz w:val="20"/>
                <w:szCs w:val="20"/>
                <w:lang w:val="en-US"/>
              </w:rPr>
              <w:t>%</w:t>
            </w:r>
          </w:p>
        </w:tc>
        <w:tc>
          <w:tcPr>
            <w:tcW w:w="2267" w:type="dxa"/>
            <w:gridSpan w:val="2"/>
          </w:tcPr>
          <w:p w14:paraId="27098C58" w14:textId="77777777" w:rsidR="00BD74F5" w:rsidRPr="00B96289"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sidRPr="00B96289">
              <w:rPr>
                <w:rFonts w:cstheme="minorHAnsi"/>
                <w:color w:val="00B050"/>
                <w:sz w:val="20"/>
                <w:szCs w:val="20"/>
                <w:lang w:val="en-US"/>
              </w:rPr>
              <w:t>Yes</w:t>
            </w:r>
          </w:p>
        </w:tc>
        <w:tc>
          <w:tcPr>
            <w:tcW w:w="1703" w:type="dxa"/>
          </w:tcPr>
          <w:p w14:paraId="3459D2DA" w14:textId="77777777" w:rsidR="00BD74F5" w:rsidRPr="00B96289"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sidRPr="00B96289">
              <w:rPr>
                <w:rFonts w:cstheme="minorHAnsi"/>
                <w:color w:val="00B050"/>
                <w:sz w:val="20"/>
                <w:szCs w:val="20"/>
                <w:lang w:val="en-US"/>
              </w:rPr>
              <w:t>Yes</w:t>
            </w:r>
          </w:p>
        </w:tc>
      </w:tr>
      <w:tr w:rsidR="00BD74F5" w:rsidRPr="00F2169F" w14:paraId="1FC9D6A0" w14:textId="77777777" w:rsidTr="00FC4243">
        <w:trPr>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53EE2910" w14:textId="77777777" w:rsidR="00BD74F5" w:rsidRPr="00E17B4A" w:rsidRDefault="00BD74F5" w:rsidP="00FC4243">
            <w:pPr>
              <w:jc w:val="center"/>
              <w:rPr>
                <w:rFonts w:cstheme="minorHAnsi"/>
                <w:sz w:val="20"/>
                <w:szCs w:val="20"/>
                <w:lang w:val="en-US"/>
              </w:rPr>
            </w:pPr>
            <w:r>
              <w:rPr>
                <w:rFonts w:cstheme="minorHAnsi"/>
                <w:sz w:val="20"/>
                <w:szCs w:val="20"/>
                <w:lang w:val="en-US"/>
              </w:rPr>
              <w:t>IAFDAC</w:t>
            </w:r>
          </w:p>
        </w:tc>
        <w:tc>
          <w:tcPr>
            <w:tcW w:w="2125" w:type="dxa"/>
            <w:vAlign w:val="center"/>
          </w:tcPr>
          <w:p w14:paraId="72AA2D57" w14:textId="77777777" w:rsidR="00BD74F5" w:rsidRPr="00E17B4A"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Pr>
                <w:rFonts w:cstheme="minorHAnsi"/>
                <w:color w:val="FF0000"/>
                <w:sz w:val="20"/>
                <w:szCs w:val="20"/>
                <w:lang w:val="en-US"/>
              </w:rPr>
              <w:t>116.10</w:t>
            </w:r>
            <w:r w:rsidRPr="00E17B4A">
              <w:rPr>
                <w:rFonts w:cstheme="minorHAnsi"/>
                <w:color w:val="FF0000"/>
                <w:sz w:val="20"/>
                <w:szCs w:val="20"/>
                <w:lang w:val="en-US"/>
              </w:rPr>
              <w:t>%</w:t>
            </w:r>
          </w:p>
        </w:tc>
        <w:tc>
          <w:tcPr>
            <w:tcW w:w="1276" w:type="dxa"/>
            <w:vAlign w:val="center"/>
          </w:tcPr>
          <w:p w14:paraId="059A5D58" w14:textId="77777777" w:rsidR="00BD74F5" w:rsidRPr="00E17B4A"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Pr>
                <w:rFonts w:cstheme="minorHAnsi"/>
                <w:color w:val="FF0000"/>
                <w:sz w:val="20"/>
                <w:szCs w:val="20"/>
                <w:lang w:val="en-US"/>
              </w:rPr>
              <w:t>111.76</w:t>
            </w:r>
            <w:r w:rsidRPr="00E17B4A">
              <w:rPr>
                <w:rFonts w:cstheme="minorHAnsi"/>
                <w:color w:val="FF0000"/>
                <w:sz w:val="20"/>
                <w:szCs w:val="20"/>
                <w:lang w:val="en-US"/>
              </w:rPr>
              <w:t>%</w:t>
            </w:r>
          </w:p>
        </w:tc>
        <w:tc>
          <w:tcPr>
            <w:tcW w:w="2267" w:type="dxa"/>
            <w:gridSpan w:val="2"/>
          </w:tcPr>
          <w:p w14:paraId="0DFB9A77" w14:textId="77777777" w:rsidR="00BD74F5"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Pr>
                <w:rFonts w:cstheme="minorHAnsi"/>
                <w:color w:val="FF0000"/>
                <w:sz w:val="20"/>
                <w:szCs w:val="20"/>
                <w:lang w:val="en-US"/>
              </w:rPr>
              <w:t>No</w:t>
            </w:r>
          </w:p>
        </w:tc>
        <w:tc>
          <w:tcPr>
            <w:tcW w:w="1703" w:type="dxa"/>
          </w:tcPr>
          <w:p w14:paraId="08618221" w14:textId="77777777" w:rsidR="00BD74F5"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Pr>
                <w:rFonts w:cstheme="minorHAnsi"/>
                <w:color w:val="FF0000"/>
                <w:sz w:val="20"/>
                <w:szCs w:val="20"/>
                <w:lang w:val="en-US"/>
              </w:rPr>
              <w:t>No</w:t>
            </w:r>
          </w:p>
        </w:tc>
      </w:tr>
      <w:tr w:rsidR="00BD74F5" w:rsidRPr="000830AB" w14:paraId="11495A50" w14:textId="77777777" w:rsidTr="00FC42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1D3B792A" w14:textId="77777777" w:rsidR="00BD74F5" w:rsidRPr="00E17B4A" w:rsidRDefault="00BD74F5" w:rsidP="00FC4243">
            <w:pPr>
              <w:jc w:val="center"/>
              <w:rPr>
                <w:rFonts w:cstheme="minorHAnsi"/>
                <w:sz w:val="20"/>
                <w:szCs w:val="20"/>
                <w:lang w:val="en-US"/>
              </w:rPr>
            </w:pPr>
          </w:p>
        </w:tc>
        <w:tc>
          <w:tcPr>
            <w:tcW w:w="7371" w:type="dxa"/>
            <w:gridSpan w:val="5"/>
            <w:vAlign w:val="center"/>
          </w:tcPr>
          <w:p w14:paraId="0DA40D36" w14:textId="77777777" w:rsidR="00BD74F5"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Pr>
                <w:rFonts w:cstheme="minorHAnsi"/>
                <w:sz w:val="20"/>
                <w:szCs w:val="20"/>
                <w:lang w:val="en-US"/>
              </w:rPr>
              <w:t xml:space="preserve">Internal carotid artery + Posterior communicating artery </w:t>
            </w:r>
            <w:r w:rsidRPr="00E17B4A">
              <w:rPr>
                <w:rFonts w:cstheme="minorHAnsi"/>
                <w:sz w:val="20"/>
                <w:szCs w:val="20"/>
                <w:lang w:val="en-US"/>
              </w:rPr>
              <w:t>with fusiform aneurysm</w:t>
            </w:r>
          </w:p>
          <w:p w14:paraId="699B98FF" w14:textId="77777777" w:rsidR="00BD74F5"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Pr>
                <w:rFonts w:cstheme="minorHAnsi"/>
                <w:sz w:val="20"/>
                <w:szCs w:val="20"/>
                <w:lang w:val="en-US"/>
              </w:rPr>
              <w:t>n = 427</w:t>
            </w:r>
          </w:p>
        </w:tc>
      </w:tr>
      <w:tr w:rsidR="00BD74F5" w:rsidRPr="00F2169F" w14:paraId="101A9493" w14:textId="77777777" w:rsidTr="00FC4243">
        <w:trPr>
          <w:trHeight w:val="351"/>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461A6336" w14:textId="77777777" w:rsidR="00BD74F5" w:rsidRPr="00E17B4A" w:rsidRDefault="00BD74F5" w:rsidP="00FC4243">
            <w:pPr>
              <w:jc w:val="center"/>
              <w:rPr>
                <w:rFonts w:cstheme="minorHAnsi"/>
                <w:sz w:val="20"/>
                <w:szCs w:val="20"/>
                <w:lang w:val="en-US"/>
              </w:rPr>
            </w:pPr>
            <w:r>
              <w:rPr>
                <w:rFonts w:cstheme="minorHAnsi"/>
                <w:sz w:val="20"/>
                <w:szCs w:val="20"/>
                <w:lang w:val="en-US"/>
              </w:rPr>
              <w:t>CE</w:t>
            </w:r>
          </w:p>
        </w:tc>
        <w:tc>
          <w:tcPr>
            <w:tcW w:w="2125" w:type="dxa"/>
            <w:vAlign w:val="center"/>
          </w:tcPr>
          <w:p w14:paraId="7D5CF8A3" w14:textId="77777777" w:rsidR="00BD74F5" w:rsidRPr="00E17B4A"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E17B4A">
              <w:rPr>
                <w:rFonts w:cstheme="minorHAnsi"/>
                <w:sz w:val="20"/>
                <w:szCs w:val="20"/>
                <w:lang w:val="en-US"/>
              </w:rPr>
              <w:t>100%</w:t>
            </w:r>
          </w:p>
        </w:tc>
        <w:tc>
          <w:tcPr>
            <w:tcW w:w="1276" w:type="dxa"/>
            <w:vAlign w:val="center"/>
          </w:tcPr>
          <w:p w14:paraId="72BB863D" w14:textId="77777777" w:rsidR="00BD74F5" w:rsidRPr="00E17B4A"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E17B4A">
              <w:rPr>
                <w:rFonts w:cstheme="minorHAnsi"/>
                <w:sz w:val="20"/>
                <w:szCs w:val="20"/>
                <w:lang w:val="en-US"/>
              </w:rPr>
              <w:t>100%</w:t>
            </w:r>
          </w:p>
        </w:tc>
        <w:tc>
          <w:tcPr>
            <w:tcW w:w="2267" w:type="dxa"/>
            <w:gridSpan w:val="2"/>
          </w:tcPr>
          <w:p w14:paraId="1F19CA46" w14:textId="77777777" w:rsidR="00BD74F5" w:rsidRPr="00E17B4A"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Pr>
                <w:rFonts w:cstheme="minorHAnsi"/>
                <w:sz w:val="20"/>
                <w:szCs w:val="20"/>
                <w:lang w:val="en-US"/>
              </w:rPr>
              <w:t>N/A</w:t>
            </w:r>
          </w:p>
        </w:tc>
        <w:tc>
          <w:tcPr>
            <w:tcW w:w="1703" w:type="dxa"/>
          </w:tcPr>
          <w:p w14:paraId="3B719980" w14:textId="77777777" w:rsidR="00BD74F5" w:rsidRPr="00E17B4A"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Pr>
                <w:rFonts w:cstheme="minorHAnsi"/>
                <w:sz w:val="20"/>
                <w:szCs w:val="20"/>
                <w:lang w:val="en-US"/>
              </w:rPr>
              <w:t>N/A</w:t>
            </w:r>
          </w:p>
        </w:tc>
      </w:tr>
      <w:tr w:rsidR="00BD74F5" w:rsidRPr="00F2169F" w14:paraId="2FFA43BF" w14:textId="77777777" w:rsidTr="00FC4243">
        <w:trPr>
          <w:cnfStyle w:val="000000100000" w:firstRow="0" w:lastRow="0" w:firstColumn="0" w:lastColumn="0" w:oddVBand="0" w:evenVBand="0" w:oddHBand="1" w:evenHBand="0" w:firstRowFirstColumn="0" w:firstRowLastColumn="0" w:lastRowFirstColumn="0" w:lastRowLastColumn="0"/>
          <w:trHeight w:val="351"/>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66C29368" w14:textId="77777777" w:rsidR="00BD74F5" w:rsidRPr="00E17B4A" w:rsidRDefault="00BD74F5" w:rsidP="00FC4243">
            <w:pPr>
              <w:jc w:val="center"/>
              <w:rPr>
                <w:rFonts w:cstheme="minorHAnsi"/>
                <w:sz w:val="20"/>
                <w:szCs w:val="20"/>
                <w:lang w:val="en-US"/>
              </w:rPr>
            </w:pPr>
            <w:r w:rsidRPr="00E17B4A">
              <w:rPr>
                <w:rFonts w:cstheme="minorHAnsi"/>
                <w:sz w:val="20"/>
                <w:szCs w:val="20"/>
                <w:lang w:val="en-US"/>
              </w:rPr>
              <w:t>FD</w:t>
            </w:r>
          </w:p>
        </w:tc>
        <w:tc>
          <w:tcPr>
            <w:tcW w:w="2125" w:type="dxa"/>
            <w:vAlign w:val="center"/>
          </w:tcPr>
          <w:p w14:paraId="519DEBF9" w14:textId="793422EC" w:rsidR="00BD74F5" w:rsidRPr="00E17B4A"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Pr>
                <w:rFonts w:cstheme="minorHAnsi"/>
                <w:sz w:val="20"/>
                <w:szCs w:val="20"/>
                <w:lang w:val="en-US"/>
              </w:rPr>
              <w:t>103</w:t>
            </w:r>
            <w:r w:rsidR="005E1A1C">
              <w:rPr>
                <w:rFonts w:cstheme="minorHAnsi"/>
                <w:sz w:val="20"/>
                <w:szCs w:val="20"/>
                <w:lang w:val="en-US"/>
              </w:rPr>
              <w:t>.</w:t>
            </w:r>
            <w:r>
              <w:rPr>
                <w:rFonts w:cstheme="minorHAnsi"/>
                <w:sz w:val="20"/>
                <w:szCs w:val="20"/>
                <w:lang w:val="en-US"/>
              </w:rPr>
              <w:t>71</w:t>
            </w:r>
            <w:r w:rsidRPr="00E17B4A">
              <w:rPr>
                <w:rFonts w:cstheme="minorHAnsi"/>
                <w:sz w:val="20"/>
                <w:szCs w:val="20"/>
                <w:lang w:val="en-US"/>
              </w:rPr>
              <w:t>%</w:t>
            </w:r>
          </w:p>
        </w:tc>
        <w:tc>
          <w:tcPr>
            <w:tcW w:w="1276" w:type="dxa"/>
            <w:vAlign w:val="center"/>
          </w:tcPr>
          <w:p w14:paraId="32729E94" w14:textId="2AD08F98" w:rsidR="00BD74F5" w:rsidRPr="00E17B4A"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42032F">
              <w:rPr>
                <w:rFonts w:cstheme="minorHAnsi"/>
                <w:color w:val="00B050"/>
                <w:sz w:val="20"/>
                <w:szCs w:val="20"/>
                <w:lang w:val="en-US"/>
              </w:rPr>
              <w:t>87</w:t>
            </w:r>
            <w:r w:rsidR="005E1A1C">
              <w:rPr>
                <w:rFonts w:cstheme="minorHAnsi"/>
                <w:color w:val="00B050"/>
                <w:sz w:val="20"/>
                <w:szCs w:val="20"/>
                <w:lang w:val="en-US"/>
              </w:rPr>
              <w:t>.</w:t>
            </w:r>
            <w:r w:rsidRPr="0042032F">
              <w:rPr>
                <w:rFonts w:cstheme="minorHAnsi"/>
                <w:color w:val="00B050"/>
                <w:sz w:val="20"/>
                <w:szCs w:val="20"/>
                <w:lang w:val="en-US"/>
              </w:rPr>
              <w:t>67%</w:t>
            </w:r>
          </w:p>
        </w:tc>
        <w:tc>
          <w:tcPr>
            <w:tcW w:w="2267" w:type="dxa"/>
            <w:gridSpan w:val="2"/>
          </w:tcPr>
          <w:p w14:paraId="723A558D" w14:textId="77777777" w:rsidR="00BD74F5" w:rsidRPr="00B96289"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sidRPr="00B96289">
              <w:rPr>
                <w:rFonts w:cstheme="minorHAnsi"/>
                <w:color w:val="FF0000"/>
                <w:sz w:val="20"/>
                <w:szCs w:val="20"/>
                <w:lang w:val="en-US"/>
              </w:rPr>
              <w:t>No</w:t>
            </w:r>
          </w:p>
        </w:tc>
        <w:tc>
          <w:tcPr>
            <w:tcW w:w="1703" w:type="dxa"/>
          </w:tcPr>
          <w:p w14:paraId="42F0EE7F" w14:textId="77777777" w:rsidR="00BD74F5" w:rsidRPr="00B96289"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sidRPr="00B96289">
              <w:rPr>
                <w:rFonts w:cstheme="minorHAnsi"/>
                <w:color w:val="FF0000"/>
                <w:sz w:val="20"/>
                <w:szCs w:val="20"/>
                <w:lang w:val="en-US"/>
              </w:rPr>
              <w:t>No</w:t>
            </w:r>
          </w:p>
        </w:tc>
      </w:tr>
      <w:tr w:rsidR="00BD74F5" w:rsidRPr="00F2169F" w14:paraId="5FC015F4" w14:textId="77777777" w:rsidTr="00FC4243">
        <w:trPr>
          <w:trHeight w:val="351"/>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2F05C669" w14:textId="77777777" w:rsidR="00BD74F5" w:rsidRPr="00E17B4A" w:rsidRDefault="00BD74F5" w:rsidP="00FC4243">
            <w:pPr>
              <w:jc w:val="center"/>
              <w:rPr>
                <w:rFonts w:cstheme="minorHAnsi"/>
                <w:sz w:val="20"/>
                <w:szCs w:val="20"/>
                <w:lang w:val="en-US"/>
              </w:rPr>
            </w:pPr>
            <w:r>
              <w:rPr>
                <w:sz w:val="20"/>
                <w:szCs w:val="20"/>
                <w:lang w:val="en-US"/>
              </w:rPr>
              <w:t>SAC</w:t>
            </w:r>
          </w:p>
        </w:tc>
        <w:tc>
          <w:tcPr>
            <w:tcW w:w="2125" w:type="dxa"/>
            <w:vAlign w:val="center"/>
          </w:tcPr>
          <w:p w14:paraId="0B9983B0" w14:textId="06A792BE" w:rsidR="00BD74F5" w:rsidRPr="00E17B4A"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42032F">
              <w:rPr>
                <w:rFonts w:cstheme="minorHAnsi"/>
                <w:color w:val="00B050"/>
                <w:sz w:val="20"/>
                <w:szCs w:val="20"/>
                <w:lang w:val="en-US"/>
              </w:rPr>
              <w:t>90</w:t>
            </w:r>
            <w:r w:rsidR="005E1A1C">
              <w:rPr>
                <w:rFonts w:cstheme="minorHAnsi"/>
                <w:color w:val="00B050"/>
                <w:sz w:val="20"/>
                <w:szCs w:val="20"/>
                <w:lang w:val="en-US"/>
              </w:rPr>
              <w:t>.</w:t>
            </w:r>
            <w:r w:rsidRPr="0042032F">
              <w:rPr>
                <w:rFonts w:cstheme="minorHAnsi"/>
                <w:color w:val="00B050"/>
                <w:sz w:val="20"/>
                <w:szCs w:val="20"/>
                <w:lang w:val="en-US"/>
              </w:rPr>
              <w:t>07%</w:t>
            </w:r>
          </w:p>
        </w:tc>
        <w:tc>
          <w:tcPr>
            <w:tcW w:w="1276" w:type="dxa"/>
            <w:vAlign w:val="center"/>
          </w:tcPr>
          <w:p w14:paraId="1B5DACBD" w14:textId="719A1975" w:rsidR="00BD74F5" w:rsidRPr="00E17B4A"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Pr>
                <w:rFonts w:cstheme="minorHAnsi"/>
                <w:color w:val="FF0000"/>
                <w:sz w:val="20"/>
                <w:szCs w:val="20"/>
                <w:lang w:val="en-US"/>
              </w:rPr>
              <w:t>220</w:t>
            </w:r>
            <w:r w:rsidR="005E1A1C">
              <w:rPr>
                <w:rFonts w:cstheme="minorHAnsi"/>
                <w:color w:val="FF0000"/>
                <w:sz w:val="20"/>
                <w:szCs w:val="20"/>
                <w:lang w:val="en-US"/>
              </w:rPr>
              <w:t>.</w:t>
            </w:r>
            <w:r>
              <w:rPr>
                <w:rFonts w:cstheme="minorHAnsi"/>
                <w:color w:val="FF0000"/>
                <w:sz w:val="20"/>
                <w:szCs w:val="20"/>
                <w:lang w:val="en-US"/>
              </w:rPr>
              <w:t>55</w:t>
            </w:r>
            <w:r w:rsidRPr="00E17B4A">
              <w:rPr>
                <w:rFonts w:cstheme="minorHAnsi"/>
                <w:color w:val="FF0000"/>
                <w:sz w:val="20"/>
                <w:szCs w:val="20"/>
                <w:lang w:val="en-US"/>
              </w:rPr>
              <w:t>%</w:t>
            </w:r>
          </w:p>
        </w:tc>
        <w:tc>
          <w:tcPr>
            <w:tcW w:w="2267" w:type="dxa"/>
            <w:gridSpan w:val="2"/>
          </w:tcPr>
          <w:p w14:paraId="73B8922B" w14:textId="77777777" w:rsidR="00BD74F5"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Pr>
                <w:rFonts w:cstheme="minorHAnsi"/>
                <w:color w:val="FF0000"/>
                <w:sz w:val="20"/>
                <w:szCs w:val="20"/>
                <w:lang w:val="en-US"/>
              </w:rPr>
              <w:t>No</w:t>
            </w:r>
          </w:p>
        </w:tc>
        <w:tc>
          <w:tcPr>
            <w:tcW w:w="1703" w:type="dxa"/>
          </w:tcPr>
          <w:p w14:paraId="0ACC6EB7" w14:textId="77777777" w:rsidR="00BD74F5"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sidRPr="00B96289">
              <w:rPr>
                <w:rFonts w:cstheme="minorHAnsi"/>
                <w:color w:val="00B050"/>
                <w:sz w:val="20"/>
                <w:szCs w:val="20"/>
                <w:lang w:val="en-US"/>
              </w:rPr>
              <w:t>Yes</w:t>
            </w:r>
          </w:p>
        </w:tc>
      </w:tr>
      <w:tr w:rsidR="00BD74F5" w:rsidRPr="00F2169F" w14:paraId="3BB53D2C" w14:textId="77777777" w:rsidTr="00FC42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671729AC" w14:textId="77777777" w:rsidR="00BD74F5" w:rsidRPr="00E17B4A" w:rsidRDefault="00BD74F5" w:rsidP="00FC4243">
            <w:pPr>
              <w:jc w:val="center"/>
              <w:rPr>
                <w:rFonts w:cstheme="minorHAnsi"/>
                <w:sz w:val="20"/>
                <w:szCs w:val="20"/>
                <w:lang w:val="en-US"/>
              </w:rPr>
            </w:pPr>
            <w:r w:rsidRPr="00E17B4A">
              <w:rPr>
                <w:rFonts w:cstheme="minorHAnsi"/>
                <w:sz w:val="20"/>
                <w:szCs w:val="20"/>
                <w:lang w:val="en-US"/>
              </w:rPr>
              <w:t>IaFD</w:t>
            </w:r>
          </w:p>
        </w:tc>
        <w:tc>
          <w:tcPr>
            <w:tcW w:w="2125" w:type="dxa"/>
            <w:vAlign w:val="center"/>
          </w:tcPr>
          <w:p w14:paraId="7EA6AB3C" w14:textId="18E53178" w:rsidR="00BD74F5" w:rsidRPr="00E17B4A"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472B77">
              <w:rPr>
                <w:rFonts w:cstheme="minorHAnsi"/>
                <w:color w:val="FF0000"/>
                <w:sz w:val="20"/>
                <w:szCs w:val="20"/>
                <w:lang w:val="en-US"/>
              </w:rPr>
              <w:t>117</w:t>
            </w:r>
            <w:r w:rsidR="005E1A1C">
              <w:rPr>
                <w:rFonts w:cstheme="minorHAnsi"/>
                <w:color w:val="FF0000"/>
                <w:sz w:val="20"/>
                <w:szCs w:val="20"/>
                <w:lang w:val="en-US"/>
              </w:rPr>
              <w:t>.</w:t>
            </w:r>
            <w:r w:rsidRPr="00472B77">
              <w:rPr>
                <w:rFonts w:cstheme="minorHAnsi"/>
                <w:color w:val="FF0000"/>
                <w:sz w:val="20"/>
                <w:szCs w:val="20"/>
                <w:lang w:val="en-US"/>
              </w:rPr>
              <w:t>84%</w:t>
            </w:r>
          </w:p>
        </w:tc>
        <w:tc>
          <w:tcPr>
            <w:tcW w:w="1276" w:type="dxa"/>
            <w:vAlign w:val="center"/>
          </w:tcPr>
          <w:p w14:paraId="5B041162" w14:textId="55691807" w:rsidR="00BD74F5" w:rsidRPr="00E17B4A"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472B77">
              <w:rPr>
                <w:rFonts w:cstheme="minorHAnsi"/>
                <w:color w:val="000000" w:themeColor="text1"/>
                <w:sz w:val="20"/>
                <w:szCs w:val="20"/>
                <w:lang w:val="en-US"/>
              </w:rPr>
              <w:t>98</w:t>
            </w:r>
            <w:r w:rsidR="005E1A1C">
              <w:rPr>
                <w:rFonts w:cstheme="minorHAnsi"/>
                <w:color w:val="000000" w:themeColor="text1"/>
                <w:sz w:val="20"/>
                <w:szCs w:val="20"/>
                <w:lang w:val="en-US"/>
              </w:rPr>
              <w:t>.</w:t>
            </w:r>
            <w:r w:rsidRPr="00472B77">
              <w:rPr>
                <w:rFonts w:cstheme="minorHAnsi"/>
                <w:color w:val="000000" w:themeColor="text1"/>
                <w:sz w:val="20"/>
                <w:szCs w:val="20"/>
                <w:lang w:val="en-US"/>
              </w:rPr>
              <w:t>63%</w:t>
            </w:r>
          </w:p>
        </w:tc>
        <w:tc>
          <w:tcPr>
            <w:tcW w:w="2267" w:type="dxa"/>
            <w:gridSpan w:val="2"/>
          </w:tcPr>
          <w:p w14:paraId="461BCEB8" w14:textId="77777777" w:rsidR="00BD74F5" w:rsidRPr="00B96289"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sidRPr="00B96289">
              <w:rPr>
                <w:rFonts w:cstheme="minorHAnsi"/>
                <w:color w:val="FF0000"/>
                <w:sz w:val="20"/>
                <w:szCs w:val="20"/>
                <w:lang w:val="en-US"/>
              </w:rPr>
              <w:t>No</w:t>
            </w:r>
          </w:p>
        </w:tc>
        <w:tc>
          <w:tcPr>
            <w:tcW w:w="1703" w:type="dxa"/>
          </w:tcPr>
          <w:p w14:paraId="33D634D2" w14:textId="77777777" w:rsidR="00BD74F5" w:rsidRPr="00B96289"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sidRPr="00B96289">
              <w:rPr>
                <w:rFonts w:cstheme="minorHAnsi"/>
                <w:color w:val="FF0000"/>
                <w:sz w:val="20"/>
                <w:szCs w:val="20"/>
                <w:lang w:val="en-US"/>
              </w:rPr>
              <w:t>No</w:t>
            </w:r>
          </w:p>
        </w:tc>
      </w:tr>
      <w:tr w:rsidR="00BD74F5" w:rsidRPr="00F2169F" w14:paraId="59468FDB" w14:textId="77777777" w:rsidTr="00FC4243">
        <w:trPr>
          <w:trHeight w:val="351"/>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32F89581" w14:textId="77777777" w:rsidR="00BD74F5" w:rsidRPr="00E17B4A" w:rsidRDefault="00BD74F5" w:rsidP="00FC4243">
            <w:pPr>
              <w:jc w:val="center"/>
              <w:rPr>
                <w:rFonts w:cstheme="minorHAnsi"/>
                <w:sz w:val="20"/>
                <w:szCs w:val="20"/>
                <w:lang w:val="en-US"/>
              </w:rPr>
            </w:pPr>
            <w:r>
              <w:rPr>
                <w:sz w:val="20"/>
                <w:szCs w:val="20"/>
                <w:lang w:val="en-US"/>
              </w:rPr>
              <w:t>BAC</w:t>
            </w:r>
          </w:p>
        </w:tc>
        <w:tc>
          <w:tcPr>
            <w:tcW w:w="2125" w:type="dxa"/>
            <w:vAlign w:val="center"/>
          </w:tcPr>
          <w:p w14:paraId="058C4B83" w14:textId="0CF54DDF" w:rsidR="00BD74F5" w:rsidRPr="00E17B4A"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Pr>
                <w:rFonts w:cstheme="minorHAnsi"/>
                <w:color w:val="00B050"/>
                <w:sz w:val="20"/>
                <w:szCs w:val="20"/>
                <w:lang w:val="en-US"/>
              </w:rPr>
              <w:t>32</w:t>
            </w:r>
            <w:r w:rsidR="005E1A1C">
              <w:rPr>
                <w:rFonts w:cstheme="minorHAnsi"/>
                <w:color w:val="00B050"/>
                <w:sz w:val="20"/>
                <w:szCs w:val="20"/>
                <w:lang w:val="en-US"/>
              </w:rPr>
              <w:t>.</w:t>
            </w:r>
            <w:r>
              <w:rPr>
                <w:rFonts w:cstheme="minorHAnsi"/>
                <w:color w:val="00B050"/>
                <w:sz w:val="20"/>
                <w:szCs w:val="20"/>
                <w:lang w:val="en-US"/>
              </w:rPr>
              <w:t>07</w:t>
            </w:r>
            <w:r w:rsidRPr="00E17B4A">
              <w:rPr>
                <w:rFonts w:cstheme="minorHAnsi"/>
                <w:color w:val="00B050"/>
                <w:sz w:val="20"/>
                <w:szCs w:val="20"/>
                <w:lang w:val="en-US"/>
              </w:rPr>
              <w:t>%</w:t>
            </w:r>
          </w:p>
        </w:tc>
        <w:tc>
          <w:tcPr>
            <w:tcW w:w="1276" w:type="dxa"/>
            <w:vAlign w:val="center"/>
          </w:tcPr>
          <w:p w14:paraId="7239854D" w14:textId="0F75E92D" w:rsidR="00BD74F5" w:rsidRPr="00E17B4A"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Pr>
                <w:rFonts w:cstheme="minorHAnsi"/>
                <w:color w:val="FF0000"/>
                <w:sz w:val="20"/>
                <w:szCs w:val="20"/>
                <w:lang w:val="en-US"/>
              </w:rPr>
              <w:t>168</w:t>
            </w:r>
            <w:r w:rsidR="005E1A1C">
              <w:rPr>
                <w:rFonts w:cstheme="minorHAnsi"/>
                <w:color w:val="FF0000"/>
                <w:sz w:val="20"/>
                <w:szCs w:val="20"/>
                <w:lang w:val="en-US"/>
              </w:rPr>
              <w:t>.</w:t>
            </w:r>
            <w:r>
              <w:rPr>
                <w:rFonts w:cstheme="minorHAnsi"/>
                <w:color w:val="FF0000"/>
                <w:sz w:val="20"/>
                <w:szCs w:val="20"/>
                <w:lang w:val="en-US"/>
              </w:rPr>
              <w:t>49</w:t>
            </w:r>
            <w:r w:rsidRPr="00E17B4A">
              <w:rPr>
                <w:rFonts w:cstheme="minorHAnsi"/>
                <w:color w:val="FF0000"/>
                <w:sz w:val="20"/>
                <w:szCs w:val="20"/>
                <w:lang w:val="en-US"/>
              </w:rPr>
              <w:t>%</w:t>
            </w:r>
          </w:p>
        </w:tc>
        <w:tc>
          <w:tcPr>
            <w:tcW w:w="2267" w:type="dxa"/>
            <w:gridSpan w:val="2"/>
          </w:tcPr>
          <w:p w14:paraId="23BBDB54" w14:textId="77777777" w:rsidR="00BD74F5"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sidRPr="00B96289">
              <w:rPr>
                <w:rFonts w:cstheme="minorHAnsi"/>
                <w:color w:val="00B050"/>
                <w:sz w:val="20"/>
                <w:szCs w:val="20"/>
                <w:lang w:val="en-US"/>
              </w:rPr>
              <w:t>Yes</w:t>
            </w:r>
          </w:p>
        </w:tc>
        <w:tc>
          <w:tcPr>
            <w:tcW w:w="1703" w:type="dxa"/>
          </w:tcPr>
          <w:p w14:paraId="78D9DED5" w14:textId="77777777" w:rsidR="00BD74F5"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sidRPr="00B96289">
              <w:rPr>
                <w:rFonts w:cstheme="minorHAnsi"/>
                <w:color w:val="00B050"/>
                <w:sz w:val="20"/>
                <w:szCs w:val="20"/>
                <w:lang w:val="en-US"/>
              </w:rPr>
              <w:t>Yes</w:t>
            </w:r>
          </w:p>
        </w:tc>
      </w:tr>
      <w:tr w:rsidR="00BD74F5" w:rsidRPr="00F2169F" w14:paraId="47FD08AD" w14:textId="77777777" w:rsidTr="00FC4243">
        <w:trPr>
          <w:cnfStyle w:val="000000100000" w:firstRow="0" w:lastRow="0" w:firstColumn="0" w:lastColumn="0" w:oddVBand="0" w:evenVBand="0" w:oddHBand="1" w:evenHBand="0" w:firstRowFirstColumn="0" w:firstRowLastColumn="0" w:lastRowFirstColumn="0" w:lastRowLastColumn="0"/>
          <w:trHeight w:val="351"/>
          <w:jc w:val="center"/>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0309B5C7" w14:textId="77777777" w:rsidR="00BD74F5" w:rsidRPr="00E17B4A" w:rsidRDefault="00BD74F5" w:rsidP="00FC4243">
            <w:pPr>
              <w:jc w:val="center"/>
              <w:rPr>
                <w:rFonts w:cstheme="minorHAnsi"/>
                <w:sz w:val="20"/>
                <w:szCs w:val="20"/>
                <w:lang w:val="en-US"/>
              </w:rPr>
            </w:pPr>
            <w:r>
              <w:rPr>
                <w:rFonts w:cstheme="minorHAnsi"/>
                <w:sz w:val="20"/>
                <w:szCs w:val="20"/>
                <w:lang w:val="en-US"/>
              </w:rPr>
              <w:t>FDAC</w:t>
            </w:r>
          </w:p>
        </w:tc>
        <w:tc>
          <w:tcPr>
            <w:tcW w:w="2125" w:type="dxa"/>
            <w:vAlign w:val="center"/>
          </w:tcPr>
          <w:p w14:paraId="268F5861" w14:textId="5D6A3980" w:rsidR="00BD74F5" w:rsidRPr="00E17B4A"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42032F">
              <w:rPr>
                <w:rFonts w:cstheme="minorHAnsi"/>
                <w:color w:val="FF0000"/>
                <w:sz w:val="20"/>
                <w:szCs w:val="20"/>
                <w:lang w:val="en-US"/>
              </w:rPr>
              <w:t>130</w:t>
            </w:r>
            <w:r w:rsidR="005E1A1C">
              <w:rPr>
                <w:rFonts w:cstheme="minorHAnsi"/>
                <w:color w:val="FF0000"/>
                <w:sz w:val="20"/>
                <w:szCs w:val="20"/>
                <w:lang w:val="en-US"/>
              </w:rPr>
              <w:t>.</w:t>
            </w:r>
            <w:r w:rsidRPr="0042032F">
              <w:rPr>
                <w:rFonts w:cstheme="minorHAnsi"/>
                <w:color w:val="FF0000"/>
                <w:sz w:val="20"/>
                <w:szCs w:val="20"/>
                <w:lang w:val="en-US"/>
              </w:rPr>
              <w:t>42%</w:t>
            </w:r>
          </w:p>
        </w:tc>
        <w:tc>
          <w:tcPr>
            <w:tcW w:w="1276" w:type="dxa"/>
            <w:vAlign w:val="center"/>
          </w:tcPr>
          <w:p w14:paraId="643E46D9" w14:textId="0664F65F" w:rsidR="00BD74F5" w:rsidRPr="00E17B4A"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Pr>
                <w:rFonts w:cstheme="minorHAnsi"/>
                <w:color w:val="FF0000"/>
                <w:sz w:val="20"/>
                <w:szCs w:val="20"/>
                <w:lang w:val="en-US"/>
              </w:rPr>
              <w:t>145</w:t>
            </w:r>
            <w:r w:rsidR="005E1A1C">
              <w:rPr>
                <w:rFonts w:cstheme="minorHAnsi"/>
                <w:color w:val="FF0000"/>
                <w:sz w:val="20"/>
                <w:szCs w:val="20"/>
                <w:lang w:val="en-US"/>
              </w:rPr>
              <w:t>.</w:t>
            </w:r>
            <w:r>
              <w:rPr>
                <w:rFonts w:cstheme="minorHAnsi"/>
                <w:color w:val="FF0000"/>
                <w:sz w:val="20"/>
                <w:szCs w:val="20"/>
                <w:lang w:val="en-US"/>
              </w:rPr>
              <w:t>21</w:t>
            </w:r>
            <w:r w:rsidRPr="00E17B4A">
              <w:rPr>
                <w:rFonts w:cstheme="minorHAnsi"/>
                <w:color w:val="FF0000"/>
                <w:sz w:val="20"/>
                <w:szCs w:val="20"/>
                <w:lang w:val="en-US"/>
              </w:rPr>
              <w:t>%</w:t>
            </w:r>
          </w:p>
        </w:tc>
        <w:tc>
          <w:tcPr>
            <w:tcW w:w="2267" w:type="dxa"/>
            <w:gridSpan w:val="2"/>
          </w:tcPr>
          <w:p w14:paraId="4430D9DC" w14:textId="77777777" w:rsidR="00BD74F5"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Pr>
                <w:rFonts w:cstheme="minorHAnsi"/>
                <w:color w:val="FF0000"/>
                <w:sz w:val="20"/>
                <w:szCs w:val="20"/>
                <w:lang w:val="en-US"/>
              </w:rPr>
              <w:t>No</w:t>
            </w:r>
          </w:p>
        </w:tc>
        <w:tc>
          <w:tcPr>
            <w:tcW w:w="1703" w:type="dxa"/>
          </w:tcPr>
          <w:p w14:paraId="21229D66" w14:textId="77777777" w:rsidR="00BD74F5"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Pr>
                <w:rFonts w:cstheme="minorHAnsi"/>
                <w:color w:val="FF0000"/>
                <w:sz w:val="20"/>
                <w:szCs w:val="20"/>
                <w:lang w:val="en-US"/>
              </w:rPr>
              <w:t>No</w:t>
            </w:r>
          </w:p>
        </w:tc>
      </w:tr>
    </w:tbl>
    <w:p w14:paraId="5142BEA5" w14:textId="13D55154" w:rsidR="00BD74F5" w:rsidRPr="009B736C" w:rsidRDefault="00BD74F5" w:rsidP="00BD74F5">
      <w:pPr>
        <w:pStyle w:val="Beschriftung"/>
        <w:jc w:val="center"/>
        <w:rPr>
          <w:lang w:val="en-US"/>
        </w:rPr>
      </w:pPr>
      <w:bookmarkStart w:id="7" w:name="_Ref173156785"/>
      <w:r w:rsidRPr="00C74FAF">
        <w:rPr>
          <w:lang w:val="en-US"/>
        </w:rPr>
        <w:t>Tab</w:t>
      </w:r>
      <w:r w:rsidR="00E86CD0">
        <w:rPr>
          <w:lang w:val="en-US"/>
        </w:rPr>
        <w:t>.S</w:t>
      </w:r>
      <w:bookmarkEnd w:id="7"/>
      <w:r w:rsidR="00E86CD0" w:rsidRPr="00E86CD0">
        <w:rPr>
          <w:lang w:val="en-US"/>
        </w:rPr>
        <w:t>2</w:t>
      </w:r>
      <w:r w:rsidRPr="00C74FAF">
        <w:rPr>
          <w:lang w:val="en-US"/>
        </w:rPr>
        <w:t xml:space="preserve">: </w:t>
      </w:r>
      <w:r w:rsidRPr="002519D1">
        <w:rPr>
          <w:lang w:val="en-US"/>
        </w:rPr>
        <w:t>Relative values of t</w:t>
      </w:r>
      <w:r>
        <w:rPr>
          <w:lang w:val="en-US"/>
        </w:rPr>
        <w:t>he used techniques for embolization treatment of the internal carotid artery plus posterior communicating artery with either saccular or fusiform aneurysm types. Values in green: Saving potential as a percentage of CEs’ baseline value. This accounts vice versa for the red values.</w:t>
      </w:r>
    </w:p>
    <w:tbl>
      <w:tblPr>
        <w:tblStyle w:val="EinfacheTabelle3"/>
        <w:tblpPr w:leftFromText="180" w:rightFromText="180" w:vertAnchor="text" w:horzAnchor="margin" w:tblpY="6471"/>
        <w:tblW w:w="0" w:type="auto"/>
        <w:tblLayout w:type="fixed"/>
        <w:tblLook w:val="04A0" w:firstRow="1" w:lastRow="0" w:firstColumn="1" w:lastColumn="0" w:noHBand="0" w:noVBand="1"/>
      </w:tblPr>
      <w:tblGrid>
        <w:gridCol w:w="1276"/>
        <w:gridCol w:w="1701"/>
        <w:gridCol w:w="1985"/>
        <w:gridCol w:w="1842"/>
        <w:gridCol w:w="2127"/>
      </w:tblGrid>
      <w:tr w:rsidR="00BD74F5" w:rsidRPr="0084270F" w14:paraId="32F8F869" w14:textId="77777777" w:rsidTr="00FC4243">
        <w:trPr>
          <w:cnfStyle w:val="100000000000" w:firstRow="1" w:lastRow="0" w:firstColumn="0" w:lastColumn="0" w:oddVBand="0" w:evenVBand="0" w:oddHBand="0" w:evenHBand="0" w:firstRowFirstColumn="0" w:firstRowLastColumn="0" w:lastRowFirstColumn="0" w:lastRowLastColumn="0"/>
          <w:trHeight w:val="1174"/>
        </w:trPr>
        <w:tc>
          <w:tcPr>
            <w:cnfStyle w:val="001000000100" w:firstRow="0" w:lastRow="0" w:firstColumn="1" w:lastColumn="0" w:oddVBand="0" w:evenVBand="0" w:oddHBand="0" w:evenHBand="0" w:firstRowFirstColumn="1" w:firstRowLastColumn="0" w:lastRowFirstColumn="0" w:lastRowLastColumn="0"/>
            <w:tcW w:w="1276" w:type="dxa"/>
            <w:vAlign w:val="center"/>
          </w:tcPr>
          <w:p w14:paraId="0898AC11" w14:textId="77777777" w:rsidR="00BD74F5" w:rsidRPr="00E17B4A" w:rsidRDefault="00BD74F5" w:rsidP="00FC4243">
            <w:pPr>
              <w:jc w:val="center"/>
              <w:rPr>
                <w:rFonts w:cstheme="minorHAnsi"/>
                <w:sz w:val="20"/>
                <w:szCs w:val="20"/>
                <w:lang w:val="en-US"/>
              </w:rPr>
            </w:pPr>
            <w:commentRangeStart w:id="8"/>
            <w:r w:rsidRPr="00E17B4A">
              <w:rPr>
                <w:rFonts w:cstheme="minorHAnsi"/>
                <w:sz w:val="20"/>
                <w:szCs w:val="20"/>
                <w:lang w:val="en-US"/>
              </w:rPr>
              <w:lastRenderedPageBreak/>
              <w:t>Technique</w:t>
            </w:r>
          </w:p>
        </w:tc>
        <w:tc>
          <w:tcPr>
            <w:tcW w:w="1701" w:type="dxa"/>
            <w:vAlign w:val="center"/>
          </w:tcPr>
          <w:p w14:paraId="640DBFC5"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E17B4A">
              <w:rPr>
                <w:rFonts w:cstheme="minorHAnsi"/>
                <w:sz w:val="20"/>
                <w:szCs w:val="20"/>
                <w:lang w:val="en-US"/>
              </w:rPr>
              <w:t>Relative Dose-Area Product Compared to Coils</w:t>
            </w:r>
          </w:p>
        </w:tc>
        <w:tc>
          <w:tcPr>
            <w:tcW w:w="1985" w:type="dxa"/>
            <w:vAlign w:val="center"/>
          </w:tcPr>
          <w:p w14:paraId="7E82E039"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E17B4A">
              <w:rPr>
                <w:rFonts w:cstheme="minorHAnsi"/>
                <w:sz w:val="20"/>
                <w:szCs w:val="20"/>
                <w:lang w:val="en-US"/>
              </w:rPr>
              <w:t>Relative Exposure Time Compared to Coils</w:t>
            </w:r>
          </w:p>
        </w:tc>
        <w:tc>
          <w:tcPr>
            <w:tcW w:w="1842" w:type="dxa"/>
            <w:vAlign w:val="center"/>
          </w:tcPr>
          <w:p w14:paraId="7DE0EDFA"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FE2C72">
              <w:rPr>
                <w:rFonts w:cstheme="minorHAnsi"/>
                <w:sz w:val="20"/>
                <w:szCs w:val="20"/>
                <w:lang w:val="en-US"/>
              </w:rPr>
              <w:t>Dunn test: DAP significance of each technique compared to Coils</w:t>
            </w:r>
          </w:p>
        </w:tc>
        <w:tc>
          <w:tcPr>
            <w:tcW w:w="2127" w:type="dxa"/>
            <w:vAlign w:val="center"/>
          </w:tcPr>
          <w:p w14:paraId="39169904"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FE2C72">
              <w:rPr>
                <w:rFonts w:cstheme="minorHAnsi"/>
                <w:sz w:val="20"/>
                <w:szCs w:val="20"/>
                <w:lang w:val="en-US"/>
              </w:rPr>
              <w:t xml:space="preserve">Dunn test: </w:t>
            </w:r>
            <w:r>
              <w:rPr>
                <w:rFonts w:cstheme="minorHAnsi"/>
                <w:sz w:val="20"/>
                <w:szCs w:val="20"/>
                <w:lang w:val="en-US"/>
              </w:rPr>
              <w:t>ET</w:t>
            </w:r>
            <w:r w:rsidRPr="00FE2C72">
              <w:rPr>
                <w:rFonts w:cstheme="minorHAnsi"/>
                <w:sz w:val="20"/>
                <w:szCs w:val="20"/>
                <w:lang w:val="en-US"/>
              </w:rPr>
              <w:t xml:space="preserve"> significance of each technique compared to Coils</w:t>
            </w:r>
          </w:p>
        </w:tc>
      </w:tr>
      <w:tr w:rsidR="00BD74F5" w:rsidRPr="0084270F" w14:paraId="29A7E6B4" w14:textId="77777777" w:rsidTr="00FC4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145E9257" w14:textId="77777777" w:rsidR="00BD74F5" w:rsidRPr="00101A70" w:rsidRDefault="00BD74F5" w:rsidP="00FC4243">
            <w:pPr>
              <w:jc w:val="center"/>
              <w:rPr>
                <w:rFonts w:cstheme="minorHAnsi"/>
                <w:sz w:val="20"/>
                <w:szCs w:val="20"/>
                <w:lang w:val="en-US"/>
              </w:rPr>
            </w:pPr>
          </w:p>
        </w:tc>
        <w:tc>
          <w:tcPr>
            <w:tcW w:w="7655" w:type="dxa"/>
            <w:gridSpan w:val="4"/>
            <w:vAlign w:val="center"/>
          </w:tcPr>
          <w:p w14:paraId="0B20BDF2" w14:textId="77777777" w:rsidR="00BD74F5" w:rsidRPr="00101A70"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101A70">
              <w:rPr>
                <w:rFonts w:cstheme="minorHAnsi"/>
                <w:sz w:val="20"/>
                <w:szCs w:val="20"/>
                <w:lang w:val="en-US"/>
              </w:rPr>
              <w:t>Caroti</w:t>
            </w:r>
            <w:r>
              <w:rPr>
                <w:rFonts w:cstheme="minorHAnsi"/>
                <w:sz w:val="20"/>
                <w:szCs w:val="20"/>
                <w:lang w:val="en-US"/>
              </w:rPr>
              <w:t>d</w:t>
            </w:r>
            <w:r w:rsidRPr="00101A70">
              <w:rPr>
                <w:rFonts w:cstheme="minorHAnsi"/>
                <w:sz w:val="20"/>
                <w:szCs w:val="20"/>
                <w:lang w:val="en-US"/>
              </w:rPr>
              <w:t>-</w:t>
            </w:r>
            <w:r>
              <w:rPr>
                <w:rFonts w:cstheme="minorHAnsi"/>
                <w:sz w:val="20"/>
                <w:szCs w:val="20"/>
                <w:lang w:val="en-US"/>
              </w:rPr>
              <w:t>T</w:t>
            </w:r>
            <w:r w:rsidRPr="00101A70">
              <w:rPr>
                <w:rFonts w:cstheme="minorHAnsi"/>
                <w:sz w:val="20"/>
                <w:szCs w:val="20"/>
                <w:lang w:val="en-US"/>
              </w:rPr>
              <w:t xml:space="preserve"> with saccular aneurysm</w:t>
            </w:r>
          </w:p>
          <w:p w14:paraId="02239215" w14:textId="77777777" w:rsidR="00BD74F5" w:rsidRPr="00101A70"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101A70">
              <w:rPr>
                <w:rFonts w:cstheme="minorHAnsi"/>
                <w:sz w:val="20"/>
                <w:szCs w:val="20"/>
                <w:lang w:val="en-US"/>
              </w:rPr>
              <w:t>n = 639</w:t>
            </w:r>
          </w:p>
        </w:tc>
      </w:tr>
      <w:tr w:rsidR="00BD74F5" w:rsidRPr="00F2169F" w14:paraId="2D8B7394" w14:textId="77777777" w:rsidTr="00FC4243">
        <w:tc>
          <w:tcPr>
            <w:cnfStyle w:val="001000000000" w:firstRow="0" w:lastRow="0" w:firstColumn="1" w:lastColumn="0" w:oddVBand="0" w:evenVBand="0" w:oddHBand="0" w:evenHBand="0" w:firstRowFirstColumn="0" w:firstRowLastColumn="0" w:lastRowFirstColumn="0" w:lastRowLastColumn="0"/>
            <w:tcW w:w="1276" w:type="dxa"/>
            <w:vAlign w:val="center"/>
          </w:tcPr>
          <w:p w14:paraId="294A4E47" w14:textId="77777777" w:rsidR="00BD74F5" w:rsidRPr="00101A70" w:rsidRDefault="00BD74F5" w:rsidP="00FC4243">
            <w:pPr>
              <w:jc w:val="center"/>
              <w:rPr>
                <w:rFonts w:cstheme="minorHAnsi"/>
                <w:sz w:val="20"/>
                <w:szCs w:val="20"/>
                <w:lang w:val="en-US"/>
              </w:rPr>
            </w:pPr>
            <w:r w:rsidRPr="00101A70">
              <w:rPr>
                <w:rFonts w:cstheme="minorHAnsi"/>
                <w:sz w:val="20"/>
                <w:szCs w:val="20"/>
                <w:lang w:val="en-US"/>
              </w:rPr>
              <w:t>Coils</w:t>
            </w:r>
          </w:p>
        </w:tc>
        <w:tc>
          <w:tcPr>
            <w:tcW w:w="1701" w:type="dxa"/>
            <w:vAlign w:val="bottom"/>
          </w:tcPr>
          <w:p w14:paraId="22A9BDD4" w14:textId="0B811E49" w:rsidR="00BD74F5" w:rsidRPr="00101A70"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101A70">
              <w:rPr>
                <w:rFonts w:ascii="Calibri" w:hAnsi="Calibri" w:cs="Calibri"/>
                <w:color w:val="000000"/>
                <w:sz w:val="20"/>
              </w:rPr>
              <w:t>100</w:t>
            </w:r>
            <w:r w:rsidR="005E1A1C">
              <w:rPr>
                <w:rFonts w:ascii="Calibri" w:hAnsi="Calibri" w:cs="Calibri"/>
                <w:color w:val="000000"/>
                <w:sz w:val="20"/>
              </w:rPr>
              <w:t>.</w:t>
            </w:r>
            <w:r w:rsidRPr="00101A70">
              <w:rPr>
                <w:rFonts w:ascii="Calibri" w:hAnsi="Calibri" w:cs="Calibri"/>
                <w:color w:val="000000"/>
                <w:sz w:val="20"/>
              </w:rPr>
              <w:t>00%</w:t>
            </w:r>
          </w:p>
        </w:tc>
        <w:tc>
          <w:tcPr>
            <w:tcW w:w="1985" w:type="dxa"/>
            <w:vAlign w:val="bottom"/>
          </w:tcPr>
          <w:p w14:paraId="64E44528" w14:textId="32C3EA56" w:rsidR="00BD74F5" w:rsidRPr="00101A70"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101A70">
              <w:rPr>
                <w:rFonts w:ascii="Calibri" w:hAnsi="Calibri" w:cs="Calibri"/>
                <w:color w:val="000000"/>
                <w:sz w:val="20"/>
              </w:rPr>
              <w:t>100</w:t>
            </w:r>
            <w:r w:rsidR="005E1A1C">
              <w:rPr>
                <w:rFonts w:ascii="Calibri" w:hAnsi="Calibri" w:cs="Calibri"/>
                <w:color w:val="000000"/>
                <w:sz w:val="20"/>
              </w:rPr>
              <w:t>.</w:t>
            </w:r>
            <w:r w:rsidRPr="00101A70">
              <w:rPr>
                <w:rFonts w:ascii="Calibri" w:hAnsi="Calibri" w:cs="Calibri"/>
                <w:color w:val="000000"/>
                <w:sz w:val="20"/>
              </w:rPr>
              <w:t>00%</w:t>
            </w:r>
          </w:p>
        </w:tc>
        <w:tc>
          <w:tcPr>
            <w:tcW w:w="1842" w:type="dxa"/>
          </w:tcPr>
          <w:p w14:paraId="243DF2E3" w14:textId="77777777" w:rsidR="00BD74F5" w:rsidRPr="00101A70"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rPr>
            </w:pPr>
            <w:r>
              <w:rPr>
                <w:rFonts w:ascii="Calibri" w:hAnsi="Calibri" w:cs="Calibri"/>
                <w:color w:val="000000"/>
                <w:sz w:val="20"/>
              </w:rPr>
              <w:t>N/A</w:t>
            </w:r>
          </w:p>
        </w:tc>
        <w:tc>
          <w:tcPr>
            <w:tcW w:w="2127" w:type="dxa"/>
          </w:tcPr>
          <w:p w14:paraId="779BC2C2" w14:textId="77777777" w:rsidR="00BD74F5" w:rsidRPr="00101A70"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rPr>
            </w:pPr>
            <w:r>
              <w:rPr>
                <w:rFonts w:ascii="Calibri" w:hAnsi="Calibri" w:cs="Calibri"/>
                <w:color w:val="000000"/>
                <w:sz w:val="20"/>
              </w:rPr>
              <w:t>N/A</w:t>
            </w:r>
          </w:p>
        </w:tc>
      </w:tr>
      <w:tr w:rsidR="00BD74F5" w:rsidRPr="00F2169F" w14:paraId="2EFFB17F" w14:textId="77777777" w:rsidTr="00FC4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59DDCC35" w14:textId="77777777" w:rsidR="00BD74F5" w:rsidRPr="00101A70" w:rsidRDefault="00BD74F5" w:rsidP="00FC4243">
            <w:pPr>
              <w:jc w:val="center"/>
              <w:rPr>
                <w:rFonts w:cstheme="minorHAnsi"/>
                <w:sz w:val="20"/>
                <w:szCs w:val="20"/>
                <w:lang w:val="en-US"/>
              </w:rPr>
            </w:pPr>
            <w:r w:rsidRPr="00101A70">
              <w:rPr>
                <w:rFonts w:cstheme="minorHAnsi"/>
                <w:sz w:val="20"/>
                <w:szCs w:val="20"/>
                <w:lang w:val="en-US"/>
              </w:rPr>
              <w:t>FD</w:t>
            </w:r>
          </w:p>
        </w:tc>
        <w:tc>
          <w:tcPr>
            <w:tcW w:w="1701" w:type="dxa"/>
            <w:vAlign w:val="bottom"/>
          </w:tcPr>
          <w:p w14:paraId="2CEFE61F" w14:textId="58493A1D" w:rsidR="00BD74F5" w:rsidRPr="00101A70"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sidRPr="00101A70">
              <w:rPr>
                <w:rFonts w:ascii="Calibri" w:hAnsi="Calibri" w:cs="Calibri"/>
                <w:color w:val="00B050"/>
                <w:sz w:val="20"/>
              </w:rPr>
              <w:t>88</w:t>
            </w:r>
            <w:r w:rsidR="005E1A1C">
              <w:rPr>
                <w:rFonts w:ascii="Calibri" w:hAnsi="Calibri" w:cs="Calibri"/>
                <w:color w:val="00B050"/>
                <w:sz w:val="20"/>
              </w:rPr>
              <w:t>.</w:t>
            </w:r>
            <w:r w:rsidRPr="00101A70">
              <w:rPr>
                <w:rFonts w:ascii="Calibri" w:hAnsi="Calibri" w:cs="Calibri"/>
                <w:color w:val="00B050"/>
                <w:sz w:val="20"/>
              </w:rPr>
              <w:t>01%</w:t>
            </w:r>
          </w:p>
        </w:tc>
        <w:tc>
          <w:tcPr>
            <w:tcW w:w="1985" w:type="dxa"/>
            <w:vAlign w:val="bottom"/>
          </w:tcPr>
          <w:p w14:paraId="0A5BF713" w14:textId="27784D22" w:rsidR="00BD74F5" w:rsidRPr="00101A70"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sidRPr="00101A70">
              <w:rPr>
                <w:rFonts w:ascii="Calibri" w:hAnsi="Calibri" w:cs="Calibri"/>
                <w:color w:val="00B050"/>
                <w:sz w:val="20"/>
              </w:rPr>
              <w:t>85</w:t>
            </w:r>
            <w:r w:rsidR="005E1A1C">
              <w:rPr>
                <w:rFonts w:ascii="Calibri" w:hAnsi="Calibri" w:cs="Calibri"/>
                <w:color w:val="00B050"/>
                <w:sz w:val="20"/>
              </w:rPr>
              <w:t>.</w:t>
            </w:r>
            <w:r w:rsidRPr="00101A70">
              <w:rPr>
                <w:rFonts w:ascii="Calibri" w:hAnsi="Calibri" w:cs="Calibri"/>
                <w:color w:val="00B050"/>
                <w:sz w:val="20"/>
              </w:rPr>
              <w:t>29%</w:t>
            </w:r>
          </w:p>
        </w:tc>
        <w:tc>
          <w:tcPr>
            <w:tcW w:w="1842" w:type="dxa"/>
          </w:tcPr>
          <w:p w14:paraId="05225625" w14:textId="77777777" w:rsidR="00BD74F5" w:rsidRPr="00B96289" w:rsidRDefault="00BD74F5" w:rsidP="00FC424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sz w:val="20"/>
              </w:rPr>
            </w:pPr>
            <w:proofErr w:type="spellStart"/>
            <w:r w:rsidRPr="00B96289">
              <w:rPr>
                <w:rFonts w:ascii="Calibri" w:hAnsi="Calibri" w:cs="Calibri"/>
                <w:color w:val="FF0000"/>
                <w:sz w:val="20"/>
              </w:rPr>
              <w:t>No</w:t>
            </w:r>
            <w:proofErr w:type="spellEnd"/>
          </w:p>
        </w:tc>
        <w:tc>
          <w:tcPr>
            <w:tcW w:w="2127" w:type="dxa"/>
          </w:tcPr>
          <w:p w14:paraId="114F6C70" w14:textId="77777777" w:rsidR="00BD74F5" w:rsidRPr="00B96289" w:rsidRDefault="00BD74F5" w:rsidP="00FC424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sz w:val="20"/>
              </w:rPr>
            </w:pPr>
            <w:proofErr w:type="spellStart"/>
            <w:r w:rsidRPr="00B96289">
              <w:rPr>
                <w:rFonts w:ascii="Calibri" w:hAnsi="Calibri" w:cs="Calibri"/>
                <w:color w:val="FF0000"/>
                <w:sz w:val="20"/>
              </w:rPr>
              <w:t>No</w:t>
            </w:r>
            <w:proofErr w:type="spellEnd"/>
          </w:p>
        </w:tc>
      </w:tr>
      <w:tr w:rsidR="00BD74F5" w:rsidRPr="00F2169F" w14:paraId="64095699" w14:textId="77777777" w:rsidTr="00FC4243">
        <w:tc>
          <w:tcPr>
            <w:cnfStyle w:val="001000000000" w:firstRow="0" w:lastRow="0" w:firstColumn="1" w:lastColumn="0" w:oddVBand="0" w:evenVBand="0" w:oddHBand="0" w:evenHBand="0" w:firstRowFirstColumn="0" w:firstRowLastColumn="0" w:lastRowFirstColumn="0" w:lastRowLastColumn="0"/>
            <w:tcW w:w="1276" w:type="dxa"/>
            <w:vAlign w:val="center"/>
          </w:tcPr>
          <w:p w14:paraId="22492071" w14:textId="77777777" w:rsidR="00BD74F5" w:rsidRPr="00101A70" w:rsidRDefault="00BD74F5" w:rsidP="00FC4243">
            <w:pPr>
              <w:jc w:val="center"/>
              <w:rPr>
                <w:rFonts w:cstheme="minorHAnsi"/>
                <w:sz w:val="20"/>
                <w:szCs w:val="20"/>
                <w:lang w:val="en-US"/>
              </w:rPr>
            </w:pPr>
            <w:r>
              <w:rPr>
                <w:sz w:val="20"/>
                <w:szCs w:val="20"/>
                <w:lang w:val="en-US"/>
              </w:rPr>
              <w:t>SAC</w:t>
            </w:r>
          </w:p>
        </w:tc>
        <w:tc>
          <w:tcPr>
            <w:tcW w:w="1701" w:type="dxa"/>
            <w:vAlign w:val="bottom"/>
          </w:tcPr>
          <w:p w14:paraId="6A6E5794" w14:textId="574EFC76" w:rsidR="00BD74F5" w:rsidRPr="00101A70"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sidRPr="00101A70">
              <w:rPr>
                <w:rFonts w:ascii="Calibri" w:hAnsi="Calibri" w:cs="Calibri"/>
                <w:color w:val="FF0000"/>
                <w:sz w:val="20"/>
              </w:rPr>
              <w:t>121</w:t>
            </w:r>
            <w:r w:rsidR="005E1A1C">
              <w:rPr>
                <w:rFonts w:ascii="Calibri" w:hAnsi="Calibri" w:cs="Calibri"/>
                <w:color w:val="FF0000"/>
                <w:sz w:val="20"/>
              </w:rPr>
              <w:t>.</w:t>
            </w:r>
            <w:r w:rsidRPr="00101A70">
              <w:rPr>
                <w:rFonts w:ascii="Calibri" w:hAnsi="Calibri" w:cs="Calibri"/>
                <w:color w:val="FF0000"/>
                <w:sz w:val="20"/>
              </w:rPr>
              <w:t>11%</w:t>
            </w:r>
          </w:p>
        </w:tc>
        <w:tc>
          <w:tcPr>
            <w:tcW w:w="1985" w:type="dxa"/>
            <w:vAlign w:val="bottom"/>
          </w:tcPr>
          <w:p w14:paraId="2622C260" w14:textId="5F7C2A0B" w:rsidR="00BD74F5" w:rsidRPr="00101A70"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sidRPr="00101A70">
              <w:rPr>
                <w:rFonts w:ascii="Calibri" w:hAnsi="Calibri" w:cs="Calibri"/>
                <w:color w:val="FF0000"/>
                <w:sz w:val="20"/>
              </w:rPr>
              <w:t>150</w:t>
            </w:r>
            <w:r w:rsidR="005E1A1C">
              <w:rPr>
                <w:rFonts w:ascii="Calibri" w:hAnsi="Calibri" w:cs="Calibri"/>
                <w:color w:val="FF0000"/>
                <w:sz w:val="20"/>
              </w:rPr>
              <w:t>.</w:t>
            </w:r>
            <w:r w:rsidRPr="00101A70">
              <w:rPr>
                <w:rFonts w:ascii="Calibri" w:hAnsi="Calibri" w:cs="Calibri"/>
                <w:color w:val="FF0000"/>
                <w:sz w:val="20"/>
              </w:rPr>
              <w:t>00%</w:t>
            </w:r>
          </w:p>
        </w:tc>
        <w:tc>
          <w:tcPr>
            <w:tcW w:w="1842" w:type="dxa"/>
          </w:tcPr>
          <w:p w14:paraId="1E87AF26" w14:textId="77777777" w:rsidR="00BD74F5" w:rsidRPr="00101A70"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rPr>
            </w:pPr>
            <w:proofErr w:type="spellStart"/>
            <w:r>
              <w:rPr>
                <w:rFonts w:ascii="Calibri" w:hAnsi="Calibri" w:cs="Calibri"/>
                <w:color w:val="FF0000"/>
                <w:sz w:val="20"/>
              </w:rPr>
              <w:t>No</w:t>
            </w:r>
            <w:proofErr w:type="spellEnd"/>
          </w:p>
        </w:tc>
        <w:tc>
          <w:tcPr>
            <w:tcW w:w="2127" w:type="dxa"/>
          </w:tcPr>
          <w:p w14:paraId="56570937" w14:textId="77777777" w:rsidR="00BD74F5" w:rsidRPr="00101A70"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rPr>
            </w:pPr>
            <w:r w:rsidRPr="00B96289">
              <w:rPr>
                <w:rFonts w:ascii="Calibri" w:hAnsi="Calibri" w:cs="Calibri"/>
                <w:color w:val="00B050"/>
                <w:sz w:val="20"/>
              </w:rPr>
              <w:t>Yes</w:t>
            </w:r>
          </w:p>
        </w:tc>
      </w:tr>
      <w:tr w:rsidR="00BD74F5" w:rsidRPr="00F2169F" w14:paraId="35876BEF" w14:textId="77777777" w:rsidTr="00FC4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554C20B2" w14:textId="77777777" w:rsidR="00BD74F5" w:rsidRPr="00101A70" w:rsidRDefault="00BD74F5" w:rsidP="00FC4243">
            <w:pPr>
              <w:jc w:val="center"/>
              <w:rPr>
                <w:rFonts w:cstheme="minorHAnsi"/>
                <w:sz w:val="20"/>
                <w:szCs w:val="20"/>
                <w:lang w:val="en-US"/>
              </w:rPr>
            </w:pPr>
            <w:r w:rsidRPr="00101A70">
              <w:rPr>
                <w:rFonts w:cstheme="minorHAnsi"/>
                <w:sz w:val="20"/>
                <w:szCs w:val="20"/>
                <w:lang w:val="en-US"/>
              </w:rPr>
              <w:t>IaFD</w:t>
            </w:r>
          </w:p>
        </w:tc>
        <w:tc>
          <w:tcPr>
            <w:tcW w:w="1701" w:type="dxa"/>
            <w:vAlign w:val="bottom"/>
          </w:tcPr>
          <w:p w14:paraId="648F22D4" w14:textId="12DD9CFB" w:rsidR="00BD74F5" w:rsidRPr="00101A70"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sidRPr="00101A70">
              <w:rPr>
                <w:rFonts w:ascii="Calibri" w:hAnsi="Calibri" w:cs="Calibri"/>
                <w:color w:val="00B050"/>
                <w:sz w:val="20"/>
              </w:rPr>
              <w:t>85</w:t>
            </w:r>
            <w:r w:rsidR="005E1A1C">
              <w:rPr>
                <w:rFonts w:ascii="Calibri" w:hAnsi="Calibri" w:cs="Calibri"/>
                <w:color w:val="00B050"/>
                <w:sz w:val="20"/>
              </w:rPr>
              <w:t>.</w:t>
            </w:r>
            <w:r w:rsidRPr="00101A70">
              <w:rPr>
                <w:rFonts w:ascii="Calibri" w:hAnsi="Calibri" w:cs="Calibri"/>
                <w:color w:val="00B050"/>
                <w:sz w:val="20"/>
              </w:rPr>
              <w:t>09%</w:t>
            </w:r>
          </w:p>
        </w:tc>
        <w:tc>
          <w:tcPr>
            <w:tcW w:w="1985" w:type="dxa"/>
            <w:vAlign w:val="bottom"/>
          </w:tcPr>
          <w:p w14:paraId="62381ADF" w14:textId="47A90C56" w:rsidR="00BD74F5" w:rsidRPr="00101A70"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sidRPr="00101A70">
              <w:rPr>
                <w:rFonts w:ascii="Calibri" w:hAnsi="Calibri" w:cs="Calibri"/>
                <w:color w:val="00B050"/>
                <w:sz w:val="20"/>
              </w:rPr>
              <w:t>76</w:t>
            </w:r>
            <w:r w:rsidR="005E1A1C">
              <w:rPr>
                <w:rFonts w:ascii="Calibri" w:hAnsi="Calibri" w:cs="Calibri"/>
                <w:color w:val="00B050"/>
                <w:sz w:val="20"/>
              </w:rPr>
              <w:t>.</w:t>
            </w:r>
            <w:r w:rsidRPr="00101A70">
              <w:rPr>
                <w:rFonts w:ascii="Calibri" w:hAnsi="Calibri" w:cs="Calibri"/>
                <w:color w:val="00B050"/>
                <w:sz w:val="20"/>
              </w:rPr>
              <w:t>47%</w:t>
            </w:r>
          </w:p>
        </w:tc>
        <w:tc>
          <w:tcPr>
            <w:tcW w:w="1842" w:type="dxa"/>
          </w:tcPr>
          <w:p w14:paraId="1D6BC085" w14:textId="77777777" w:rsidR="00BD74F5" w:rsidRPr="00101A70" w:rsidRDefault="00BD74F5" w:rsidP="00FC424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B050"/>
                <w:sz w:val="20"/>
              </w:rPr>
            </w:pPr>
            <w:proofErr w:type="spellStart"/>
            <w:r w:rsidRPr="00B96289">
              <w:rPr>
                <w:rFonts w:ascii="Calibri" w:hAnsi="Calibri" w:cs="Calibri"/>
                <w:color w:val="FF0000"/>
                <w:sz w:val="20"/>
              </w:rPr>
              <w:t>No</w:t>
            </w:r>
            <w:proofErr w:type="spellEnd"/>
          </w:p>
        </w:tc>
        <w:tc>
          <w:tcPr>
            <w:tcW w:w="2127" w:type="dxa"/>
          </w:tcPr>
          <w:p w14:paraId="49C56A2F" w14:textId="77777777" w:rsidR="00BD74F5" w:rsidRPr="00101A70" w:rsidRDefault="00BD74F5" w:rsidP="00FC424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B050"/>
                <w:sz w:val="20"/>
              </w:rPr>
            </w:pPr>
            <w:r>
              <w:rPr>
                <w:rFonts w:ascii="Calibri" w:hAnsi="Calibri" w:cs="Calibri"/>
                <w:color w:val="00B050"/>
                <w:sz w:val="20"/>
              </w:rPr>
              <w:t>Yes</w:t>
            </w:r>
          </w:p>
        </w:tc>
      </w:tr>
      <w:tr w:rsidR="00BD74F5" w:rsidRPr="00F2169F" w14:paraId="0FAA7F73" w14:textId="77777777" w:rsidTr="00FC4243">
        <w:tc>
          <w:tcPr>
            <w:cnfStyle w:val="001000000000" w:firstRow="0" w:lastRow="0" w:firstColumn="1" w:lastColumn="0" w:oddVBand="0" w:evenVBand="0" w:oddHBand="0" w:evenHBand="0" w:firstRowFirstColumn="0" w:firstRowLastColumn="0" w:lastRowFirstColumn="0" w:lastRowLastColumn="0"/>
            <w:tcW w:w="1276" w:type="dxa"/>
            <w:vAlign w:val="center"/>
          </w:tcPr>
          <w:p w14:paraId="27448804" w14:textId="77777777" w:rsidR="00BD74F5" w:rsidRPr="00101A70" w:rsidRDefault="00BD74F5" w:rsidP="00FC4243">
            <w:pPr>
              <w:jc w:val="center"/>
              <w:rPr>
                <w:rFonts w:cstheme="minorHAnsi"/>
                <w:sz w:val="20"/>
                <w:szCs w:val="20"/>
                <w:lang w:val="en-US"/>
              </w:rPr>
            </w:pPr>
            <w:r>
              <w:rPr>
                <w:sz w:val="20"/>
                <w:szCs w:val="20"/>
                <w:lang w:val="en-US"/>
              </w:rPr>
              <w:t>BAC</w:t>
            </w:r>
          </w:p>
        </w:tc>
        <w:tc>
          <w:tcPr>
            <w:tcW w:w="1701" w:type="dxa"/>
            <w:vAlign w:val="bottom"/>
          </w:tcPr>
          <w:p w14:paraId="0B22D347" w14:textId="4DD12C7C" w:rsidR="00BD74F5" w:rsidRPr="00101A70"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101A70">
              <w:rPr>
                <w:rFonts w:ascii="Calibri" w:hAnsi="Calibri" w:cs="Calibri"/>
                <w:color w:val="00B050"/>
                <w:sz w:val="20"/>
              </w:rPr>
              <w:t>89</w:t>
            </w:r>
            <w:r w:rsidR="005E1A1C">
              <w:rPr>
                <w:rFonts w:ascii="Calibri" w:hAnsi="Calibri" w:cs="Calibri"/>
                <w:color w:val="00B050"/>
                <w:sz w:val="20"/>
              </w:rPr>
              <w:t>.</w:t>
            </w:r>
            <w:r w:rsidRPr="00101A70">
              <w:rPr>
                <w:rFonts w:ascii="Calibri" w:hAnsi="Calibri" w:cs="Calibri"/>
                <w:color w:val="00B050"/>
                <w:sz w:val="20"/>
              </w:rPr>
              <w:t>12%</w:t>
            </w:r>
          </w:p>
        </w:tc>
        <w:tc>
          <w:tcPr>
            <w:tcW w:w="1985" w:type="dxa"/>
            <w:vAlign w:val="bottom"/>
          </w:tcPr>
          <w:p w14:paraId="52100BC1" w14:textId="7DE132E3" w:rsidR="00BD74F5" w:rsidRPr="00101A70"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101A70">
              <w:rPr>
                <w:rFonts w:ascii="Calibri" w:hAnsi="Calibri" w:cs="Calibri"/>
                <w:color w:val="000000"/>
                <w:sz w:val="20"/>
              </w:rPr>
              <w:t>107</w:t>
            </w:r>
            <w:r w:rsidR="005E1A1C">
              <w:rPr>
                <w:rFonts w:ascii="Calibri" w:hAnsi="Calibri" w:cs="Calibri"/>
                <w:color w:val="000000"/>
                <w:sz w:val="20"/>
              </w:rPr>
              <w:t>.</w:t>
            </w:r>
            <w:r w:rsidRPr="00101A70">
              <w:rPr>
                <w:rFonts w:ascii="Calibri" w:hAnsi="Calibri" w:cs="Calibri"/>
                <w:color w:val="000000"/>
                <w:sz w:val="20"/>
              </w:rPr>
              <w:t>35%</w:t>
            </w:r>
          </w:p>
        </w:tc>
        <w:tc>
          <w:tcPr>
            <w:tcW w:w="1842" w:type="dxa"/>
          </w:tcPr>
          <w:p w14:paraId="4C9FD776" w14:textId="77777777" w:rsidR="00BD74F5" w:rsidRPr="00B96289"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rPr>
            </w:pPr>
            <w:proofErr w:type="spellStart"/>
            <w:r w:rsidRPr="00B96289">
              <w:rPr>
                <w:rFonts w:ascii="Calibri" w:hAnsi="Calibri" w:cs="Calibri"/>
                <w:color w:val="FF0000"/>
                <w:sz w:val="20"/>
              </w:rPr>
              <w:t>No</w:t>
            </w:r>
            <w:proofErr w:type="spellEnd"/>
          </w:p>
        </w:tc>
        <w:tc>
          <w:tcPr>
            <w:tcW w:w="2127" w:type="dxa"/>
          </w:tcPr>
          <w:p w14:paraId="2B19965F" w14:textId="77777777" w:rsidR="00BD74F5" w:rsidRPr="00B96289"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rPr>
            </w:pPr>
            <w:proofErr w:type="spellStart"/>
            <w:r w:rsidRPr="00B96289">
              <w:rPr>
                <w:rFonts w:ascii="Calibri" w:hAnsi="Calibri" w:cs="Calibri"/>
                <w:color w:val="FF0000"/>
                <w:sz w:val="20"/>
              </w:rPr>
              <w:t>No</w:t>
            </w:r>
            <w:proofErr w:type="spellEnd"/>
          </w:p>
        </w:tc>
      </w:tr>
      <w:tr w:rsidR="00BD74F5" w:rsidRPr="00F2169F" w14:paraId="73293A03" w14:textId="77777777" w:rsidTr="00FC4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vAlign w:val="center"/>
          </w:tcPr>
          <w:p w14:paraId="1AE81674" w14:textId="77777777" w:rsidR="00BD74F5" w:rsidRPr="00101A70" w:rsidRDefault="00BD74F5" w:rsidP="00FC4243">
            <w:pPr>
              <w:jc w:val="center"/>
              <w:rPr>
                <w:rFonts w:cstheme="minorHAnsi"/>
                <w:sz w:val="20"/>
                <w:szCs w:val="20"/>
                <w:lang w:val="en-US"/>
              </w:rPr>
            </w:pPr>
            <w:r>
              <w:rPr>
                <w:rFonts w:cstheme="minorHAnsi"/>
                <w:sz w:val="20"/>
                <w:szCs w:val="20"/>
                <w:lang w:val="en-US"/>
              </w:rPr>
              <w:t>FDAC</w:t>
            </w:r>
          </w:p>
        </w:tc>
        <w:tc>
          <w:tcPr>
            <w:tcW w:w="1701" w:type="dxa"/>
            <w:vAlign w:val="bottom"/>
          </w:tcPr>
          <w:p w14:paraId="54B2120B" w14:textId="5BDDA43F" w:rsidR="00BD74F5" w:rsidRPr="00101A70"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sidRPr="00101A70">
              <w:rPr>
                <w:rFonts w:ascii="Calibri" w:hAnsi="Calibri" w:cs="Calibri"/>
                <w:color w:val="FF0000"/>
                <w:sz w:val="20"/>
              </w:rPr>
              <w:t>127</w:t>
            </w:r>
            <w:r w:rsidR="005E1A1C">
              <w:rPr>
                <w:rFonts w:ascii="Calibri" w:hAnsi="Calibri" w:cs="Calibri"/>
                <w:color w:val="FF0000"/>
                <w:sz w:val="20"/>
              </w:rPr>
              <w:t>.</w:t>
            </w:r>
            <w:r w:rsidRPr="00101A70">
              <w:rPr>
                <w:rFonts w:ascii="Calibri" w:hAnsi="Calibri" w:cs="Calibri"/>
                <w:color w:val="FF0000"/>
                <w:sz w:val="20"/>
              </w:rPr>
              <w:t>84%</w:t>
            </w:r>
          </w:p>
        </w:tc>
        <w:tc>
          <w:tcPr>
            <w:tcW w:w="1985" w:type="dxa"/>
            <w:vAlign w:val="bottom"/>
          </w:tcPr>
          <w:p w14:paraId="4E6B08C9" w14:textId="6145EC82" w:rsidR="00BD74F5" w:rsidRPr="00101A70"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sidRPr="00101A70">
              <w:rPr>
                <w:rFonts w:ascii="Calibri" w:hAnsi="Calibri" w:cs="Calibri"/>
                <w:color w:val="FF0000"/>
                <w:sz w:val="20"/>
              </w:rPr>
              <w:t>129</w:t>
            </w:r>
            <w:r w:rsidR="005E1A1C">
              <w:rPr>
                <w:rFonts w:ascii="Calibri" w:hAnsi="Calibri" w:cs="Calibri"/>
                <w:color w:val="FF0000"/>
                <w:sz w:val="20"/>
              </w:rPr>
              <w:t>.</w:t>
            </w:r>
            <w:r w:rsidRPr="00101A70">
              <w:rPr>
                <w:rFonts w:ascii="Calibri" w:hAnsi="Calibri" w:cs="Calibri"/>
                <w:color w:val="FF0000"/>
                <w:sz w:val="20"/>
              </w:rPr>
              <w:t>41%</w:t>
            </w:r>
          </w:p>
        </w:tc>
        <w:tc>
          <w:tcPr>
            <w:tcW w:w="1842" w:type="dxa"/>
          </w:tcPr>
          <w:p w14:paraId="7B3CEA39" w14:textId="77777777" w:rsidR="00BD74F5" w:rsidRPr="00101A70"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sz w:val="20"/>
              </w:rPr>
            </w:pPr>
            <w:proofErr w:type="spellStart"/>
            <w:r>
              <w:rPr>
                <w:rFonts w:ascii="Calibri" w:hAnsi="Calibri" w:cs="Calibri"/>
                <w:color w:val="FF0000"/>
                <w:sz w:val="20"/>
              </w:rPr>
              <w:t>No</w:t>
            </w:r>
            <w:proofErr w:type="spellEnd"/>
          </w:p>
        </w:tc>
        <w:tc>
          <w:tcPr>
            <w:tcW w:w="2127" w:type="dxa"/>
          </w:tcPr>
          <w:p w14:paraId="6AF2796D" w14:textId="77777777" w:rsidR="00BD74F5" w:rsidRPr="00101A70"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sz w:val="20"/>
              </w:rPr>
            </w:pPr>
            <w:proofErr w:type="spellStart"/>
            <w:r>
              <w:rPr>
                <w:rFonts w:ascii="Calibri" w:hAnsi="Calibri" w:cs="Calibri"/>
                <w:color w:val="FF0000"/>
                <w:sz w:val="20"/>
              </w:rPr>
              <w:t>No</w:t>
            </w:r>
            <w:commentRangeEnd w:id="8"/>
            <w:proofErr w:type="spellEnd"/>
            <w:r>
              <w:rPr>
                <w:rStyle w:val="Kommentarzeichen"/>
              </w:rPr>
              <w:commentReference w:id="8"/>
            </w:r>
          </w:p>
        </w:tc>
      </w:tr>
    </w:tbl>
    <w:p w14:paraId="0FA38931" w14:textId="77777777" w:rsidR="00BD74F5" w:rsidRPr="00597049" w:rsidRDefault="00BD74F5" w:rsidP="00BD74F5">
      <w:pPr>
        <w:rPr>
          <w:noProof/>
          <w:lang w:val="en-US"/>
        </w:rPr>
      </w:pPr>
      <w:proofErr w:type="spellStart"/>
      <w:r>
        <w:rPr>
          <w:b/>
          <w:lang w:val="en-US"/>
        </w:rPr>
        <w:t>Carotit</w:t>
      </w:r>
      <w:proofErr w:type="spellEnd"/>
      <w:r>
        <w:rPr>
          <w:b/>
          <w:lang w:val="en-US"/>
        </w:rPr>
        <w:t>-T with saccular aneurysm type</w:t>
      </w:r>
      <w:r w:rsidRPr="00597049">
        <w:rPr>
          <w:noProof/>
          <w:lang w:val="en-US"/>
        </w:rPr>
        <w:t xml:space="preserve"> </w:t>
      </w:r>
    </w:p>
    <w:p w14:paraId="0FD2D945" w14:textId="77777777" w:rsidR="00BD74F5" w:rsidRDefault="00BD74F5" w:rsidP="00BD74F5">
      <w:pPr>
        <w:rPr>
          <w:lang w:val="en-US"/>
        </w:rPr>
      </w:pPr>
    </w:p>
    <w:p w14:paraId="26E5F5F3" w14:textId="09F3F407" w:rsidR="00BD74F5" w:rsidRPr="00E133DC" w:rsidRDefault="00BD74F5" w:rsidP="00BD74F5">
      <w:pPr>
        <w:pStyle w:val="Beschriftung"/>
        <w:framePr w:w="8956" w:hSpace="180" w:wrap="around" w:vAnchor="text" w:hAnchor="page" w:x="1411" w:y="9692"/>
        <w:jc w:val="center"/>
        <w:rPr>
          <w:lang w:val="en-US"/>
        </w:rPr>
      </w:pPr>
      <w:bookmarkStart w:id="9" w:name="_Ref173487153"/>
      <w:r w:rsidRPr="000A7748">
        <w:rPr>
          <w:lang w:val="en-US"/>
        </w:rPr>
        <w:t>Tab</w:t>
      </w:r>
      <w:bookmarkEnd w:id="9"/>
      <w:r w:rsidR="00E86CD0">
        <w:rPr>
          <w:lang w:val="en-US"/>
        </w:rPr>
        <w:t>.S3</w:t>
      </w:r>
      <w:r w:rsidRPr="000A7748">
        <w:rPr>
          <w:lang w:val="en-US"/>
        </w:rPr>
        <w:t xml:space="preserve">: </w:t>
      </w:r>
      <w:r w:rsidRPr="002519D1">
        <w:rPr>
          <w:lang w:val="en-US"/>
        </w:rPr>
        <w:t>Relative values of t</w:t>
      </w:r>
      <w:r>
        <w:rPr>
          <w:lang w:val="en-US"/>
        </w:rPr>
        <w:t xml:space="preserve">he used techniques for embolization treatment of the </w:t>
      </w:r>
      <w:r>
        <w:rPr>
          <w:rFonts w:cstheme="minorHAnsi"/>
          <w:szCs w:val="20"/>
          <w:lang w:val="en-US"/>
        </w:rPr>
        <w:t>c</w:t>
      </w:r>
      <w:r w:rsidRPr="00383549">
        <w:rPr>
          <w:rFonts w:cstheme="minorHAnsi"/>
          <w:szCs w:val="20"/>
          <w:lang w:val="en-US"/>
        </w:rPr>
        <w:t>arotid-T</w:t>
      </w:r>
      <w:r w:rsidRPr="00383549">
        <w:rPr>
          <w:sz w:val="16"/>
          <w:lang w:val="en-US"/>
        </w:rPr>
        <w:t xml:space="preserve"> </w:t>
      </w:r>
      <w:r>
        <w:rPr>
          <w:lang w:val="en-US"/>
        </w:rPr>
        <w:t>with only saccular aneurysm types. Values in green: Saving potential as a percentage of coils’ baseline value. This accounts vice versa for the red values.</w:t>
      </w:r>
    </w:p>
    <w:p w14:paraId="5F19227F" w14:textId="36EB5425" w:rsidR="00BD74F5" w:rsidRDefault="00BD74F5" w:rsidP="00BD74F5">
      <w:pPr>
        <w:rPr>
          <w:sz w:val="24"/>
          <w:szCs w:val="24"/>
          <w:lang w:val="en-US"/>
        </w:rPr>
      </w:pPr>
      <w:r>
        <w:rPr>
          <w:b/>
          <w:noProof/>
          <w:lang w:eastAsia="de-DE"/>
        </w:rPr>
        <w:drawing>
          <wp:anchor distT="0" distB="0" distL="114300" distR="114300" simplePos="0" relativeHeight="251669504" behindDoc="0" locked="0" layoutInCell="1" allowOverlap="1" wp14:anchorId="55307F15" wp14:editId="40883726">
            <wp:simplePos x="0" y="0"/>
            <wp:positionH relativeFrom="margin">
              <wp:posOffset>-4445</wp:posOffset>
            </wp:positionH>
            <wp:positionV relativeFrom="paragraph">
              <wp:posOffset>17145</wp:posOffset>
            </wp:positionV>
            <wp:extent cx="3684905" cy="2763520"/>
            <wp:effectExtent l="0" t="0" r="0" b="0"/>
            <wp:wrapSquare wrapText="bothSides"/>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3684905" cy="2763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E5280">
        <w:rPr>
          <w:noProof/>
          <w:lang w:eastAsia="de-DE"/>
        </w:rPr>
        <mc:AlternateContent>
          <mc:Choice Requires="wps">
            <w:drawing>
              <wp:anchor distT="0" distB="0" distL="114300" distR="114300" simplePos="0" relativeHeight="251661312" behindDoc="0" locked="0" layoutInCell="1" allowOverlap="1" wp14:anchorId="44B88392" wp14:editId="759C5EEA">
                <wp:simplePos x="0" y="0"/>
                <wp:positionH relativeFrom="margin">
                  <wp:align>left</wp:align>
                </wp:positionH>
                <wp:positionV relativeFrom="paragraph">
                  <wp:posOffset>2821940</wp:posOffset>
                </wp:positionV>
                <wp:extent cx="3695700" cy="546100"/>
                <wp:effectExtent l="0" t="0" r="0" b="6350"/>
                <wp:wrapSquare wrapText="bothSides"/>
                <wp:docPr id="9" name="Textfeld 9"/>
                <wp:cNvGraphicFramePr/>
                <a:graphic xmlns:a="http://schemas.openxmlformats.org/drawingml/2006/main">
                  <a:graphicData uri="http://schemas.microsoft.com/office/word/2010/wordprocessingShape">
                    <wps:wsp>
                      <wps:cNvSpPr txBox="1"/>
                      <wps:spPr>
                        <a:xfrm>
                          <a:off x="0" y="0"/>
                          <a:ext cx="3695700" cy="546100"/>
                        </a:xfrm>
                        <a:prstGeom prst="rect">
                          <a:avLst/>
                        </a:prstGeom>
                        <a:solidFill>
                          <a:prstClr val="white"/>
                        </a:solidFill>
                        <a:ln>
                          <a:noFill/>
                        </a:ln>
                      </wps:spPr>
                      <wps:txbx>
                        <w:txbxContent>
                          <w:p w14:paraId="0740193D" w14:textId="65133A21" w:rsidR="0084270F" w:rsidRPr="0027207B" w:rsidRDefault="0084270F" w:rsidP="00BD74F5">
                            <w:pPr>
                              <w:pStyle w:val="Beschriftung"/>
                              <w:jc w:val="center"/>
                              <w:rPr>
                                <w:noProof/>
                                <w:sz w:val="24"/>
                                <w:szCs w:val="24"/>
                              </w:rPr>
                            </w:pPr>
                            <w:bookmarkStart w:id="10" w:name="_Ref173218115"/>
                            <w:r w:rsidRPr="00C77805">
                              <w:rPr>
                                <w:lang w:val="en-US"/>
                              </w:rPr>
                              <w:t>Fi</w:t>
                            </w:r>
                            <w:r w:rsidR="00E86CD0">
                              <w:rPr>
                                <w:lang w:val="en-US"/>
                              </w:rPr>
                              <w:t>g.S</w:t>
                            </w:r>
                            <w:bookmarkEnd w:id="10"/>
                            <w:r w:rsidR="00E86CD0" w:rsidRPr="00E86CD0">
                              <w:rPr>
                                <w:lang w:val="en-US"/>
                              </w:rPr>
                              <w:t>3</w:t>
                            </w:r>
                            <w:r w:rsidRPr="00C77805">
                              <w:rPr>
                                <w:lang w:val="en-US"/>
                              </w:rPr>
                              <w:t xml:space="preserve">: </w:t>
                            </w:r>
                            <w:r w:rsidRPr="00E04A45">
                              <w:rPr>
                                <w:lang w:val="en-US"/>
                              </w:rPr>
                              <w:t>Juxtaposition</w:t>
                            </w:r>
                            <w:r>
                              <w:rPr>
                                <w:lang w:val="en-US"/>
                              </w:rPr>
                              <w:t xml:space="preserve"> </w:t>
                            </w:r>
                            <w:r w:rsidRPr="00E04A45">
                              <w:rPr>
                                <w:lang w:val="en-US"/>
                              </w:rPr>
                              <w:t>graph of the DAP a</w:t>
                            </w:r>
                            <w:r>
                              <w:rPr>
                                <w:lang w:val="en-US"/>
                              </w:rPr>
                              <w:t>nd ET for different techniques shown in boxplots. On top of the graph the absolute record number for this specific vessel and aneurysm type can be found. The big blue line indicates the national diagnostic reference level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B88392" id="Textfeld 9" o:spid="_x0000_s1028" type="#_x0000_t202" style="position:absolute;margin-left:0;margin-top:222.2pt;width:291pt;height:43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" stroked="f">
                <v:textbox inset="0,0,0,0">
                  <w:txbxContent>
                    <w:p w14:paraId="0740193D" w14:textId="65133A21" w:rsidR="0084270F" w:rsidRPr="0027207B" w:rsidRDefault="0084270F" w:rsidP="00BD74F5">
                      <w:pPr>
                        <w:pStyle w:val="Beschriftung"/>
                        <w:jc w:val="center"/>
                        <w:rPr>
                          <w:noProof/>
                          <w:sz w:val="24"/>
                          <w:szCs w:val="24"/>
                        </w:rPr>
                      </w:pPr>
                      <w:bookmarkStart w:id="11" w:name="_Ref173218115"/>
                      <w:r w:rsidRPr="00C77805">
                        <w:rPr>
                          <w:lang w:val="en-US"/>
                        </w:rPr>
                        <w:t>Fi</w:t>
                      </w:r>
                      <w:r w:rsidR="00E86CD0">
                        <w:rPr>
                          <w:lang w:val="en-US"/>
                        </w:rPr>
                        <w:t>g.S</w:t>
                      </w:r>
                      <w:bookmarkEnd w:id="11"/>
                      <w:r w:rsidR="00E86CD0" w:rsidRPr="00E86CD0">
                        <w:rPr>
                          <w:lang w:val="en-US"/>
                        </w:rPr>
                        <w:t>3</w:t>
                      </w:r>
                      <w:r w:rsidRPr="00C77805">
                        <w:rPr>
                          <w:lang w:val="en-US"/>
                        </w:rPr>
                        <w:t xml:space="preserve">: </w:t>
                      </w:r>
                      <w:r w:rsidRPr="00E04A45">
                        <w:rPr>
                          <w:lang w:val="en-US"/>
                        </w:rPr>
                        <w:t>Juxtaposition</w:t>
                      </w:r>
                      <w:r>
                        <w:rPr>
                          <w:lang w:val="en-US"/>
                        </w:rPr>
                        <w:t xml:space="preserve"> </w:t>
                      </w:r>
                      <w:r w:rsidRPr="00E04A45">
                        <w:rPr>
                          <w:lang w:val="en-US"/>
                        </w:rPr>
                        <w:t>graph of the DAP a</w:t>
                      </w:r>
                      <w:r>
                        <w:rPr>
                          <w:lang w:val="en-US"/>
                        </w:rPr>
                        <w:t>nd ET for different techniques shown in boxplots. On top of the graph the absolute record number for this specific vessel and aneurysm type can be found. The big blue line indicates the national diagnostic reference level</w:t>
                      </w:r>
                    </w:p>
                  </w:txbxContent>
                </v:textbox>
                <w10:wrap type="square" anchorx="margin"/>
              </v:shape>
            </w:pict>
          </mc:Fallback>
        </mc:AlternateContent>
      </w:r>
      <w:r w:rsidRPr="00FB266F">
        <w:rPr>
          <w:lang w:val="en-US"/>
        </w:rPr>
        <w:t xml:space="preserve"> </w:t>
      </w:r>
      <w:r>
        <w:rPr>
          <w:lang w:val="en-US"/>
        </w:rPr>
        <w:t>C</w:t>
      </w:r>
      <w:r w:rsidRPr="00FB266F">
        <w:rPr>
          <w:noProof/>
          <w:lang w:val="en-US" w:eastAsia="de-DE"/>
        </w:rPr>
        <w:t xml:space="preserve">E continues to be the most commonly </w:t>
      </w:r>
      <w:r>
        <w:rPr>
          <w:noProof/>
          <w:lang w:val="en-US" w:eastAsia="de-DE"/>
        </w:rPr>
        <w:t>employed</w:t>
      </w:r>
      <w:r w:rsidRPr="00FB266F">
        <w:rPr>
          <w:noProof/>
          <w:lang w:val="en-US" w:eastAsia="de-DE"/>
        </w:rPr>
        <w:t xml:space="preserve"> technique with 51.17% of records for the treatment of a saccular aneurysm of the caroti</w:t>
      </w:r>
      <w:r>
        <w:rPr>
          <w:noProof/>
          <w:lang w:val="en-US" w:eastAsia="de-DE"/>
        </w:rPr>
        <w:t>t terminus</w:t>
      </w:r>
      <w:r w:rsidRPr="00FB266F">
        <w:rPr>
          <w:noProof/>
          <w:lang w:val="en-US" w:eastAsia="de-DE"/>
        </w:rPr>
        <w:t xml:space="preserve">. This represents 4.11% of the total CE procedures. SAC (11.74%), FD (11.42%), BAC (11.27%), and IaFD (9.86%) based embolization approaches were used relatively equally frequently. However, SAC is considered the second most commonly used technique. Nevertheless, its median </w:t>
      </w:r>
      <w:r>
        <w:rPr>
          <w:noProof/>
          <w:lang w:val="en-US" w:eastAsia="de-DE"/>
        </w:rPr>
        <w:t>dose-area product</w:t>
      </w:r>
      <w:r w:rsidRPr="00FB266F">
        <w:rPr>
          <w:noProof/>
          <w:lang w:val="en-US" w:eastAsia="de-DE"/>
        </w:rPr>
        <w:t xml:space="preserve"> and </w:t>
      </w:r>
      <w:r>
        <w:rPr>
          <w:noProof/>
          <w:lang w:val="en-US" w:eastAsia="de-DE"/>
        </w:rPr>
        <w:t>exposure time</w:t>
      </w:r>
      <w:r w:rsidRPr="00FB266F">
        <w:rPr>
          <w:noProof/>
          <w:lang w:val="en-US" w:eastAsia="de-DE"/>
        </w:rPr>
        <w:t xml:space="preserve"> values exceeded the CE baseline by 21.11% and 50%, respectively. All other techniques used, except FDAC-based approaches, were below these values in terms of median DAP</w:t>
      </w:r>
      <w:r>
        <w:rPr>
          <w:noProof/>
          <w:lang w:val="en-US" w:eastAsia="de-DE"/>
        </w:rPr>
        <w:t xml:space="preserve">. </w:t>
      </w:r>
      <w:r w:rsidRPr="00743D19">
        <w:rPr>
          <w:noProof/>
          <w:lang w:val="en-US" w:eastAsia="de-DE"/>
        </w:rPr>
        <w:t xml:space="preserve">In terms of </w:t>
      </w:r>
      <w:r>
        <w:rPr>
          <w:noProof/>
          <w:lang w:val="en-US" w:eastAsia="de-DE"/>
        </w:rPr>
        <w:t>exposure time</w:t>
      </w:r>
      <w:r w:rsidRPr="00743D19">
        <w:rPr>
          <w:noProof/>
          <w:lang w:val="en-US" w:eastAsia="de-DE"/>
        </w:rPr>
        <w:t xml:space="preserve"> only FD (85.29%) and IaFD (76.47%) fell below, while BAC based technique approached (107.35%) and FDAC exceeded this baseline by 29.41%. The median </w:t>
      </w:r>
      <w:r>
        <w:rPr>
          <w:noProof/>
          <w:lang w:val="en-US" w:eastAsia="de-DE"/>
        </w:rPr>
        <w:t>dose-area product</w:t>
      </w:r>
      <w:r w:rsidRPr="00743D19">
        <w:rPr>
          <w:noProof/>
          <w:lang w:val="en-US" w:eastAsia="de-DE"/>
        </w:rPr>
        <w:t xml:space="preserve"> of all techniques used fell below the national </w:t>
      </w:r>
      <w:r>
        <w:rPr>
          <w:noProof/>
          <w:lang w:val="en-US" w:eastAsia="de-DE"/>
        </w:rPr>
        <w:t>diagnostic reference level</w:t>
      </w:r>
      <w:r w:rsidRPr="00743D19">
        <w:rPr>
          <w:noProof/>
          <w:lang w:val="en-US" w:eastAsia="de-DE"/>
        </w:rPr>
        <w:t xml:space="preserve"> of 20</w:t>
      </w:r>
      <w:r w:rsidR="0044424F">
        <w:rPr>
          <w:noProof/>
          <w:lang w:val="en-US" w:eastAsia="de-DE"/>
        </w:rPr>
        <w:t>,</w:t>
      </w:r>
      <w:r w:rsidRPr="00743D19">
        <w:rPr>
          <w:noProof/>
          <w:lang w:val="en-US" w:eastAsia="de-DE"/>
        </w:rPr>
        <w:t>000 cGycm</w:t>
      </w:r>
      <w:r w:rsidRPr="00BA17D1">
        <w:rPr>
          <w:noProof/>
          <w:vertAlign w:val="superscript"/>
          <w:lang w:val="en-US" w:eastAsia="de-DE"/>
        </w:rPr>
        <w:t>2</w:t>
      </w:r>
      <w:r w:rsidRPr="00BA17D1" w:rsidDel="00436FE6">
        <w:rPr>
          <w:noProof/>
          <w:vertAlign w:val="superscript"/>
          <w:lang w:val="en-US" w:eastAsia="de-DE"/>
        </w:rPr>
        <w:t xml:space="preserve"> </w:t>
      </w:r>
      <w:r w:rsidRPr="002E5280">
        <w:rPr>
          <w:lang w:val="en-US"/>
        </w:rPr>
        <w:t xml:space="preserve">(see </w:t>
      </w:r>
      <w:r w:rsidR="006F296C">
        <w:rPr>
          <w:lang w:val="en-US"/>
        </w:rPr>
        <w:t>Fig.S3 &amp; Tab.S3</w:t>
      </w:r>
      <w:r w:rsidRPr="002E5280">
        <w:rPr>
          <w:lang w:val="en-US"/>
        </w:rPr>
        <w:t xml:space="preserve">). </w:t>
      </w:r>
      <w:r w:rsidRPr="00E47E43">
        <w:rPr>
          <w:lang w:val="en-US"/>
        </w:rPr>
        <w:t>Only the 75</w:t>
      </w:r>
      <w:r w:rsidRPr="00BA17D1">
        <w:rPr>
          <w:vertAlign w:val="superscript"/>
          <w:lang w:val="en-US"/>
        </w:rPr>
        <w:t>th</w:t>
      </w:r>
      <w:r w:rsidRPr="00E47E43">
        <w:rPr>
          <w:lang w:val="en-US"/>
        </w:rPr>
        <w:t xml:space="preserve"> percentile of the FDAC techniques slightly exceeds this value. The significance for this analysis was found to be p = 0.0</w:t>
      </w:r>
      <w:r>
        <w:rPr>
          <w:lang w:val="en-US"/>
        </w:rPr>
        <w:t>38</w:t>
      </w:r>
      <w:r w:rsidRPr="00E47E43">
        <w:rPr>
          <w:lang w:val="en-US"/>
        </w:rPr>
        <w:t xml:space="preserve"> for </w:t>
      </w:r>
      <w:r>
        <w:rPr>
          <w:lang w:val="en-US"/>
        </w:rPr>
        <w:t>dose-area product</w:t>
      </w:r>
      <w:r w:rsidRPr="00E47E43">
        <w:rPr>
          <w:lang w:val="en-US"/>
        </w:rPr>
        <w:t xml:space="preserve"> and p </w:t>
      </w:r>
      <w:r>
        <w:rPr>
          <w:lang w:val="en-US"/>
        </w:rPr>
        <w:t>=</w:t>
      </w:r>
      <w:r w:rsidRPr="00E47E43">
        <w:rPr>
          <w:lang w:val="en-US"/>
        </w:rPr>
        <w:t xml:space="preserve"> </w:t>
      </w:r>
      <w:r>
        <w:rPr>
          <w:lang w:val="en-US"/>
        </w:rPr>
        <w:t>5</w:t>
      </w:r>
      <w:r w:rsidRPr="00E47E43">
        <w:rPr>
          <w:lang w:val="en-US"/>
        </w:rPr>
        <w:t>.</w:t>
      </w:r>
      <w:r>
        <w:rPr>
          <w:lang w:val="en-US"/>
        </w:rPr>
        <w:t>72</w:t>
      </w:r>
      <w:r>
        <w:rPr>
          <w:rFonts w:cstheme="minorHAnsi"/>
          <w:lang w:val="en-US"/>
        </w:rPr>
        <w:t>·</w:t>
      </w:r>
      <w:r>
        <w:rPr>
          <w:lang w:val="en-US"/>
        </w:rPr>
        <w:t>10</w:t>
      </w:r>
      <w:r>
        <w:rPr>
          <w:vertAlign w:val="superscript"/>
          <w:lang w:val="en-US"/>
        </w:rPr>
        <w:t>-8</w:t>
      </w:r>
      <w:r>
        <w:rPr>
          <w:lang w:val="en-US"/>
        </w:rPr>
        <w:t xml:space="preserve"> </w:t>
      </w:r>
      <w:r w:rsidRPr="00E47E43">
        <w:rPr>
          <w:lang w:val="en-US"/>
        </w:rPr>
        <w:t xml:space="preserve">for </w:t>
      </w:r>
      <w:r>
        <w:rPr>
          <w:lang w:val="en-US"/>
        </w:rPr>
        <w:t>exposure time</w:t>
      </w:r>
      <w:r w:rsidRPr="00E47E43">
        <w:rPr>
          <w:lang w:val="en-US"/>
        </w:rPr>
        <w:t>. In the case of fusiform aneurysm types, no significance could be found for this vessel, so no results are shown.</w:t>
      </w:r>
    </w:p>
    <w:p w14:paraId="624D5D51" w14:textId="77777777" w:rsidR="00BD74F5" w:rsidRDefault="00BD74F5" w:rsidP="00BD74F5">
      <w:pPr>
        <w:rPr>
          <w:b/>
          <w:lang w:val="en-US"/>
        </w:rPr>
      </w:pPr>
    </w:p>
    <w:tbl>
      <w:tblPr>
        <w:tblStyle w:val="EinfacheTabelle3"/>
        <w:tblpPr w:leftFromText="180" w:rightFromText="180" w:vertAnchor="text" w:horzAnchor="margin" w:tblpY="7494"/>
        <w:tblW w:w="0" w:type="auto"/>
        <w:tblLook w:val="04A0" w:firstRow="1" w:lastRow="0" w:firstColumn="1" w:lastColumn="0" w:noHBand="0" w:noVBand="1"/>
      </w:tblPr>
      <w:tblGrid>
        <w:gridCol w:w="1196"/>
        <w:gridCol w:w="1639"/>
        <w:gridCol w:w="2127"/>
        <w:gridCol w:w="1984"/>
        <w:gridCol w:w="2126"/>
      </w:tblGrid>
      <w:tr w:rsidR="00BD74F5" w:rsidRPr="0084270F" w14:paraId="5A0D0864" w14:textId="77777777" w:rsidTr="00FC4243">
        <w:trPr>
          <w:cnfStyle w:val="100000000000" w:firstRow="1" w:lastRow="0" w:firstColumn="0" w:lastColumn="0" w:oddVBand="0" w:evenVBand="0" w:oddHBand="0" w:evenHBand="0" w:firstRowFirstColumn="0" w:firstRowLastColumn="0" w:lastRowFirstColumn="0" w:lastRowLastColumn="0"/>
          <w:trHeight w:val="1174"/>
        </w:trPr>
        <w:tc>
          <w:tcPr>
            <w:cnfStyle w:val="001000000100" w:firstRow="0" w:lastRow="0" w:firstColumn="1" w:lastColumn="0" w:oddVBand="0" w:evenVBand="0" w:oddHBand="0" w:evenHBand="0" w:firstRowFirstColumn="1" w:firstRowLastColumn="0" w:lastRowFirstColumn="0" w:lastRowLastColumn="0"/>
            <w:tcW w:w="1196" w:type="dxa"/>
            <w:vAlign w:val="center"/>
          </w:tcPr>
          <w:p w14:paraId="4D01DDF1" w14:textId="77777777" w:rsidR="00BD74F5" w:rsidRPr="00E17B4A" w:rsidRDefault="00BD74F5" w:rsidP="00FC4243">
            <w:pPr>
              <w:jc w:val="center"/>
              <w:rPr>
                <w:rFonts w:cstheme="minorHAnsi"/>
                <w:sz w:val="20"/>
                <w:szCs w:val="20"/>
                <w:lang w:val="en-US"/>
              </w:rPr>
            </w:pPr>
            <w:bookmarkStart w:id="12" w:name="_Ref173218102"/>
            <w:commentRangeStart w:id="13"/>
            <w:r w:rsidRPr="00E17B4A">
              <w:rPr>
                <w:rFonts w:cstheme="minorHAnsi"/>
                <w:sz w:val="20"/>
                <w:szCs w:val="20"/>
                <w:lang w:val="en-US"/>
              </w:rPr>
              <w:lastRenderedPageBreak/>
              <w:t>Technique</w:t>
            </w:r>
          </w:p>
        </w:tc>
        <w:tc>
          <w:tcPr>
            <w:tcW w:w="1639" w:type="dxa"/>
            <w:vAlign w:val="center"/>
          </w:tcPr>
          <w:p w14:paraId="5BAC4782"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E17B4A">
              <w:rPr>
                <w:rFonts w:cstheme="minorHAnsi"/>
                <w:sz w:val="20"/>
                <w:szCs w:val="20"/>
                <w:lang w:val="en-US"/>
              </w:rPr>
              <w:t>Relative Dose-Area Product Compared to Coils</w:t>
            </w:r>
          </w:p>
        </w:tc>
        <w:tc>
          <w:tcPr>
            <w:tcW w:w="2127" w:type="dxa"/>
            <w:vAlign w:val="center"/>
          </w:tcPr>
          <w:p w14:paraId="7B4021B6"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E17B4A">
              <w:rPr>
                <w:rFonts w:cstheme="minorHAnsi"/>
                <w:sz w:val="20"/>
                <w:szCs w:val="20"/>
                <w:lang w:val="en-US"/>
              </w:rPr>
              <w:t>Relative Exposure Time Compared to Coils</w:t>
            </w:r>
          </w:p>
        </w:tc>
        <w:tc>
          <w:tcPr>
            <w:tcW w:w="1984" w:type="dxa"/>
            <w:vAlign w:val="center"/>
          </w:tcPr>
          <w:p w14:paraId="665A3B00"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FE2C72">
              <w:rPr>
                <w:rFonts w:cstheme="minorHAnsi"/>
                <w:sz w:val="20"/>
                <w:szCs w:val="20"/>
                <w:lang w:val="en-US"/>
              </w:rPr>
              <w:t>Dunn test: DAP significance of each technique compared to Coils</w:t>
            </w:r>
          </w:p>
        </w:tc>
        <w:tc>
          <w:tcPr>
            <w:tcW w:w="2126" w:type="dxa"/>
            <w:vAlign w:val="center"/>
          </w:tcPr>
          <w:p w14:paraId="2E9660D1"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FE2C72">
              <w:rPr>
                <w:rFonts w:cstheme="minorHAnsi"/>
                <w:sz w:val="20"/>
                <w:szCs w:val="20"/>
                <w:lang w:val="en-US"/>
              </w:rPr>
              <w:t>Dunn test: DAP significance of each technique compared to Coils</w:t>
            </w:r>
          </w:p>
        </w:tc>
      </w:tr>
      <w:tr w:rsidR="00BD74F5" w:rsidRPr="0084270F" w14:paraId="74F0EA1B" w14:textId="77777777" w:rsidTr="00FC4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vAlign w:val="center"/>
          </w:tcPr>
          <w:p w14:paraId="4107D5B2" w14:textId="77777777" w:rsidR="00BD74F5" w:rsidRPr="00101A70" w:rsidRDefault="00BD74F5" w:rsidP="00FC4243">
            <w:pPr>
              <w:jc w:val="center"/>
              <w:rPr>
                <w:rFonts w:cstheme="minorHAnsi"/>
                <w:sz w:val="20"/>
                <w:szCs w:val="20"/>
                <w:lang w:val="en-US"/>
              </w:rPr>
            </w:pPr>
          </w:p>
        </w:tc>
        <w:tc>
          <w:tcPr>
            <w:tcW w:w="7876" w:type="dxa"/>
            <w:gridSpan w:val="4"/>
            <w:vAlign w:val="center"/>
          </w:tcPr>
          <w:p w14:paraId="649DE0AF" w14:textId="77777777" w:rsidR="00BD74F5"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Pr>
                <w:rFonts w:cstheme="minorHAnsi"/>
                <w:sz w:val="20"/>
                <w:szCs w:val="20"/>
                <w:lang w:val="en-US"/>
              </w:rPr>
              <w:t xml:space="preserve">PICA </w:t>
            </w:r>
            <w:r w:rsidRPr="00101A70">
              <w:rPr>
                <w:rFonts w:cstheme="minorHAnsi"/>
                <w:sz w:val="20"/>
                <w:szCs w:val="20"/>
                <w:lang w:val="en-US"/>
              </w:rPr>
              <w:t>with saccular aneurysm</w:t>
            </w:r>
          </w:p>
          <w:p w14:paraId="17C17D4E" w14:textId="77777777" w:rsidR="00BD74F5"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101A70">
              <w:rPr>
                <w:rFonts w:cstheme="minorHAnsi"/>
                <w:sz w:val="20"/>
                <w:szCs w:val="20"/>
                <w:lang w:val="en-US"/>
              </w:rPr>
              <w:t xml:space="preserve">n = </w:t>
            </w:r>
            <w:r>
              <w:rPr>
                <w:rFonts w:cstheme="minorHAnsi"/>
                <w:sz w:val="20"/>
                <w:szCs w:val="20"/>
                <w:lang w:val="en-US"/>
              </w:rPr>
              <w:t>424</w:t>
            </w:r>
          </w:p>
        </w:tc>
      </w:tr>
      <w:tr w:rsidR="00BD74F5" w:rsidRPr="00F2169F" w14:paraId="69225C51" w14:textId="77777777" w:rsidTr="00FC4243">
        <w:tc>
          <w:tcPr>
            <w:cnfStyle w:val="001000000000" w:firstRow="0" w:lastRow="0" w:firstColumn="1" w:lastColumn="0" w:oddVBand="0" w:evenVBand="0" w:oddHBand="0" w:evenHBand="0" w:firstRowFirstColumn="0" w:firstRowLastColumn="0" w:lastRowFirstColumn="0" w:lastRowLastColumn="0"/>
            <w:tcW w:w="1196" w:type="dxa"/>
            <w:vAlign w:val="center"/>
          </w:tcPr>
          <w:p w14:paraId="595206AB" w14:textId="77777777" w:rsidR="00BD74F5" w:rsidRPr="00101A70" w:rsidRDefault="00BD74F5" w:rsidP="00FC4243">
            <w:pPr>
              <w:jc w:val="center"/>
              <w:rPr>
                <w:rFonts w:cstheme="minorHAnsi"/>
                <w:sz w:val="20"/>
                <w:szCs w:val="20"/>
                <w:lang w:val="en-US"/>
              </w:rPr>
            </w:pPr>
            <w:r>
              <w:rPr>
                <w:rFonts w:cstheme="minorHAnsi"/>
                <w:sz w:val="20"/>
                <w:szCs w:val="20"/>
                <w:lang w:val="en-US"/>
              </w:rPr>
              <w:t>CE</w:t>
            </w:r>
          </w:p>
        </w:tc>
        <w:tc>
          <w:tcPr>
            <w:tcW w:w="1639" w:type="dxa"/>
            <w:vAlign w:val="bottom"/>
          </w:tcPr>
          <w:p w14:paraId="3AD6A783" w14:textId="55F8E610" w:rsidR="00BD74F5" w:rsidRPr="00D8652E"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D8652E">
              <w:rPr>
                <w:rFonts w:ascii="Calibri" w:hAnsi="Calibri" w:cs="Calibri"/>
                <w:color w:val="000000"/>
                <w:sz w:val="20"/>
                <w:szCs w:val="20"/>
              </w:rPr>
              <w:t>100</w:t>
            </w:r>
            <w:r w:rsidR="005E1A1C">
              <w:rPr>
                <w:rFonts w:ascii="Calibri" w:hAnsi="Calibri" w:cs="Calibri"/>
                <w:color w:val="000000"/>
                <w:sz w:val="20"/>
                <w:szCs w:val="20"/>
              </w:rPr>
              <w:t>.</w:t>
            </w:r>
            <w:r w:rsidRPr="00D8652E">
              <w:rPr>
                <w:rFonts w:ascii="Calibri" w:hAnsi="Calibri" w:cs="Calibri"/>
                <w:color w:val="000000"/>
                <w:sz w:val="20"/>
                <w:szCs w:val="20"/>
              </w:rPr>
              <w:t>00%</w:t>
            </w:r>
          </w:p>
        </w:tc>
        <w:tc>
          <w:tcPr>
            <w:tcW w:w="2127" w:type="dxa"/>
            <w:vAlign w:val="bottom"/>
          </w:tcPr>
          <w:p w14:paraId="57E51AD0" w14:textId="0F587070" w:rsidR="00BD74F5" w:rsidRPr="00D8652E"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D8652E">
              <w:rPr>
                <w:rFonts w:ascii="Calibri" w:hAnsi="Calibri" w:cs="Calibri"/>
                <w:color w:val="000000"/>
                <w:sz w:val="20"/>
                <w:szCs w:val="20"/>
              </w:rPr>
              <w:t>100</w:t>
            </w:r>
            <w:r w:rsidR="005E1A1C">
              <w:rPr>
                <w:rFonts w:ascii="Calibri" w:hAnsi="Calibri" w:cs="Calibri"/>
                <w:color w:val="000000"/>
                <w:sz w:val="20"/>
                <w:szCs w:val="20"/>
              </w:rPr>
              <w:t>.</w:t>
            </w:r>
            <w:r w:rsidRPr="00D8652E">
              <w:rPr>
                <w:rFonts w:ascii="Calibri" w:hAnsi="Calibri" w:cs="Calibri"/>
                <w:color w:val="000000"/>
                <w:sz w:val="20"/>
                <w:szCs w:val="20"/>
              </w:rPr>
              <w:t>00%</w:t>
            </w:r>
          </w:p>
        </w:tc>
        <w:tc>
          <w:tcPr>
            <w:tcW w:w="1984" w:type="dxa"/>
            <w:vAlign w:val="center"/>
          </w:tcPr>
          <w:p w14:paraId="0B428FAF" w14:textId="77777777" w:rsidR="00BD74F5" w:rsidRPr="00D8652E"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hAnsi="Calibri" w:cs="Calibri"/>
                <w:color w:val="000000"/>
                <w:sz w:val="20"/>
                <w:szCs w:val="20"/>
              </w:rPr>
              <w:t>N/A</w:t>
            </w:r>
          </w:p>
        </w:tc>
        <w:tc>
          <w:tcPr>
            <w:tcW w:w="2126" w:type="dxa"/>
            <w:vAlign w:val="center"/>
          </w:tcPr>
          <w:p w14:paraId="138ED231" w14:textId="77777777" w:rsidR="00BD74F5" w:rsidRPr="00D8652E"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hAnsi="Calibri" w:cs="Calibri"/>
                <w:color w:val="000000"/>
                <w:sz w:val="20"/>
                <w:szCs w:val="20"/>
              </w:rPr>
              <w:t>N/A</w:t>
            </w:r>
          </w:p>
        </w:tc>
      </w:tr>
      <w:tr w:rsidR="00BD74F5" w:rsidRPr="00F2169F" w14:paraId="68F89AB2" w14:textId="77777777" w:rsidTr="00FC4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6" w:type="dxa"/>
            <w:vAlign w:val="center"/>
          </w:tcPr>
          <w:p w14:paraId="663C8A4E" w14:textId="77777777" w:rsidR="00BD74F5" w:rsidRPr="00101A70" w:rsidRDefault="00BD74F5" w:rsidP="00FC4243">
            <w:pPr>
              <w:jc w:val="center"/>
              <w:rPr>
                <w:rFonts w:cstheme="minorHAnsi"/>
                <w:sz w:val="20"/>
                <w:szCs w:val="20"/>
                <w:lang w:val="en-US"/>
              </w:rPr>
            </w:pPr>
            <w:r>
              <w:rPr>
                <w:rFonts w:cstheme="minorHAnsi"/>
                <w:sz w:val="20"/>
                <w:szCs w:val="20"/>
                <w:lang w:val="en-US"/>
              </w:rPr>
              <w:t>FD</w:t>
            </w:r>
          </w:p>
        </w:tc>
        <w:tc>
          <w:tcPr>
            <w:tcW w:w="1639" w:type="dxa"/>
            <w:vAlign w:val="bottom"/>
          </w:tcPr>
          <w:p w14:paraId="3B92CE58" w14:textId="3DACE948" w:rsidR="00BD74F5" w:rsidRPr="00D8652E"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sidRPr="00D8652E">
              <w:rPr>
                <w:rFonts w:ascii="Calibri" w:hAnsi="Calibri" w:cs="Calibri"/>
                <w:color w:val="000000"/>
                <w:sz w:val="20"/>
                <w:szCs w:val="20"/>
              </w:rPr>
              <w:t>94</w:t>
            </w:r>
            <w:r w:rsidR="005E1A1C">
              <w:rPr>
                <w:rFonts w:ascii="Calibri" w:hAnsi="Calibri" w:cs="Calibri"/>
                <w:color w:val="000000"/>
                <w:sz w:val="20"/>
                <w:szCs w:val="20"/>
              </w:rPr>
              <w:t>.</w:t>
            </w:r>
            <w:r w:rsidRPr="00D8652E">
              <w:rPr>
                <w:rFonts w:ascii="Calibri" w:hAnsi="Calibri" w:cs="Calibri"/>
                <w:color w:val="000000"/>
                <w:sz w:val="20"/>
                <w:szCs w:val="20"/>
              </w:rPr>
              <w:t>65%</w:t>
            </w:r>
          </w:p>
        </w:tc>
        <w:tc>
          <w:tcPr>
            <w:tcW w:w="2127" w:type="dxa"/>
            <w:vAlign w:val="bottom"/>
          </w:tcPr>
          <w:p w14:paraId="0A02D10D" w14:textId="60B4D0F4" w:rsidR="00BD74F5" w:rsidRPr="00D8652E"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sidRPr="0070512C">
              <w:rPr>
                <w:rFonts w:ascii="Calibri" w:hAnsi="Calibri" w:cs="Calibri"/>
                <w:color w:val="00B050"/>
                <w:sz w:val="20"/>
                <w:szCs w:val="20"/>
              </w:rPr>
              <w:t>69</w:t>
            </w:r>
            <w:r w:rsidR="005E1A1C">
              <w:rPr>
                <w:rFonts w:ascii="Calibri" w:hAnsi="Calibri" w:cs="Calibri"/>
                <w:color w:val="00B050"/>
                <w:sz w:val="20"/>
                <w:szCs w:val="20"/>
              </w:rPr>
              <w:t>.</w:t>
            </w:r>
            <w:r w:rsidRPr="0070512C">
              <w:rPr>
                <w:rFonts w:ascii="Calibri" w:hAnsi="Calibri" w:cs="Calibri"/>
                <w:color w:val="00B050"/>
                <w:sz w:val="20"/>
                <w:szCs w:val="20"/>
              </w:rPr>
              <w:t>70%</w:t>
            </w:r>
          </w:p>
        </w:tc>
        <w:tc>
          <w:tcPr>
            <w:tcW w:w="1984" w:type="dxa"/>
            <w:vAlign w:val="center"/>
          </w:tcPr>
          <w:p w14:paraId="291A935A" w14:textId="77777777" w:rsidR="00BD74F5" w:rsidRPr="0070512C" w:rsidRDefault="00BD74F5" w:rsidP="00FC424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B050"/>
                <w:sz w:val="20"/>
                <w:szCs w:val="20"/>
              </w:rPr>
            </w:pPr>
            <w:proofErr w:type="spellStart"/>
            <w:r w:rsidRPr="00B96289">
              <w:rPr>
                <w:rFonts w:ascii="Calibri" w:hAnsi="Calibri" w:cs="Calibri"/>
                <w:color w:val="FF0000"/>
                <w:sz w:val="20"/>
                <w:szCs w:val="20"/>
              </w:rPr>
              <w:t>No</w:t>
            </w:r>
            <w:proofErr w:type="spellEnd"/>
          </w:p>
        </w:tc>
        <w:tc>
          <w:tcPr>
            <w:tcW w:w="2126" w:type="dxa"/>
            <w:vAlign w:val="center"/>
          </w:tcPr>
          <w:p w14:paraId="7B939CF0" w14:textId="77777777" w:rsidR="00BD74F5" w:rsidRPr="0070512C" w:rsidRDefault="00BD74F5" w:rsidP="00FC424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B050"/>
                <w:sz w:val="20"/>
                <w:szCs w:val="20"/>
              </w:rPr>
            </w:pPr>
            <w:r>
              <w:rPr>
                <w:rFonts w:ascii="Calibri" w:hAnsi="Calibri" w:cs="Calibri"/>
                <w:color w:val="00B050"/>
                <w:sz w:val="20"/>
                <w:szCs w:val="20"/>
              </w:rPr>
              <w:t>Yes</w:t>
            </w:r>
          </w:p>
        </w:tc>
      </w:tr>
      <w:tr w:rsidR="00BD74F5" w:rsidRPr="00F2169F" w14:paraId="06CF6E01" w14:textId="77777777" w:rsidTr="00FC4243">
        <w:tc>
          <w:tcPr>
            <w:cnfStyle w:val="001000000000" w:firstRow="0" w:lastRow="0" w:firstColumn="1" w:lastColumn="0" w:oddVBand="0" w:evenVBand="0" w:oddHBand="0" w:evenHBand="0" w:firstRowFirstColumn="0" w:firstRowLastColumn="0" w:lastRowFirstColumn="0" w:lastRowLastColumn="0"/>
            <w:tcW w:w="1196" w:type="dxa"/>
            <w:vAlign w:val="center"/>
          </w:tcPr>
          <w:p w14:paraId="24539414" w14:textId="77777777" w:rsidR="00BD74F5" w:rsidRPr="00101A70" w:rsidRDefault="00BD74F5" w:rsidP="00FC4243">
            <w:pPr>
              <w:jc w:val="center"/>
              <w:rPr>
                <w:rFonts w:cstheme="minorHAnsi"/>
                <w:sz w:val="20"/>
                <w:szCs w:val="20"/>
                <w:lang w:val="en-US"/>
              </w:rPr>
            </w:pPr>
            <w:r>
              <w:rPr>
                <w:sz w:val="20"/>
                <w:szCs w:val="20"/>
                <w:lang w:val="en-US"/>
              </w:rPr>
              <w:t>SAC</w:t>
            </w:r>
          </w:p>
        </w:tc>
        <w:tc>
          <w:tcPr>
            <w:tcW w:w="1639" w:type="dxa"/>
            <w:vAlign w:val="bottom"/>
          </w:tcPr>
          <w:p w14:paraId="35648EF2" w14:textId="705B4F90" w:rsidR="00BD74F5" w:rsidRPr="0070512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sidRPr="0070512C">
              <w:rPr>
                <w:rFonts w:ascii="Calibri" w:hAnsi="Calibri" w:cs="Calibri"/>
                <w:color w:val="FF0000"/>
                <w:sz w:val="20"/>
                <w:szCs w:val="20"/>
              </w:rPr>
              <w:t>114</w:t>
            </w:r>
            <w:r w:rsidR="005E1A1C">
              <w:rPr>
                <w:rFonts w:ascii="Calibri" w:hAnsi="Calibri" w:cs="Calibri"/>
                <w:color w:val="FF0000"/>
                <w:sz w:val="20"/>
                <w:szCs w:val="20"/>
              </w:rPr>
              <w:t>.</w:t>
            </w:r>
            <w:r w:rsidRPr="0070512C">
              <w:rPr>
                <w:rFonts w:ascii="Calibri" w:hAnsi="Calibri" w:cs="Calibri"/>
                <w:color w:val="FF0000"/>
                <w:sz w:val="20"/>
                <w:szCs w:val="20"/>
              </w:rPr>
              <w:t>67%</w:t>
            </w:r>
          </w:p>
        </w:tc>
        <w:tc>
          <w:tcPr>
            <w:tcW w:w="2127" w:type="dxa"/>
            <w:vAlign w:val="bottom"/>
          </w:tcPr>
          <w:p w14:paraId="6DCC9EEC" w14:textId="2B337EB3" w:rsidR="00BD74F5" w:rsidRPr="0070512C"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sidRPr="0070512C">
              <w:rPr>
                <w:rFonts w:ascii="Calibri" w:hAnsi="Calibri" w:cs="Calibri"/>
                <w:color w:val="FF0000"/>
                <w:sz w:val="20"/>
                <w:szCs w:val="20"/>
              </w:rPr>
              <w:t>127</w:t>
            </w:r>
            <w:r w:rsidR="005E1A1C">
              <w:rPr>
                <w:rFonts w:ascii="Calibri" w:hAnsi="Calibri" w:cs="Calibri"/>
                <w:color w:val="FF0000"/>
                <w:sz w:val="20"/>
                <w:szCs w:val="20"/>
              </w:rPr>
              <w:t>.</w:t>
            </w:r>
            <w:r w:rsidRPr="0070512C">
              <w:rPr>
                <w:rFonts w:ascii="Calibri" w:hAnsi="Calibri" w:cs="Calibri"/>
                <w:color w:val="FF0000"/>
                <w:sz w:val="20"/>
                <w:szCs w:val="20"/>
              </w:rPr>
              <w:t>27%</w:t>
            </w:r>
          </w:p>
        </w:tc>
        <w:tc>
          <w:tcPr>
            <w:tcW w:w="1984" w:type="dxa"/>
            <w:vAlign w:val="center"/>
          </w:tcPr>
          <w:p w14:paraId="5DF9A8BC" w14:textId="77777777" w:rsidR="00BD74F5" w:rsidRPr="00B96289"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szCs w:val="20"/>
              </w:rPr>
            </w:pPr>
            <w:proofErr w:type="spellStart"/>
            <w:r w:rsidRPr="00B96289">
              <w:rPr>
                <w:rFonts w:ascii="Calibri" w:hAnsi="Calibri" w:cs="Calibri"/>
                <w:color w:val="FF0000"/>
                <w:sz w:val="20"/>
                <w:szCs w:val="20"/>
              </w:rPr>
              <w:t>No</w:t>
            </w:r>
            <w:proofErr w:type="spellEnd"/>
          </w:p>
        </w:tc>
        <w:tc>
          <w:tcPr>
            <w:tcW w:w="2126" w:type="dxa"/>
            <w:vAlign w:val="center"/>
          </w:tcPr>
          <w:p w14:paraId="4DCB2ECE" w14:textId="77777777" w:rsidR="00BD74F5" w:rsidRPr="00B96289"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szCs w:val="20"/>
              </w:rPr>
            </w:pPr>
            <w:proofErr w:type="spellStart"/>
            <w:r w:rsidRPr="00B96289">
              <w:rPr>
                <w:rFonts w:ascii="Calibri" w:hAnsi="Calibri" w:cs="Calibri"/>
                <w:color w:val="FF0000"/>
                <w:sz w:val="20"/>
                <w:szCs w:val="20"/>
              </w:rPr>
              <w:t>No</w:t>
            </w:r>
            <w:proofErr w:type="spellEnd"/>
          </w:p>
        </w:tc>
      </w:tr>
      <w:tr w:rsidR="00BD74F5" w:rsidRPr="00F2169F" w14:paraId="6827A5BF" w14:textId="77777777" w:rsidTr="00FC4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6" w:type="dxa"/>
            <w:vAlign w:val="center"/>
          </w:tcPr>
          <w:p w14:paraId="5EBBD5AF" w14:textId="77777777" w:rsidR="00BD74F5" w:rsidRPr="00101A70" w:rsidRDefault="00BD74F5" w:rsidP="00FC4243">
            <w:pPr>
              <w:jc w:val="center"/>
              <w:rPr>
                <w:rFonts w:cstheme="minorHAnsi"/>
                <w:sz w:val="20"/>
                <w:szCs w:val="20"/>
                <w:lang w:val="en-US"/>
              </w:rPr>
            </w:pPr>
            <w:r>
              <w:rPr>
                <w:rFonts w:cstheme="minorHAnsi"/>
                <w:sz w:val="20"/>
                <w:szCs w:val="20"/>
                <w:lang w:val="en-US"/>
              </w:rPr>
              <w:t>IaFD</w:t>
            </w:r>
          </w:p>
        </w:tc>
        <w:tc>
          <w:tcPr>
            <w:tcW w:w="1639" w:type="dxa"/>
            <w:vAlign w:val="bottom"/>
          </w:tcPr>
          <w:p w14:paraId="670172B0" w14:textId="49942E5C" w:rsidR="00BD74F5" w:rsidRPr="0070512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sidRPr="0070512C">
              <w:rPr>
                <w:rFonts w:ascii="Calibri" w:hAnsi="Calibri" w:cs="Calibri"/>
                <w:color w:val="00B050"/>
                <w:sz w:val="20"/>
                <w:szCs w:val="20"/>
              </w:rPr>
              <w:t>58</w:t>
            </w:r>
            <w:r w:rsidR="005E1A1C">
              <w:rPr>
                <w:rFonts w:ascii="Calibri" w:hAnsi="Calibri" w:cs="Calibri"/>
                <w:color w:val="00B050"/>
                <w:sz w:val="20"/>
                <w:szCs w:val="20"/>
              </w:rPr>
              <w:t>.</w:t>
            </w:r>
            <w:r w:rsidRPr="0070512C">
              <w:rPr>
                <w:rFonts w:ascii="Calibri" w:hAnsi="Calibri" w:cs="Calibri"/>
                <w:color w:val="00B050"/>
                <w:sz w:val="20"/>
                <w:szCs w:val="20"/>
              </w:rPr>
              <w:t>82%</w:t>
            </w:r>
          </w:p>
        </w:tc>
        <w:tc>
          <w:tcPr>
            <w:tcW w:w="2127" w:type="dxa"/>
            <w:vAlign w:val="bottom"/>
          </w:tcPr>
          <w:p w14:paraId="3D99BB28" w14:textId="669D217E" w:rsidR="00BD74F5" w:rsidRPr="0070512C"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sidRPr="0070512C">
              <w:rPr>
                <w:rFonts w:ascii="Calibri" w:hAnsi="Calibri" w:cs="Calibri"/>
                <w:color w:val="00B050"/>
                <w:sz w:val="20"/>
                <w:szCs w:val="20"/>
              </w:rPr>
              <w:t>68</w:t>
            </w:r>
            <w:r w:rsidR="005E1A1C">
              <w:rPr>
                <w:rFonts w:ascii="Calibri" w:hAnsi="Calibri" w:cs="Calibri"/>
                <w:color w:val="00B050"/>
                <w:sz w:val="20"/>
                <w:szCs w:val="20"/>
              </w:rPr>
              <w:t>.</w:t>
            </w:r>
            <w:r w:rsidRPr="0070512C">
              <w:rPr>
                <w:rFonts w:ascii="Calibri" w:hAnsi="Calibri" w:cs="Calibri"/>
                <w:color w:val="00B050"/>
                <w:sz w:val="20"/>
                <w:szCs w:val="20"/>
              </w:rPr>
              <w:t>18%</w:t>
            </w:r>
          </w:p>
        </w:tc>
        <w:tc>
          <w:tcPr>
            <w:tcW w:w="1984" w:type="dxa"/>
            <w:vAlign w:val="center"/>
          </w:tcPr>
          <w:p w14:paraId="4DADB29D" w14:textId="77777777" w:rsidR="00BD74F5" w:rsidRPr="0070512C" w:rsidRDefault="00BD74F5" w:rsidP="00FC424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B050"/>
                <w:sz w:val="20"/>
                <w:szCs w:val="20"/>
              </w:rPr>
            </w:pPr>
            <w:r>
              <w:rPr>
                <w:rFonts w:ascii="Calibri" w:hAnsi="Calibri" w:cs="Calibri"/>
                <w:color w:val="00B050"/>
                <w:sz w:val="20"/>
                <w:szCs w:val="20"/>
              </w:rPr>
              <w:t>Yes</w:t>
            </w:r>
          </w:p>
        </w:tc>
        <w:tc>
          <w:tcPr>
            <w:tcW w:w="2126" w:type="dxa"/>
            <w:vAlign w:val="center"/>
          </w:tcPr>
          <w:p w14:paraId="1BAA1D02" w14:textId="77777777" w:rsidR="00BD74F5" w:rsidRPr="0070512C" w:rsidRDefault="00BD74F5" w:rsidP="00FC424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B050"/>
                <w:sz w:val="20"/>
                <w:szCs w:val="20"/>
              </w:rPr>
            </w:pPr>
            <w:r>
              <w:rPr>
                <w:rFonts w:ascii="Calibri" w:hAnsi="Calibri" w:cs="Calibri"/>
                <w:color w:val="00B050"/>
                <w:sz w:val="20"/>
                <w:szCs w:val="20"/>
              </w:rPr>
              <w:t>Yes</w:t>
            </w:r>
          </w:p>
        </w:tc>
      </w:tr>
      <w:tr w:rsidR="00BD74F5" w:rsidRPr="00F2169F" w14:paraId="5D0FA92C" w14:textId="77777777" w:rsidTr="00FC4243">
        <w:tc>
          <w:tcPr>
            <w:cnfStyle w:val="001000000000" w:firstRow="0" w:lastRow="0" w:firstColumn="1" w:lastColumn="0" w:oddVBand="0" w:evenVBand="0" w:oddHBand="0" w:evenHBand="0" w:firstRowFirstColumn="0" w:firstRowLastColumn="0" w:lastRowFirstColumn="0" w:lastRowLastColumn="0"/>
            <w:tcW w:w="1196" w:type="dxa"/>
            <w:vAlign w:val="center"/>
          </w:tcPr>
          <w:p w14:paraId="540E904A" w14:textId="77777777" w:rsidR="00BD74F5" w:rsidRPr="00101A70" w:rsidRDefault="00BD74F5" w:rsidP="00FC4243">
            <w:pPr>
              <w:jc w:val="center"/>
              <w:rPr>
                <w:rFonts w:cstheme="minorHAnsi"/>
                <w:sz w:val="20"/>
                <w:szCs w:val="20"/>
                <w:lang w:val="en-US"/>
              </w:rPr>
            </w:pPr>
            <w:r>
              <w:rPr>
                <w:sz w:val="20"/>
                <w:szCs w:val="20"/>
                <w:lang w:val="en-US"/>
              </w:rPr>
              <w:t>BAC</w:t>
            </w:r>
          </w:p>
        </w:tc>
        <w:tc>
          <w:tcPr>
            <w:tcW w:w="1639" w:type="dxa"/>
            <w:vAlign w:val="bottom"/>
          </w:tcPr>
          <w:p w14:paraId="4DC2430B" w14:textId="5DB8EA3D" w:rsidR="00BD74F5" w:rsidRPr="00D8652E"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D8652E">
              <w:rPr>
                <w:rFonts w:ascii="Calibri" w:hAnsi="Calibri" w:cs="Calibri"/>
                <w:color w:val="000000"/>
                <w:sz w:val="20"/>
                <w:szCs w:val="20"/>
              </w:rPr>
              <w:t>101</w:t>
            </w:r>
            <w:r w:rsidR="005E1A1C">
              <w:rPr>
                <w:rFonts w:ascii="Calibri" w:hAnsi="Calibri" w:cs="Calibri"/>
                <w:color w:val="000000"/>
                <w:sz w:val="20"/>
                <w:szCs w:val="20"/>
              </w:rPr>
              <w:t>.</w:t>
            </w:r>
            <w:r w:rsidRPr="00D8652E">
              <w:rPr>
                <w:rFonts w:ascii="Calibri" w:hAnsi="Calibri" w:cs="Calibri"/>
                <w:color w:val="000000"/>
                <w:sz w:val="20"/>
                <w:szCs w:val="20"/>
              </w:rPr>
              <w:t>83%</w:t>
            </w:r>
          </w:p>
        </w:tc>
        <w:tc>
          <w:tcPr>
            <w:tcW w:w="2127" w:type="dxa"/>
            <w:vAlign w:val="bottom"/>
          </w:tcPr>
          <w:p w14:paraId="3092E6DF" w14:textId="6A3C28CD" w:rsidR="00BD74F5" w:rsidRPr="00D8652E"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D8652E">
              <w:rPr>
                <w:rFonts w:ascii="Calibri" w:hAnsi="Calibri" w:cs="Calibri"/>
                <w:color w:val="000000"/>
                <w:sz w:val="20"/>
                <w:szCs w:val="20"/>
              </w:rPr>
              <w:t>109</w:t>
            </w:r>
            <w:r w:rsidR="005E1A1C">
              <w:rPr>
                <w:rFonts w:ascii="Calibri" w:hAnsi="Calibri" w:cs="Calibri"/>
                <w:color w:val="000000"/>
                <w:sz w:val="20"/>
                <w:szCs w:val="20"/>
              </w:rPr>
              <w:t>.</w:t>
            </w:r>
            <w:r w:rsidRPr="00D8652E">
              <w:rPr>
                <w:rFonts w:ascii="Calibri" w:hAnsi="Calibri" w:cs="Calibri"/>
                <w:color w:val="000000"/>
                <w:sz w:val="20"/>
                <w:szCs w:val="20"/>
              </w:rPr>
              <w:t>09%</w:t>
            </w:r>
          </w:p>
        </w:tc>
        <w:tc>
          <w:tcPr>
            <w:tcW w:w="1984" w:type="dxa"/>
            <w:vAlign w:val="center"/>
          </w:tcPr>
          <w:p w14:paraId="0EAFC5BE" w14:textId="77777777" w:rsidR="00BD74F5" w:rsidRPr="00B96289"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szCs w:val="20"/>
              </w:rPr>
            </w:pPr>
            <w:proofErr w:type="spellStart"/>
            <w:r w:rsidRPr="00B96289">
              <w:rPr>
                <w:rFonts w:ascii="Calibri" w:hAnsi="Calibri" w:cs="Calibri"/>
                <w:color w:val="FF0000"/>
                <w:sz w:val="20"/>
                <w:szCs w:val="20"/>
              </w:rPr>
              <w:t>No</w:t>
            </w:r>
            <w:proofErr w:type="spellEnd"/>
          </w:p>
        </w:tc>
        <w:tc>
          <w:tcPr>
            <w:tcW w:w="2126" w:type="dxa"/>
            <w:vAlign w:val="center"/>
          </w:tcPr>
          <w:p w14:paraId="0841BD81" w14:textId="77777777" w:rsidR="00BD74F5" w:rsidRPr="00B96289"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szCs w:val="20"/>
              </w:rPr>
            </w:pPr>
            <w:proofErr w:type="spellStart"/>
            <w:r w:rsidRPr="00B96289">
              <w:rPr>
                <w:rFonts w:ascii="Calibri" w:hAnsi="Calibri" w:cs="Calibri"/>
                <w:color w:val="FF0000"/>
                <w:sz w:val="20"/>
                <w:szCs w:val="20"/>
              </w:rPr>
              <w:t>No</w:t>
            </w:r>
            <w:proofErr w:type="spellEnd"/>
          </w:p>
        </w:tc>
      </w:tr>
      <w:tr w:rsidR="00BD74F5" w:rsidRPr="00F2169F" w14:paraId="10CF38E9" w14:textId="77777777" w:rsidTr="00FC4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6" w:type="dxa"/>
            <w:vAlign w:val="center"/>
          </w:tcPr>
          <w:p w14:paraId="3CD9D660" w14:textId="77777777" w:rsidR="00BD74F5" w:rsidRPr="00101A70" w:rsidRDefault="00BD74F5" w:rsidP="00FC4243">
            <w:pPr>
              <w:jc w:val="center"/>
              <w:rPr>
                <w:rFonts w:cstheme="minorHAnsi"/>
                <w:sz w:val="20"/>
                <w:szCs w:val="20"/>
                <w:lang w:val="en-US"/>
              </w:rPr>
            </w:pPr>
            <w:r>
              <w:rPr>
                <w:rFonts w:cstheme="minorHAnsi"/>
                <w:sz w:val="20"/>
                <w:szCs w:val="20"/>
                <w:lang w:val="en-US"/>
              </w:rPr>
              <w:t>FDAC</w:t>
            </w:r>
          </w:p>
        </w:tc>
        <w:tc>
          <w:tcPr>
            <w:tcW w:w="1639" w:type="dxa"/>
            <w:vAlign w:val="bottom"/>
          </w:tcPr>
          <w:p w14:paraId="0C01EF1B" w14:textId="225B3BAD" w:rsidR="00BD74F5" w:rsidRPr="00D8652E"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sidRPr="0070512C">
              <w:rPr>
                <w:rFonts w:ascii="Calibri" w:hAnsi="Calibri" w:cs="Calibri"/>
                <w:color w:val="00B050"/>
                <w:sz w:val="20"/>
                <w:szCs w:val="20"/>
              </w:rPr>
              <w:t>85</w:t>
            </w:r>
            <w:r w:rsidR="005E1A1C">
              <w:rPr>
                <w:rFonts w:ascii="Calibri" w:hAnsi="Calibri" w:cs="Calibri"/>
                <w:color w:val="00B050"/>
                <w:sz w:val="20"/>
                <w:szCs w:val="20"/>
              </w:rPr>
              <w:t>.</w:t>
            </w:r>
            <w:r w:rsidRPr="0070512C">
              <w:rPr>
                <w:rFonts w:ascii="Calibri" w:hAnsi="Calibri" w:cs="Calibri"/>
                <w:color w:val="00B050"/>
                <w:sz w:val="20"/>
                <w:szCs w:val="20"/>
              </w:rPr>
              <w:t>58%</w:t>
            </w:r>
          </w:p>
        </w:tc>
        <w:tc>
          <w:tcPr>
            <w:tcW w:w="2127" w:type="dxa"/>
            <w:vAlign w:val="bottom"/>
          </w:tcPr>
          <w:p w14:paraId="413E8433" w14:textId="10A98B71" w:rsidR="00BD74F5" w:rsidRPr="00D8652E"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sidRPr="00D8652E">
              <w:rPr>
                <w:rFonts w:ascii="Calibri" w:hAnsi="Calibri" w:cs="Calibri"/>
                <w:color w:val="000000"/>
                <w:sz w:val="20"/>
                <w:szCs w:val="20"/>
              </w:rPr>
              <w:t>146</w:t>
            </w:r>
            <w:r w:rsidR="005E1A1C">
              <w:rPr>
                <w:rFonts w:ascii="Calibri" w:hAnsi="Calibri" w:cs="Calibri"/>
                <w:color w:val="000000"/>
                <w:sz w:val="20"/>
                <w:szCs w:val="20"/>
              </w:rPr>
              <w:t>.</w:t>
            </w:r>
            <w:r w:rsidRPr="00D8652E">
              <w:rPr>
                <w:rFonts w:ascii="Calibri" w:hAnsi="Calibri" w:cs="Calibri"/>
                <w:color w:val="000000"/>
                <w:sz w:val="20"/>
                <w:szCs w:val="20"/>
              </w:rPr>
              <w:t>97%</w:t>
            </w:r>
          </w:p>
        </w:tc>
        <w:tc>
          <w:tcPr>
            <w:tcW w:w="1984" w:type="dxa"/>
          </w:tcPr>
          <w:p w14:paraId="16626482" w14:textId="77777777" w:rsidR="00BD74F5" w:rsidRPr="00B96289"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sz w:val="20"/>
                <w:szCs w:val="20"/>
              </w:rPr>
            </w:pPr>
            <w:proofErr w:type="spellStart"/>
            <w:r w:rsidRPr="00B96289">
              <w:rPr>
                <w:rFonts w:ascii="Calibri" w:hAnsi="Calibri" w:cs="Calibri"/>
                <w:color w:val="FF0000"/>
                <w:sz w:val="20"/>
                <w:szCs w:val="20"/>
              </w:rPr>
              <w:t>No</w:t>
            </w:r>
            <w:proofErr w:type="spellEnd"/>
          </w:p>
        </w:tc>
        <w:tc>
          <w:tcPr>
            <w:tcW w:w="2126" w:type="dxa"/>
          </w:tcPr>
          <w:p w14:paraId="57B689BF" w14:textId="77777777" w:rsidR="00BD74F5" w:rsidRPr="00B96289"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sz w:val="20"/>
                <w:szCs w:val="20"/>
              </w:rPr>
            </w:pPr>
            <w:proofErr w:type="spellStart"/>
            <w:r w:rsidRPr="00B96289">
              <w:rPr>
                <w:rFonts w:ascii="Calibri" w:hAnsi="Calibri" w:cs="Calibri"/>
                <w:color w:val="FF0000"/>
                <w:sz w:val="20"/>
                <w:szCs w:val="20"/>
              </w:rPr>
              <w:t>No</w:t>
            </w:r>
            <w:commentRangeEnd w:id="13"/>
            <w:proofErr w:type="spellEnd"/>
            <w:r>
              <w:rPr>
                <w:rStyle w:val="Kommentarzeichen"/>
              </w:rPr>
              <w:commentReference w:id="13"/>
            </w:r>
          </w:p>
        </w:tc>
      </w:tr>
    </w:tbl>
    <w:p w14:paraId="78C6F1EC" w14:textId="0F185560" w:rsidR="00BD74F5" w:rsidRPr="0070512C" w:rsidRDefault="00BD74F5" w:rsidP="00BD74F5">
      <w:pPr>
        <w:pStyle w:val="Beschriftung"/>
        <w:framePr w:w="9076" w:hSpace="180" w:wrap="around" w:vAnchor="text" w:hAnchor="page" w:x="1411" w:y="11409"/>
        <w:jc w:val="center"/>
        <w:rPr>
          <w:lang w:val="en-US"/>
        </w:rPr>
      </w:pPr>
      <w:bookmarkStart w:id="14" w:name="_Ref173237341"/>
      <w:r w:rsidRPr="0070512C">
        <w:rPr>
          <w:lang w:val="en-US"/>
        </w:rPr>
        <w:t>Ta</w:t>
      </w:r>
      <w:bookmarkEnd w:id="14"/>
      <w:r w:rsidR="00E86CD0">
        <w:rPr>
          <w:lang w:val="en-US"/>
        </w:rPr>
        <w:t>b.S4</w:t>
      </w:r>
      <w:r w:rsidRPr="0070512C">
        <w:rPr>
          <w:lang w:val="en-US"/>
        </w:rPr>
        <w:t xml:space="preserve">: </w:t>
      </w:r>
      <w:r w:rsidRPr="002519D1">
        <w:rPr>
          <w:lang w:val="en-US"/>
        </w:rPr>
        <w:t>Relative values of t</w:t>
      </w:r>
      <w:r>
        <w:rPr>
          <w:lang w:val="en-US"/>
        </w:rPr>
        <w:t>he used techniques for embolization treatment of the arteria cerebelli posterior inferior with only saccular aneurysm types. Values in green: Saving potential as a percentage of coils’ baseline value. This accounts vice versa for the red values.</w:t>
      </w:r>
    </w:p>
    <w:p w14:paraId="033BDC2E" w14:textId="6AA18F37" w:rsidR="00BD74F5" w:rsidRPr="00A64096" w:rsidRDefault="00BD74F5" w:rsidP="00BD74F5">
      <w:pPr>
        <w:rPr>
          <w:noProof/>
          <w:vertAlign w:val="superscript"/>
          <w:lang w:val="en-US"/>
        </w:rPr>
      </w:pPr>
      <w:r>
        <w:rPr>
          <w:noProof/>
          <w:vertAlign w:val="superscript"/>
          <w:lang w:eastAsia="de-DE"/>
        </w:rPr>
        <w:drawing>
          <wp:anchor distT="0" distB="0" distL="114300" distR="114300" simplePos="0" relativeHeight="251670528" behindDoc="0" locked="0" layoutInCell="1" allowOverlap="1" wp14:anchorId="0AF21FE9" wp14:editId="05BEEC83">
            <wp:simplePos x="0" y="0"/>
            <wp:positionH relativeFrom="margin">
              <wp:posOffset>65405</wp:posOffset>
            </wp:positionH>
            <wp:positionV relativeFrom="paragraph">
              <wp:posOffset>405130</wp:posOffset>
            </wp:positionV>
            <wp:extent cx="3711575" cy="2663190"/>
            <wp:effectExtent l="0" t="0" r="3175" b="3810"/>
            <wp:wrapSquare wrapText="bothSides"/>
            <wp:docPr id="22" name="Grafik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3711575" cy="26631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de-DE"/>
        </w:rPr>
        <mc:AlternateContent>
          <mc:Choice Requires="wps">
            <w:drawing>
              <wp:anchor distT="0" distB="0" distL="114300" distR="114300" simplePos="0" relativeHeight="251662336" behindDoc="0" locked="0" layoutInCell="1" allowOverlap="1" wp14:anchorId="08842048" wp14:editId="4FD71098">
                <wp:simplePos x="0" y="0"/>
                <wp:positionH relativeFrom="margin">
                  <wp:align>left</wp:align>
                </wp:positionH>
                <wp:positionV relativeFrom="paragraph">
                  <wp:posOffset>3120390</wp:posOffset>
                </wp:positionV>
                <wp:extent cx="3851910" cy="466725"/>
                <wp:effectExtent l="0" t="0" r="0" b="9525"/>
                <wp:wrapSquare wrapText="bothSides"/>
                <wp:docPr id="15" name="Textfeld 15"/>
                <wp:cNvGraphicFramePr/>
                <a:graphic xmlns:a="http://schemas.openxmlformats.org/drawingml/2006/main">
                  <a:graphicData uri="http://schemas.microsoft.com/office/word/2010/wordprocessingShape">
                    <wps:wsp>
                      <wps:cNvSpPr txBox="1"/>
                      <wps:spPr>
                        <a:xfrm>
                          <a:off x="0" y="0"/>
                          <a:ext cx="3851910" cy="466725"/>
                        </a:xfrm>
                        <a:prstGeom prst="rect">
                          <a:avLst/>
                        </a:prstGeom>
                        <a:solidFill>
                          <a:prstClr val="white"/>
                        </a:solidFill>
                        <a:ln>
                          <a:noFill/>
                        </a:ln>
                      </wps:spPr>
                      <wps:txbx>
                        <w:txbxContent>
                          <w:p w14:paraId="5AA47C70" w14:textId="32B3C11C" w:rsidR="0084270F" w:rsidRPr="00C51E12" w:rsidRDefault="0084270F" w:rsidP="00BD74F5">
                            <w:pPr>
                              <w:pStyle w:val="Beschriftung"/>
                              <w:jc w:val="center"/>
                              <w:rPr>
                                <w:noProof/>
                                <w:vertAlign w:val="superscript"/>
                                <w:lang w:val="en-US"/>
                              </w:rPr>
                            </w:pPr>
                            <w:bookmarkStart w:id="15" w:name="_Ref173237335"/>
                            <w:r w:rsidRPr="009C036B">
                              <w:rPr>
                                <w:lang w:val="en-US"/>
                              </w:rPr>
                              <w:t>Fig</w:t>
                            </w:r>
                            <w:bookmarkEnd w:id="15"/>
                            <w:r w:rsidR="00E86CD0">
                              <w:rPr>
                                <w:lang w:val="en-US"/>
                              </w:rPr>
                              <w:t>.S4</w:t>
                            </w:r>
                            <w:r w:rsidRPr="009C036B">
                              <w:rPr>
                                <w:lang w:val="en-US"/>
                              </w:rPr>
                              <w:t xml:space="preserve">: </w:t>
                            </w:r>
                            <w:r w:rsidRPr="00E04A45">
                              <w:rPr>
                                <w:lang w:val="en-US"/>
                              </w:rPr>
                              <w:t>Juxtaposition</w:t>
                            </w:r>
                            <w:r>
                              <w:rPr>
                                <w:lang w:val="en-US"/>
                              </w:rPr>
                              <w:t xml:space="preserve"> </w:t>
                            </w:r>
                            <w:r w:rsidRPr="00E04A45">
                              <w:rPr>
                                <w:lang w:val="en-US"/>
                              </w:rPr>
                              <w:t>graph of the DAP a</w:t>
                            </w:r>
                            <w:r>
                              <w:rPr>
                                <w:lang w:val="en-US"/>
                              </w:rPr>
                              <w:t>nd ET for different techniques shown in boxplots. On top of the graph the absolute record number for this specific vessel and aneurysm type can be found. The big blue line indicates the national diagnostic reference level.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42048" id="Textfeld 15" o:spid="_x0000_s1029" type="#_x0000_t202" style="position:absolute;margin-left:0;margin-top:245.7pt;width:303.3pt;height:36.7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" stroked="f">
                <v:textbox inset="0,0,0,0">
                  <w:txbxContent>
                    <w:p w14:paraId="5AA47C70" w14:textId="32B3C11C" w:rsidR="0084270F" w:rsidRPr="00C51E12" w:rsidRDefault="0084270F" w:rsidP="00BD74F5">
                      <w:pPr>
                        <w:pStyle w:val="Beschriftung"/>
                        <w:jc w:val="center"/>
                        <w:rPr>
                          <w:noProof/>
                          <w:vertAlign w:val="superscript"/>
                          <w:lang w:val="en-US"/>
                        </w:rPr>
                      </w:pPr>
                      <w:bookmarkStart w:id="16" w:name="_Ref173237335"/>
                      <w:r w:rsidRPr="009C036B">
                        <w:rPr>
                          <w:lang w:val="en-US"/>
                        </w:rPr>
                        <w:t>Fig</w:t>
                      </w:r>
                      <w:bookmarkEnd w:id="16"/>
                      <w:r w:rsidR="00E86CD0">
                        <w:rPr>
                          <w:lang w:val="en-US"/>
                        </w:rPr>
                        <w:t>.S4</w:t>
                      </w:r>
                      <w:r w:rsidRPr="009C036B">
                        <w:rPr>
                          <w:lang w:val="en-US"/>
                        </w:rPr>
                        <w:t xml:space="preserve">: </w:t>
                      </w:r>
                      <w:r w:rsidRPr="00E04A45">
                        <w:rPr>
                          <w:lang w:val="en-US"/>
                        </w:rPr>
                        <w:t>Juxtaposition</w:t>
                      </w:r>
                      <w:r>
                        <w:rPr>
                          <w:lang w:val="en-US"/>
                        </w:rPr>
                        <w:t xml:space="preserve"> </w:t>
                      </w:r>
                      <w:r w:rsidRPr="00E04A45">
                        <w:rPr>
                          <w:lang w:val="en-US"/>
                        </w:rPr>
                        <w:t>graph of the DAP a</w:t>
                      </w:r>
                      <w:r>
                        <w:rPr>
                          <w:lang w:val="en-US"/>
                        </w:rPr>
                        <w:t>nd ET for different techniques shown in boxplots. On top of the graph the absolute record number for this specific vessel and aneurysm type can be found. The big blue line indicates the national diagnostic reference level.</w:t>
                      </w:r>
                    </w:p>
                  </w:txbxContent>
                </v:textbox>
                <w10:wrap type="square" anchorx="margin"/>
              </v:shape>
            </w:pict>
          </mc:Fallback>
        </mc:AlternateContent>
      </w:r>
      <w:r>
        <w:rPr>
          <w:b/>
          <w:lang w:val="en-US"/>
        </w:rPr>
        <w:t>Posterior inferior cerebellar artery (PICA) with saccular aneurysm type</w:t>
      </w:r>
      <w:r>
        <w:rPr>
          <w:noProof/>
          <w:vertAlign w:val="superscript"/>
          <w:lang w:val="en-US"/>
        </w:rPr>
        <w:t xml:space="preserve"> </w:t>
      </w:r>
      <w:r>
        <w:rPr>
          <w:noProof/>
          <w:vertAlign w:val="superscript"/>
          <w:lang w:val="en-US"/>
        </w:rPr>
        <w:br/>
      </w:r>
      <w:r>
        <w:rPr>
          <w:noProof/>
          <w:vertAlign w:val="superscript"/>
          <w:lang w:val="en-US"/>
        </w:rPr>
        <w:br/>
      </w:r>
      <w:r w:rsidRPr="00E133DC">
        <w:rPr>
          <w:noProof/>
          <w:lang w:val="en-US"/>
        </w:rPr>
        <w:t xml:space="preserve"> </w:t>
      </w:r>
      <w:bookmarkEnd w:id="12"/>
      <w:r w:rsidRPr="00E47E43">
        <w:rPr>
          <w:noProof/>
          <w:lang w:val="en-US"/>
        </w:rPr>
        <w:t xml:space="preserve">Looking at the records for aneurysm therapy of the posterior inferior cerebellar artery with saccular aneurysm type, we can see that the CE approach remains the most used with 61.56% of all records for this subset. This is similar to 3.29% of all remaining CE records after filtering. A median comparison shows that this technique is only in third place in terms of median </w:t>
      </w:r>
      <w:r>
        <w:rPr>
          <w:noProof/>
          <w:lang w:val="en-US"/>
        </w:rPr>
        <w:t>dose-area product</w:t>
      </w:r>
      <w:r w:rsidRPr="00E47E43">
        <w:rPr>
          <w:noProof/>
          <w:lang w:val="en-US"/>
        </w:rPr>
        <w:t xml:space="preserve"> and </w:t>
      </w:r>
      <w:r>
        <w:rPr>
          <w:noProof/>
          <w:lang w:val="en-US"/>
        </w:rPr>
        <w:t>exposure time</w:t>
      </w:r>
      <w:r w:rsidRPr="00E47E43">
        <w:rPr>
          <w:noProof/>
          <w:lang w:val="en-US"/>
        </w:rPr>
        <w:t xml:space="preserve">. IaFD and FDAC based approaches yield lower median </w:t>
      </w:r>
      <w:r>
        <w:rPr>
          <w:noProof/>
          <w:lang w:val="en-US"/>
        </w:rPr>
        <w:t>dose-area product</w:t>
      </w:r>
      <w:r w:rsidRPr="00E47E43">
        <w:rPr>
          <w:noProof/>
          <w:lang w:val="en-US"/>
        </w:rPr>
        <w:t xml:space="preserve"> with 58.82% and 85.58% respectively. CE therapies also rank third in terms of median </w:t>
      </w:r>
      <w:r>
        <w:rPr>
          <w:noProof/>
          <w:lang w:val="en-US"/>
        </w:rPr>
        <w:t>exposure time</w:t>
      </w:r>
      <w:r w:rsidRPr="00E47E43">
        <w:rPr>
          <w:noProof/>
          <w:lang w:val="en-US"/>
        </w:rPr>
        <w:t>.</w:t>
      </w:r>
      <w:r>
        <w:rPr>
          <w:noProof/>
          <w:lang w:val="en-US"/>
        </w:rPr>
        <w:t xml:space="preserve"> </w:t>
      </w:r>
      <w:r w:rsidRPr="00E65A4B">
        <w:rPr>
          <w:lang w:val="en-US"/>
        </w:rPr>
        <w:t xml:space="preserve">In this case, FD and </w:t>
      </w:r>
      <w:proofErr w:type="spellStart"/>
      <w:r w:rsidRPr="00E65A4B">
        <w:rPr>
          <w:lang w:val="en-US"/>
        </w:rPr>
        <w:t>IaFD</w:t>
      </w:r>
      <w:proofErr w:type="spellEnd"/>
      <w:r w:rsidRPr="00E65A4B">
        <w:rPr>
          <w:lang w:val="en-US"/>
        </w:rPr>
        <w:t xml:space="preserve"> techniques are more time efficient with 69.70% and 68.18% compared to CE's baseline </w:t>
      </w:r>
      <w:r>
        <w:rPr>
          <w:lang w:val="en-US"/>
        </w:rPr>
        <w:t>exposure time</w:t>
      </w:r>
      <w:r w:rsidRPr="00E65A4B">
        <w:rPr>
          <w:lang w:val="en-US"/>
        </w:rPr>
        <w:t xml:space="preserve">. FD-based approaches are successful only when compared to </w:t>
      </w:r>
      <w:r>
        <w:rPr>
          <w:lang w:val="en-US"/>
        </w:rPr>
        <w:t>exposure time</w:t>
      </w:r>
      <w:r w:rsidRPr="00E65A4B">
        <w:rPr>
          <w:lang w:val="en-US"/>
        </w:rPr>
        <w:t xml:space="preserve">, while </w:t>
      </w:r>
      <w:r>
        <w:rPr>
          <w:lang w:val="en-US"/>
        </w:rPr>
        <w:t>dose-area product</w:t>
      </w:r>
      <w:r w:rsidRPr="00E65A4B">
        <w:rPr>
          <w:lang w:val="en-US"/>
        </w:rPr>
        <w:t xml:space="preserve"> is similar to CE's baseline. The reverse is true for FDAC. </w:t>
      </w:r>
      <w:proofErr w:type="spellStart"/>
      <w:r w:rsidRPr="00E65A4B">
        <w:rPr>
          <w:lang w:val="en-US"/>
        </w:rPr>
        <w:t>IaFD</w:t>
      </w:r>
      <w:proofErr w:type="spellEnd"/>
      <w:r w:rsidRPr="00E65A4B">
        <w:rPr>
          <w:lang w:val="en-US"/>
        </w:rPr>
        <w:t xml:space="preserve"> are more efficient in both respects.</w:t>
      </w:r>
      <w:r>
        <w:rPr>
          <w:lang w:val="en-US"/>
        </w:rPr>
        <w:t xml:space="preserve"> </w:t>
      </w:r>
      <w:r w:rsidRPr="00AF0D30">
        <w:rPr>
          <w:lang w:val="en-US"/>
        </w:rPr>
        <w:t xml:space="preserve">The significance was p </w:t>
      </w:r>
      <w:r>
        <w:rPr>
          <w:lang w:val="en-US"/>
        </w:rPr>
        <w:t>= 0.005</w:t>
      </w:r>
      <w:r w:rsidRPr="00AF0D30">
        <w:rPr>
          <w:lang w:val="en-US"/>
        </w:rPr>
        <w:t xml:space="preserve"> for </w:t>
      </w:r>
      <w:r>
        <w:rPr>
          <w:lang w:val="en-US"/>
        </w:rPr>
        <w:t>dose-area product</w:t>
      </w:r>
      <w:r w:rsidRPr="00AF0D30">
        <w:rPr>
          <w:lang w:val="en-US"/>
        </w:rPr>
        <w:t xml:space="preserve"> and p </w:t>
      </w:r>
      <w:r>
        <w:rPr>
          <w:lang w:val="en-US"/>
        </w:rPr>
        <w:t>= 3.75</w:t>
      </w:r>
      <w:r>
        <w:rPr>
          <w:rFonts w:cstheme="minorHAnsi"/>
          <w:lang w:val="en-US"/>
        </w:rPr>
        <w:t>·</w:t>
      </w:r>
      <w:r>
        <w:rPr>
          <w:lang w:val="en-US"/>
        </w:rPr>
        <w:t>10</w:t>
      </w:r>
      <w:r>
        <w:rPr>
          <w:vertAlign w:val="superscript"/>
          <w:lang w:val="en-US"/>
        </w:rPr>
        <w:t>-7</w:t>
      </w:r>
      <w:r w:rsidRPr="00AF0D30">
        <w:rPr>
          <w:lang w:val="en-US"/>
        </w:rPr>
        <w:t xml:space="preserve"> for </w:t>
      </w:r>
      <w:r>
        <w:rPr>
          <w:lang w:val="en-US"/>
        </w:rPr>
        <w:t>exposure time</w:t>
      </w:r>
      <w:r w:rsidRPr="00AF0D30">
        <w:rPr>
          <w:lang w:val="en-US"/>
        </w:rPr>
        <w:t>.  No significance was found for the combination of this vessel with fusiform aneurysm types (p = 0.9), so no results are listed.</w:t>
      </w:r>
      <w:r>
        <w:rPr>
          <w:lang w:val="en-US"/>
        </w:rPr>
        <w:t xml:space="preserve"> </w:t>
      </w:r>
      <w:r w:rsidRPr="00FB266F">
        <w:rPr>
          <w:lang w:val="en-US"/>
        </w:rPr>
        <w:t>All of the listed techniques used to treat this type of aneurysm</w:t>
      </w:r>
      <w:r>
        <w:rPr>
          <w:lang w:val="en-US"/>
        </w:rPr>
        <w:t xml:space="preserve"> </w:t>
      </w:r>
      <w:r w:rsidRPr="00FB266F">
        <w:rPr>
          <w:lang w:val="en-US"/>
        </w:rPr>
        <w:t xml:space="preserve">combination fell below the national </w:t>
      </w:r>
      <w:r>
        <w:rPr>
          <w:lang w:val="en-US"/>
        </w:rPr>
        <w:t>diagnostic reference level</w:t>
      </w:r>
      <w:r w:rsidRPr="00FB266F">
        <w:rPr>
          <w:lang w:val="en-US"/>
        </w:rPr>
        <w:t xml:space="preserve"> of 20</w:t>
      </w:r>
      <w:r w:rsidR="006F296C">
        <w:rPr>
          <w:lang w:val="en-US"/>
        </w:rPr>
        <w:t>,</w:t>
      </w:r>
      <w:r w:rsidRPr="00FB266F">
        <w:rPr>
          <w:lang w:val="en-US"/>
        </w:rPr>
        <w:t>000 cGy</w:t>
      </w:r>
      <w:r w:rsidRPr="00FB266F">
        <w:rPr>
          <w:sz w:val="20"/>
          <w:lang w:val="en-US"/>
        </w:rPr>
        <w:t>cm</w:t>
      </w:r>
      <w:r>
        <w:rPr>
          <w:sz w:val="20"/>
          <w:vertAlign w:val="superscript"/>
          <w:lang w:val="en-US"/>
        </w:rPr>
        <w:t>2</w:t>
      </w:r>
      <w:r>
        <w:rPr>
          <w:sz w:val="20"/>
          <w:lang w:val="en-US"/>
        </w:rPr>
        <w:t xml:space="preserve"> (</w:t>
      </w:r>
      <w:r w:rsidRPr="00866EBE">
        <w:rPr>
          <w:lang w:val="en-US"/>
        </w:rPr>
        <w:t>see</w:t>
      </w:r>
      <w:r>
        <w:rPr>
          <w:lang w:val="en-US"/>
        </w:rPr>
        <w:t xml:space="preserve"> </w:t>
      </w:r>
      <w:r w:rsidR="006F296C">
        <w:rPr>
          <w:lang w:val="en-US"/>
        </w:rPr>
        <w:t>Fig.S4 &amp; Tab.S4</w:t>
      </w:r>
      <w:r>
        <w:rPr>
          <w:lang w:val="en-US"/>
        </w:rPr>
        <w:t>).</w:t>
      </w:r>
    </w:p>
    <w:p w14:paraId="2A7A847D" w14:textId="77777777" w:rsidR="00BD74F5" w:rsidRDefault="00BD74F5" w:rsidP="00BD74F5">
      <w:pPr>
        <w:rPr>
          <w:b/>
          <w:lang w:val="en-US"/>
        </w:rPr>
      </w:pPr>
      <w:r>
        <w:rPr>
          <w:noProof/>
          <w:lang w:eastAsia="de-DE"/>
        </w:rPr>
        <w:lastRenderedPageBreak/>
        <w:drawing>
          <wp:anchor distT="0" distB="0" distL="114300" distR="114300" simplePos="0" relativeHeight="251671552" behindDoc="0" locked="0" layoutInCell="1" allowOverlap="1" wp14:anchorId="08A47808" wp14:editId="7E06B459">
            <wp:simplePos x="0" y="0"/>
            <wp:positionH relativeFrom="margin">
              <wp:posOffset>-13970</wp:posOffset>
            </wp:positionH>
            <wp:positionV relativeFrom="paragraph">
              <wp:posOffset>492669</wp:posOffset>
            </wp:positionV>
            <wp:extent cx="5761990" cy="2698297"/>
            <wp:effectExtent l="0" t="0" r="0" b="6985"/>
            <wp:wrapSquare wrapText="bothSides"/>
            <wp:docPr id="35" name="Grafik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761990" cy="269829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de-DE"/>
        </w:rPr>
        <mc:AlternateContent>
          <mc:Choice Requires="wps">
            <w:drawing>
              <wp:anchor distT="0" distB="0" distL="114300" distR="114300" simplePos="0" relativeHeight="251663360" behindDoc="0" locked="0" layoutInCell="1" allowOverlap="1" wp14:anchorId="3B2EDC7C" wp14:editId="0FCD4BC1">
                <wp:simplePos x="0" y="0"/>
                <wp:positionH relativeFrom="margin">
                  <wp:posOffset>-12065</wp:posOffset>
                </wp:positionH>
                <wp:positionV relativeFrom="paragraph">
                  <wp:posOffset>3259455</wp:posOffset>
                </wp:positionV>
                <wp:extent cx="5762625" cy="447675"/>
                <wp:effectExtent l="0" t="0" r="9525" b="9525"/>
                <wp:wrapTopAndBottom/>
                <wp:docPr id="24" name="Textfeld 24"/>
                <wp:cNvGraphicFramePr/>
                <a:graphic xmlns:a="http://schemas.openxmlformats.org/drawingml/2006/main">
                  <a:graphicData uri="http://schemas.microsoft.com/office/word/2010/wordprocessingShape">
                    <wps:wsp>
                      <wps:cNvSpPr txBox="1"/>
                      <wps:spPr>
                        <a:xfrm>
                          <a:off x="0" y="0"/>
                          <a:ext cx="5762625" cy="447675"/>
                        </a:xfrm>
                        <a:prstGeom prst="rect">
                          <a:avLst/>
                        </a:prstGeom>
                        <a:solidFill>
                          <a:prstClr val="white"/>
                        </a:solidFill>
                        <a:ln>
                          <a:noFill/>
                        </a:ln>
                      </wps:spPr>
                      <wps:txbx>
                        <w:txbxContent>
                          <w:p w14:paraId="7B3A7059" w14:textId="724FEFDA" w:rsidR="0084270F" w:rsidRDefault="0084270F" w:rsidP="00BD74F5">
                            <w:pPr>
                              <w:pStyle w:val="Beschriftung"/>
                              <w:jc w:val="center"/>
                              <w:rPr>
                                <w:lang w:val="en-US"/>
                              </w:rPr>
                            </w:pPr>
                            <w:r w:rsidRPr="006B2EF0">
                              <w:rPr>
                                <w:lang w:val="en-US"/>
                              </w:rPr>
                              <w:t>Fig</w:t>
                            </w:r>
                            <w:r w:rsidR="00E86CD0">
                              <w:rPr>
                                <w:lang w:val="en-US"/>
                              </w:rPr>
                              <w:t>.S5</w:t>
                            </w:r>
                            <w:r w:rsidRPr="006B2EF0">
                              <w:rPr>
                                <w:lang w:val="en-US"/>
                              </w:rPr>
                              <w:t xml:space="preserve">: </w:t>
                            </w:r>
                            <w:proofErr w:type="spellStart"/>
                            <w:r w:rsidRPr="00E04A45">
                              <w:rPr>
                                <w:lang w:val="en-US"/>
                              </w:rPr>
                              <w:t>Juxtapositiongraph</w:t>
                            </w:r>
                            <w:proofErr w:type="spellEnd"/>
                            <w:r w:rsidRPr="00E04A45">
                              <w:rPr>
                                <w:lang w:val="en-US"/>
                              </w:rPr>
                              <w:t xml:space="preserve"> of the DAP a</w:t>
                            </w:r>
                            <w:r>
                              <w:rPr>
                                <w:lang w:val="en-US"/>
                              </w:rPr>
                              <w:t>nd ET for different techniques shown in boxplots. On top of the graph the absolute record number for this specific vessel and aneurysm type can be found. The big blue line indicates the national diagnostic reference level.</w:t>
                            </w:r>
                          </w:p>
                          <w:p w14:paraId="0BF4FC59" w14:textId="77777777" w:rsidR="0084270F" w:rsidRPr="00C51E12" w:rsidRDefault="0084270F" w:rsidP="00BD74F5">
                            <w:pPr>
                              <w:pStyle w:val="Beschriftung"/>
                              <w:rPr>
                                <w:noProof/>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2EDC7C" id="Textfeld 24" o:spid="_x0000_s1030" type="#_x0000_t202" style="position:absolute;margin-left:-.95pt;margin-top:256.65pt;width:453.75pt;height:35.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" stroked="f">
                <v:textbox inset="0,0,0,0">
                  <w:txbxContent>
                    <w:p w14:paraId="7B3A7059" w14:textId="724FEFDA" w:rsidR="0084270F" w:rsidRDefault="0084270F" w:rsidP="00BD74F5">
                      <w:pPr>
                        <w:pStyle w:val="Beschriftung"/>
                        <w:jc w:val="center"/>
                        <w:rPr>
                          <w:lang w:val="en-US"/>
                        </w:rPr>
                      </w:pPr>
                      <w:r w:rsidRPr="006B2EF0">
                        <w:rPr>
                          <w:lang w:val="en-US"/>
                        </w:rPr>
                        <w:t>Fig</w:t>
                      </w:r>
                      <w:r w:rsidR="00E86CD0">
                        <w:rPr>
                          <w:lang w:val="en-US"/>
                        </w:rPr>
                        <w:t>.S5</w:t>
                      </w:r>
                      <w:r w:rsidRPr="006B2EF0">
                        <w:rPr>
                          <w:lang w:val="en-US"/>
                        </w:rPr>
                        <w:t xml:space="preserve">: </w:t>
                      </w:r>
                      <w:proofErr w:type="spellStart"/>
                      <w:r w:rsidRPr="00E04A45">
                        <w:rPr>
                          <w:lang w:val="en-US"/>
                        </w:rPr>
                        <w:t>Juxtapositiongraph</w:t>
                      </w:r>
                      <w:proofErr w:type="spellEnd"/>
                      <w:r w:rsidRPr="00E04A45">
                        <w:rPr>
                          <w:lang w:val="en-US"/>
                        </w:rPr>
                        <w:t xml:space="preserve"> of the DAP a</w:t>
                      </w:r>
                      <w:r>
                        <w:rPr>
                          <w:lang w:val="en-US"/>
                        </w:rPr>
                        <w:t>nd ET for different techniques shown in boxplots. On top of the graph the absolute record number for this specific vessel and aneurysm type can be found. The big blue line indicates the national diagnostic reference level.</w:t>
                      </w:r>
                    </w:p>
                    <w:p w14:paraId="0BF4FC59" w14:textId="77777777" w:rsidR="0084270F" w:rsidRPr="00C51E12" w:rsidRDefault="0084270F" w:rsidP="00BD74F5">
                      <w:pPr>
                        <w:pStyle w:val="Beschriftung"/>
                        <w:rPr>
                          <w:noProof/>
                          <w:lang w:val="en-US"/>
                        </w:rPr>
                      </w:pPr>
                    </w:p>
                  </w:txbxContent>
                </v:textbox>
                <w10:wrap type="topAndBottom" anchorx="margin"/>
              </v:shape>
            </w:pict>
          </mc:Fallback>
        </mc:AlternateContent>
      </w:r>
      <w:r w:rsidRPr="00265BC6">
        <w:rPr>
          <w:b/>
          <w:lang w:val="en-US"/>
        </w:rPr>
        <w:t>A</w:t>
      </w:r>
      <w:r>
        <w:rPr>
          <w:b/>
          <w:lang w:val="en-US"/>
        </w:rPr>
        <w:t>nterior cerebral artery (ACA) + Anterior communicating artery (</w:t>
      </w:r>
      <w:proofErr w:type="spellStart"/>
      <w:r>
        <w:rPr>
          <w:b/>
          <w:lang w:val="en-US"/>
        </w:rPr>
        <w:t>AComA</w:t>
      </w:r>
      <w:proofErr w:type="spellEnd"/>
      <w:r>
        <w:rPr>
          <w:b/>
          <w:lang w:val="en-US"/>
        </w:rPr>
        <w:t>) with saccular aneurysm type</w:t>
      </w:r>
    </w:p>
    <w:p w14:paraId="39397698" w14:textId="1CCACDA0" w:rsidR="00BD74F5" w:rsidRPr="006D0BDD" w:rsidRDefault="00BD74F5" w:rsidP="00BD74F5">
      <w:pPr>
        <w:rPr>
          <w:b/>
          <w:lang w:val="en-US"/>
        </w:rPr>
      </w:pPr>
      <w:r w:rsidRPr="00515C3D">
        <w:rPr>
          <w:lang w:val="en-US"/>
        </w:rPr>
        <w:t xml:space="preserve">Looking at the embolization datasets for the ACA including </w:t>
      </w:r>
      <w:proofErr w:type="spellStart"/>
      <w:r w:rsidRPr="00515C3D">
        <w:rPr>
          <w:lang w:val="en-US"/>
        </w:rPr>
        <w:t>AComA</w:t>
      </w:r>
      <w:proofErr w:type="spellEnd"/>
      <w:r w:rsidRPr="00515C3D">
        <w:rPr>
          <w:lang w:val="en-US"/>
        </w:rPr>
        <w:t>, CE approaches continue to be the most commonly used technique for saccular and fusiform aneurysms with 55.71% and 37.70%</w:t>
      </w:r>
      <w:r>
        <w:rPr>
          <w:lang w:val="en-US"/>
        </w:rPr>
        <w:t xml:space="preserve"> employment rates</w:t>
      </w:r>
      <w:r w:rsidRPr="00515C3D">
        <w:rPr>
          <w:lang w:val="en-US"/>
        </w:rPr>
        <w:t xml:space="preserve">, respectively. Comparing these numbers with the total number of CE-based datasets, it can be seen that embolization with coils from this dataset represents more than one third (36.74%) of all datasets. Thus, this technique </w:t>
      </w:r>
      <w:r>
        <w:rPr>
          <w:lang w:val="en-US"/>
        </w:rPr>
        <w:t>might suggest</w:t>
      </w:r>
      <w:r w:rsidRPr="00515C3D">
        <w:rPr>
          <w:lang w:val="en-US"/>
        </w:rPr>
        <w:t xml:space="preserve"> the best efficiency in terms of median </w:t>
      </w:r>
      <w:r>
        <w:rPr>
          <w:lang w:val="en-US"/>
        </w:rPr>
        <w:t>dose-area product</w:t>
      </w:r>
      <w:r w:rsidRPr="00515C3D">
        <w:rPr>
          <w:lang w:val="en-US"/>
        </w:rPr>
        <w:t xml:space="preserve"> and </w:t>
      </w:r>
      <w:r>
        <w:rPr>
          <w:lang w:val="en-US"/>
        </w:rPr>
        <w:t>exposure time</w:t>
      </w:r>
      <w:r w:rsidRPr="00515C3D">
        <w:rPr>
          <w:lang w:val="en-US"/>
        </w:rPr>
        <w:t xml:space="preserve">. A comparison with the other medians proves this to be false. It can be seen that only FD-based </w:t>
      </w:r>
      <w:proofErr w:type="spellStart"/>
      <w:r w:rsidRPr="00515C3D">
        <w:rPr>
          <w:lang w:val="en-US"/>
        </w:rPr>
        <w:t>embolizations</w:t>
      </w:r>
      <w:proofErr w:type="spellEnd"/>
      <w:r w:rsidRPr="00515C3D">
        <w:rPr>
          <w:lang w:val="en-US"/>
        </w:rPr>
        <w:t xml:space="preserve"> with an appearance of 8.49% give a better dose efficiency with 86.25% of the CE median </w:t>
      </w:r>
      <w:r>
        <w:rPr>
          <w:lang w:val="en-US"/>
        </w:rPr>
        <w:t>dose-area product</w:t>
      </w:r>
      <w:r w:rsidRPr="00515C3D">
        <w:rPr>
          <w:lang w:val="en-US"/>
        </w:rPr>
        <w:t xml:space="preserve">. It is also associated with a decreasing </w:t>
      </w:r>
      <w:r>
        <w:rPr>
          <w:lang w:val="en-US"/>
        </w:rPr>
        <w:t>exposure time</w:t>
      </w:r>
      <w:r w:rsidRPr="00515C3D">
        <w:rPr>
          <w:lang w:val="en-US"/>
        </w:rPr>
        <w:t xml:space="preserve"> with 91.43% of CE's median </w:t>
      </w:r>
      <w:r>
        <w:rPr>
          <w:lang w:val="en-US"/>
        </w:rPr>
        <w:t>exposure time</w:t>
      </w:r>
      <w:r w:rsidRPr="00515C3D">
        <w:rPr>
          <w:lang w:val="en-US"/>
        </w:rPr>
        <w:t xml:space="preserve">. The best increase in efficiency can be found with </w:t>
      </w:r>
      <w:proofErr w:type="spellStart"/>
      <w:r w:rsidRPr="00515C3D">
        <w:rPr>
          <w:lang w:val="en-US"/>
        </w:rPr>
        <w:t>IaFD</w:t>
      </w:r>
      <w:proofErr w:type="spellEnd"/>
      <w:r w:rsidRPr="00515C3D">
        <w:rPr>
          <w:lang w:val="en-US"/>
        </w:rPr>
        <w:t xml:space="preserve"> based approaches with 74.29% of the CE's median </w:t>
      </w:r>
      <w:r>
        <w:rPr>
          <w:lang w:val="en-US"/>
        </w:rPr>
        <w:t>exposure time</w:t>
      </w:r>
      <w:r w:rsidRPr="00515C3D">
        <w:rPr>
          <w:lang w:val="en-US"/>
        </w:rPr>
        <w:t xml:space="preserve">. However, the decrease in median </w:t>
      </w:r>
      <w:r>
        <w:rPr>
          <w:lang w:val="en-US"/>
        </w:rPr>
        <w:t>dose-area product</w:t>
      </w:r>
      <w:r w:rsidRPr="00515C3D">
        <w:rPr>
          <w:lang w:val="en-US"/>
        </w:rPr>
        <w:t xml:space="preserve"> for this technique remains similar to that of CE's baseline at 92.62%. All other techniques either exceed or are similar to CE's median </w:t>
      </w:r>
      <w:r>
        <w:rPr>
          <w:lang w:val="en-US"/>
        </w:rPr>
        <w:t>dose-area product</w:t>
      </w:r>
      <w:r w:rsidRPr="00515C3D">
        <w:rPr>
          <w:lang w:val="en-US"/>
        </w:rPr>
        <w:t xml:space="preserve"> and </w:t>
      </w:r>
      <w:r>
        <w:rPr>
          <w:lang w:val="en-US"/>
        </w:rPr>
        <w:t>exposure time</w:t>
      </w:r>
      <w:r w:rsidRPr="00515C3D">
        <w:rPr>
          <w:lang w:val="en-US"/>
        </w:rPr>
        <w:t xml:space="preserve">. In terms of conformity, all techniques fall below the national </w:t>
      </w:r>
      <w:r>
        <w:rPr>
          <w:lang w:val="en-US"/>
        </w:rPr>
        <w:t>diagnostic reference level</w:t>
      </w:r>
      <w:r w:rsidRPr="00515C3D">
        <w:rPr>
          <w:lang w:val="en-US"/>
        </w:rPr>
        <w:t xml:space="preserve"> of 20</w:t>
      </w:r>
      <w:r w:rsidR="006F296C">
        <w:rPr>
          <w:lang w:val="en-US"/>
        </w:rPr>
        <w:t>,</w:t>
      </w:r>
      <w:r w:rsidRPr="00515C3D">
        <w:rPr>
          <w:lang w:val="en-US"/>
        </w:rPr>
        <w:t xml:space="preserve">000 cGycm2, except for the </w:t>
      </w:r>
      <w:proofErr w:type="spellStart"/>
      <w:r w:rsidRPr="00515C3D">
        <w:rPr>
          <w:lang w:val="en-US"/>
        </w:rPr>
        <w:t>IaFDAC</w:t>
      </w:r>
      <w:proofErr w:type="spellEnd"/>
      <w:r w:rsidRPr="00515C3D">
        <w:rPr>
          <w:lang w:val="en-US"/>
        </w:rPr>
        <w:t xml:space="preserve"> and </w:t>
      </w:r>
      <w:proofErr w:type="spellStart"/>
      <w:r w:rsidRPr="00515C3D">
        <w:rPr>
          <w:lang w:val="en-US"/>
        </w:rPr>
        <w:t>SAIaFD</w:t>
      </w:r>
      <w:proofErr w:type="spellEnd"/>
      <w:r w:rsidRPr="00515C3D">
        <w:rPr>
          <w:lang w:val="en-US"/>
        </w:rPr>
        <w:t xml:space="preserve">-based approaches </w:t>
      </w:r>
      <w:r>
        <w:rPr>
          <w:lang w:val="en-US"/>
        </w:rPr>
        <w:t>falling in the</w:t>
      </w:r>
      <w:r w:rsidRPr="00515C3D">
        <w:rPr>
          <w:lang w:val="en-US"/>
        </w:rPr>
        <w:t xml:space="preserve"> 75th percentile</w:t>
      </w:r>
      <w:r>
        <w:rPr>
          <w:lang w:val="en-US"/>
        </w:rPr>
        <w:t xml:space="preserve"> (see </w:t>
      </w:r>
      <w:r w:rsidR="006F296C">
        <w:rPr>
          <w:lang w:val="en-US"/>
        </w:rPr>
        <w:t>Fig.S5</w:t>
      </w:r>
      <w:r>
        <w:rPr>
          <w:lang w:val="en-US"/>
        </w:rPr>
        <w:t xml:space="preserve"> &amp; </w:t>
      </w:r>
      <w:r>
        <w:rPr>
          <w:lang w:val="en-US"/>
        </w:rPr>
        <w:fldChar w:fldCharType="begin"/>
      </w:r>
      <w:r>
        <w:rPr>
          <w:lang w:val="en-US"/>
        </w:rPr>
        <w:instrText xml:space="preserve"> REF _Ref173310263 \h </w:instrText>
      </w:r>
      <w:r>
        <w:rPr>
          <w:lang w:val="en-US"/>
        </w:rPr>
      </w:r>
      <w:r>
        <w:rPr>
          <w:lang w:val="en-US"/>
        </w:rPr>
        <w:fldChar w:fldCharType="separate"/>
      </w:r>
      <w:r w:rsidRPr="00D24828">
        <w:rPr>
          <w:lang w:val="en-US"/>
        </w:rPr>
        <w:t>Tab</w:t>
      </w:r>
      <w:r w:rsidR="006F296C">
        <w:rPr>
          <w:lang w:val="en-US"/>
        </w:rPr>
        <w:t>.S5</w:t>
      </w:r>
      <w:r>
        <w:rPr>
          <w:lang w:val="en-US"/>
        </w:rPr>
        <w:fldChar w:fldCharType="end"/>
      </w:r>
      <w:r>
        <w:rPr>
          <w:lang w:val="en-US"/>
        </w:rPr>
        <w:fldChar w:fldCharType="begin"/>
      </w:r>
      <w:r>
        <w:rPr>
          <w:lang w:val="en-US"/>
        </w:rPr>
        <w:instrText xml:space="preserve"> REF _Ref173310292 \h </w:instrText>
      </w:r>
      <w:r>
        <w:rPr>
          <w:lang w:val="en-US"/>
        </w:rPr>
      </w:r>
      <w:r>
        <w:rPr>
          <w:lang w:val="en-US"/>
        </w:rPr>
        <w:fldChar w:fldCharType="end"/>
      </w:r>
      <w:r>
        <w:rPr>
          <w:lang w:val="en-US"/>
        </w:rPr>
        <w:t>). The significance was set at p = 2.79</w:t>
      </w:r>
      <w:r>
        <w:rPr>
          <w:rFonts w:cstheme="minorHAnsi"/>
          <w:lang w:val="en-US"/>
        </w:rPr>
        <w:t>·</w:t>
      </w:r>
      <w:r>
        <w:rPr>
          <w:lang w:val="en-US"/>
        </w:rPr>
        <w:t>10</w:t>
      </w:r>
      <w:r>
        <w:rPr>
          <w:vertAlign w:val="superscript"/>
          <w:lang w:val="en-US"/>
        </w:rPr>
        <w:t>-9</w:t>
      </w:r>
      <w:r>
        <w:rPr>
          <w:lang w:val="en-US"/>
        </w:rPr>
        <w:t xml:space="preserve"> for dose-area product and</w:t>
      </w:r>
      <w:r w:rsidRPr="007123CE">
        <w:rPr>
          <w:lang w:val="en-US"/>
        </w:rPr>
        <w:t xml:space="preserve"> </w:t>
      </w:r>
      <w:r>
        <w:rPr>
          <w:lang w:val="en-US"/>
        </w:rPr>
        <w:t>p = 1.23</w:t>
      </w:r>
      <w:r>
        <w:rPr>
          <w:rFonts w:cstheme="minorHAnsi"/>
          <w:lang w:val="en-US"/>
        </w:rPr>
        <w:t>·</w:t>
      </w:r>
      <w:r>
        <w:rPr>
          <w:lang w:val="en-US"/>
        </w:rPr>
        <w:t>10</w:t>
      </w:r>
      <w:r>
        <w:rPr>
          <w:vertAlign w:val="superscript"/>
          <w:lang w:val="en-US"/>
        </w:rPr>
        <w:t>-96</w:t>
      </w:r>
      <w:r>
        <w:rPr>
          <w:lang w:val="en-US"/>
        </w:rPr>
        <w:t xml:space="preserve"> exposure time. For fusiform aneurysm type embolization of this vessel no significance with p =0.10 was found and thus no results are listed.</w:t>
      </w:r>
    </w:p>
    <w:tbl>
      <w:tblPr>
        <w:tblStyle w:val="EinfacheTabelle3"/>
        <w:tblpPr w:leftFromText="180" w:rightFromText="180" w:vertAnchor="text" w:horzAnchor="margin" w:tblpY="-31"/>
        <w:tblW w:w="0" w:type="auto"/>
        <w:tblLook w:val="04A0" w:firstRow="1" w:lastRow="0" w:firstColumn="1" w:lastColumn="0" w:noHBand="0" w:noVBand="1"/>
      </w:tblPr>
      <w:tblGrid>
        <w:gridCol w:w="1196"/>
        <w:gridCol w:w="2206"/>
        <w:gridCol w:w="1560"/>
        <w:gridCol w:w="1984"/>
        <w:gridCol w:w="2126"/>
      </w:tblGrid>
      <w:tr w:rsidR="00BD74F5" w:rsidRPr="0084270F" w14:paraId="6EF51583" w14:textId="77777777" w:rsidTr="00FC4243">
        <w:trPr>
          <w:cnfStyle w:val="100000000000" w:firstRow="1" w:lastRow="0" w:firstColumn="0" w:lastColumn="0" w:oddVBand="0" w:evenVBand="0" w:oddHBand="0" w:evenHBand="0" w:firstRowFirstColumn="0" w:firstRowLastColumn="0" w:lastRowFirstColumn="0" w:lastRowLastColumn="0"/>
          <w:trHeight w:val="1174"/>
        </w:trPr>
        <w:tc>
          <w:tcPr>
            <w:cnfStyle w:val="001000000100" w:firstRow="0" w:lastRow="0" w:firstColumn="1" w:lastColumn="0" w:oddVBand="0" w:evenVBand="0" w:oddHBand="0" w:evenHBand="0" w:firstRowFirstColumn="1" w:firstRowLastColumn="0" w:lastRowFirstColumn="0" w:lastRowLastColumn="0"/>
            <w:tcW w:w="1196" w:type="dxa"/>
            <w:vAlign w:val="center"/>
          </w:tcPr>
          <w:p w14:paraId="6C878520" w14:textId="77777777" w:rsidR="00BD74F5" w:rsidRPr="00E17B4A" w:rsidRDefault="00BD74F5" w:rsidP="00FC4243">
            <w:pPr>
              <w:jc w:val="center"/>
              <w:rPr>
                <w:rFonts w:cstheme="minorHAnsi"/>
                <w:sz w:val="20"/>
                <w:szCs w:val="20"/>
                <w:lang w:val="en-US"/>
              </w:rPr>
            </w:pPr>
            <w:commentRangeStart w:id="17"/>
            <w:r w:rsidRPr="00E17B4A">
              <w:rPr>
                <w:rFonts w:cstheme="minorHAnsi"/>
                <w:sz w:val="20"/>
                <w:szCs w:val="20"/>
                <w:lang w:val="en-US"/>
              </w:rPr>
              <w:lastRenderedPageBreak/>
              <w:t>Technique</w:t>
            </w:r>
          </w:p>
        </w:tc>
        <w:tc>
          <w:tcPr>
            <w:tcW w:w="2206" w:type="dxa"/>
            <w:vAlign w:val="center"/>
          </w:tcPr>
          <w:p w14:paraId="260B09A6"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E17B4A">
              <w:rPr>
                <w:rFonts w:cstheme="minorHAnsi"/>
                <w:sz w:val="20"/>
                <w:szCs w:val="20"/>
                <w:lang w:val="en-US"/>
              </w:rPr>
              <w:t>Relative Dose-Area Product Compared to Coils</w:t>
            </w:r>
          </w:p>
        </w:tc>
        <w:tc>
          <w:tcPr>
            <w:tcW w:w="1560" w:type="dxa"/>
            <w:vAlign w:val="center"/>
          </w:tcPr>
          <w:p w14:paraId="107DE3DF"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E17B4A">
              <w:rPr>
                <w:rFonts w:cstheme="minorHAnsi"/>
                <w:sz w:val="20"/>
                <w:szCs w:val="20"/>
                <w:lang w:val="en-US"/>
              </w:rPr>
              <w:t>Relative Exposure Time Compared to Coils</w:t>
            </w:r>
          </w:p>
        </w:tc>
        <w:tc>
          <w:tcPr>
            <w:tcW w:w="1984" w:type="dxa"/>
            <w:vAlign w:val="center"/>
          </w:tcPr>
          <w:p w14:paraId="489BAF30"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FE2C72">
              <w:rPr>
                <w:rFonts w:cstheme="minorHAnsi"/>
                <w:sz w:val="20"/>
                <w:szCs w:val="20"/>
                <w:lang w:val="en-US"/>
              </w:rPr>
              <w:t>Dunn test: DAP significance of each technique compared to Coils</w:t>
            </w:r>
          </w:p>
        </w:tc>
        <w:tc>
          <w:tcPr>
            <w:tcW w:w="2126" w:type="dxa"/>
            <w:vAlign w:val="center"/>
          </w:tcPr>
          <w:p w14:paraId="179CA1BA"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FE2C72">
              <w:rPr>
                <w:rFonts w:cstheme="minorHAnsi"/>
                <w:sz w:val="20"/>
                <w:szCs w:val="20"/>
                <w:lang w:val="en-US"/>
              </w:rPr>
              <w:t xml:space="preserve">Dunn test: </w:t>
            </w:r>
            <w:r>
              <w:rPr>
                <w:rFonts w:cstheme="minorHAnsi"/>
                <w:sz w:val="20"/>
                <w:szCs w:val="20"/>
                <w:lang w:val="en-US"/>
              </w:rPr>
              <w:t>ET</w:t>
            </w:r>
            <w:r w:rsidRPr="00FE2C72">
              <w:rPr>
                <w:rFonts w:cstheme="minorHAnsi"/>
                <w:sz w:val="20"/>
                <w:szCs w:val="20"/>
                <w:lang w:val="en-US"/>
              </w:rPr>
              <w:t xml:space="preserve"> significance of each technique compared to Coils</w:t>
            </w:r>
          </w:p>
        </w:tc>
      </w:tr>
      <w:tr w:rsidR="00BD74F5" w:rsidRPr="0084270F" w14:paraId="497F1052" w14:textId="77777777" w:rsidTr="00FC4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6" w:type="dxa"/>
            <w:vAlign w:val="center"/>
          </w:tcPr>
          <w:p w14:paraId="4B474497" w14:textId="77777777" w:rsidR="00BD74F5" w:rsidRPr="00101A70" w:rsidRDefault="00BD74F5" w:rsidP="00FC4243">
            <w:pPr>
              <w:jc w:val="center"/>
              <w:rPr>
                <w:rFonts w:cstheme="minorHAnsi"/>
                <w:sz w:val="20"/>
                <w:szCs w:val="20"/>
                <w:lang w:val="en-US"/>
              </w:rPr>
            </w:pPr>
          </w:p>
        </w:tc>
        <w:tc>
          <w:tcPr>
            <w:tcW w:w="7876" w:type="dxa"/>
            <w:gridSpan w:val="4"/>
            <w:vAlign w:val="center"/>
          </w:tcPr>
          <w:p w14:paraId="081F3465" w14:textId="77777777" w:rsidR="00BD74F5"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Pr>
                <w:rFonts w:cstheme="minorHAnsi"/>
                <w:sz w:val="20"/>
                <w:szCs w:val="20"/>
                <w:lang w:val="en-US"/>
              </w:rPr>
              <w:t xml:space="preserve">ACA + </w:t>
            </w:r>
            <w:proofErr w:type="spellStart"/>
            <w:r>
              <w:rPr>
                <w:rFonts w:cstheme="minorHAnsi"/>
                <w:sz w:val="20"/>
                <w:szCs w:val="20"/>
                <w:lang w:val="en-US"/>
              </w:rPr>
              <w:t>AComA</w:t>
            </w:r>
            <w:proofErr w:type="spellEnd"/>
            <w:r>
              <w:rPr>
                <w:rFonts w:cstheme="minorHAnsi"/>
                <w:sz w:val="20"/>
                <w:szCs w:val="20"/>
                <w:lang w:val="en-US"/>
              </w:rPr>
              <w:t xml:space="preserve"> </w:t>
            </w:r>
            <w:r w:rsidRPr="00101A70">
              <w:rPr>
                <w:rFonts w:cstheme="minorHAnsi"/>
                <w:sz w:val="20"/>
                <w:szCs w:val="20"/>
                <w:lang w:val="en-US"/>
              </w:rPr>
              <w:t>with saccular aneurysm</w:t>
            </w:r>
          </w:p>
          <w:p w14:paraId="3029AA82" w14:textId="77777777" w:rsidR="00BD74F5"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101A70">
              <w:rPr>
                <w:rFonts w:cstheme="minorHAnsi"/>
                <w:sz w:val="20"/>
                <w:szCs w:val="20"/>
                <w:lang w:val="en-US"/>
              </w:rPr>
              <w:t xml:space="preserve">n = </w:t>
            </w:r>
            <w:r>
              <w:rPr>
                <w:rFonts w:cstheme="minorHAnsi"/>
                <w:sz w:val="20"/>
                <w:szCs w:val="20"/>
                <w:lang w:val="en-US"/>
              </w:rPr>
              <w:t>5236</w:t>
            </w:r>
          </w:p>
        </w:tc>
      </w:tr>
      <w:tr w:rsidR="00BD74F5" w:rsidRPr="00F2169F" w14:paraId="5E838B01" w14:textId="77777777" w:rsidTr="00FC4243">
        <w:tc>
          <w:tcPr>
            <w:cnfStyle w:val="001000000000" w:firstRow="0" w:lastRow="0" w:firstColumn="1" w:lastColumn="0" w:oddVBand="0" w:evenVBand="0" w:oddHBand="0" w:evenHBand="0" w:firstRowFirstColumn="0" w:firstRowLastColumn="0" w:lastRowFirstColumn="0" w:lastRowLastColumn="0"/>
            <w:tcW w:w="1196" w:type="dxa"/>
            <w:vAlign w:val="center"/>
          </w:tcPr>
          <w:p w14:paraId="2AA2047D" w14:textId="77777777" w:rsidR="00BD74F5" w:rsidRPr="00101A70" w:rsidRDefault="00BD74F5" w:rsidP="00FC4243">
            <w:pPr>
              <w:jc w:val="center"/>
              <w:rPr>
                <w:rFonts w:cstheme="minorHAnsi"/>
                <w:sz w:val="20"/>
                <w:szCs w:val="20"/>
                <w:lang w:val="en-US"/>
              </w:rPr>
            </w:pPr>
            <w:r>
              <w:rPr>
                <w:rFonts w:cstheme="minorHAnsi"/>
                <w:sz w:val="20"/>
                <w:szCs w:val="20"/>
                <w:lang w:val="en-US"/>
              </w:rPr>
              <w:t>CE</w:t>
            </w:r>
          </w:p>
        </w:tc>
        <w:tc>
          <w:tcPr>
            <w:tcW w:w="2206" w:type="dxa"/>
            <w:vAlign w:val="bottom"/>
          </w:tcPr>
          <w:p w14:paraId="2492FC10" w14:textId="5434A11B" w:rsidR="00BD74F5" w:rsidRPr="0031741E"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31741E">
              <w:rPr>
                <w:rFonts w:ascii="Calibri" w:hAnsi="Calibri" w:cs="Calibri"/>
                <w:color w:val="000000"/>
                <w:sz w:val="20"/>
                <w:szCs w:val="20"/>
              </w:rPr>
              <w:t>100</w:t>
            </w:r>
            <w:r w:rsidR="005E1A1C">
              <w:rPr>
                <w:rFonts w:ascii="Calibri" w:hAnsi="Calibri" w:cs="Calibri"/>
                <w:color w:val="000000"/>
                <w:sz w:val="20"/>
                <w:szCs w:val="20"/>
              </w:rPr>
              <w:t>.</w:t>
            </w:r>
            <w:r w:rsidRPr="0031741E">
              <w:rPr>
                <w:rFonts w:ascii="Calibri" w:hAnsi="Calibri" w:cs="Calibri"/>
                <w:color w:val="000000"/>
                <w:sz w:val="20"/>
                <w:szCs w:val="20"/>
              </w:rPr>
              <w:t>00%</w:t>
            </w:r>
          </w:p>
        </w:tc>
        <w:tc>
          <w:tcPr>
            <w:tcW w:w="1560" w:type="dxa"/>
            <w:vAlign w:val="bottom"/>
          </w:tcPr>
          <w:p w14:paraId="35DCC4AF" w14:textId="0AF1BAE9" w:rsidR="00BD74F5" w:rsidRPr="0031741E"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31741E">
              <w:rPr>
                <w:rFonts w:ascii="Calibri" w:hAnsi="Calibri" w:cs="Calibri"/>
                <w:color w:val="000000"/>
                <w:sz w:val="20"/>
                <w:szCs w:val="20"/>
              </w:rPr>
              <w:t>100</w:t>
            </w:r>
            <w:r w:rsidR="005E1A1C">
              <w:rPr>
                <w:rFonts w:ascii="Calibri" w:hAnsi="Calibri" w:cs="Calibri"/>
                <w:color w:val="000000"/>
                <w:sz w:val="20"/>
                <w:szCs w:val="20"/>
              </w:rPr>
              <w:t>.</w:t>
            </w:r>
            <w:r w:rsidRPr="0031741E">
              <w:rPr>
                <w:rFonts w:ascii="Calibri" w:hAnsi="Calibri" w:cs="Calibri"/>
                <w:color w:val="000000"/>
                <w:sz w:val="20"/>
                <w:szCs w:val="20"/>
              </w:rPr>
              <w:t>00%</w:t>
            </w:r>
          </w:p>
        </w:tc>
        <w:tc>
          <w:tcPr>
            <w:tcW w:w="1984" w:type="dxa"/>
          </w:tcPr>
          <w:p w14:paraId="7172435D" w14:textId="77777777" w:rsidR="00BD74F5" w:rsidRPr="0031741E"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hAnsi="Calibri" w:cs="Calibri"/>
                <w:color w:val="000000"/>
                <w:sz w:val="20"/>
                <w:szCs w:val="20"/>
              </w:rPr>
              <w:t>N/A</w:t>
            </w:r>
          </w:p>
        </w:tc>
        <w:tc>
          <w:tcPr>
            <w:tcW w:w="2126" w:type="dxa"/>
          </w:tcPr>
          <w:p w14:paraId="478F462A" w14:textId="77777777" w:rsidR="00BD74F5" w:rsidRPr="0031741E"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Pr>
                <w:rFonts w:ascii="Calibri" w:hAnsi="Calibri" w:cs="Calibri"/>
                <w:color w:val="000000"/>
                <w:sz w:val="20"/>
                <w:szCs w:val="20"/>
              </w:rPr>
              <w:t>N/A</w:t>
            </w:r>
          </w:p>
        </w:tc>
      </w:tr>
      <w:tr w:rsidR="00BD74F5" w:rsidRPr="00F2169F" w14:paraId="3CB8F535" w14:textId="77777777" w:rsidTr="00FC4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6" w:type="dxa"/>
            <w:vAlign w:val="center"/>
          </w:tcPr>
          <w:p w14:paraId="777885B8" w14:textId="77777777" w:rsidR="00BD74F5" w:rsidRPr="00101A70" w:rsidRDefault="00BD74F5" w:rsidP="00FC4243">
            <w:pPr>
              <w:jc w:val="center"/>
              <w:rPr>
                <w:rFonts w:cstheme="minorHAnsi"/>
                <w:sz w:val="20"/>
                <w:szCs w:val="20"/>
                <w:lang w:val="en-US"/>
              </w:rPr>
            </w:pPr>
            <w:r>
              <w:rPr>
                <w:rFonts w:cstheme="minorHAnsi"/>
                <w:sz w:val="20"/>
                <w:szCs w:val="20"/>
                <w:lang w:val="en-US"/>
              </w:rPr>
              <w:t>FD</w:t>
            </w:r>
          </w:p>
        </w:tc>
        <w:tc>
          <w:tcPr>
            <w:tcW w:w="2206" w:type="dxa"/>
            <w:vAlign w:val="bottom"/>
          </w:tcPr>
          <w:p w14:paraId="65AED44F" w14:textId="5FD54A99" w:rsidR="00BD74F5" w:rsidRPr="0031741E"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sidRPr="00455134">
              <w:rPr>
                <w:rFonts w:ascii="Calibri" w:hAnsi="Calibri" w:cs="Calibri"/>
                <w:color w:val="00B050"/>
                <w:sz w:val="20"/>
                <w:szCs w:val="20"/>
              </w:rPr>
              <w:t>86</w:t>
            </w:r>
            <w:r w:rsidR="005E1A1C">
              <w:rPr>
                <w:rFonts w:ascii="Calibri" w:hAnsi="Calibri" w:cs="Calibri"/>
                <w:color w:val="00B050"/>
                <w:sz w:val="20"/>
                <w:szCs w:val="20"/>
              </w:rPr>
              <w:t>.</w:t>
            </w:r>
            <w:r w:rsidRPr="00455134">
              <w:rPr>
                <w:rFonts w:ascii="Calibri" w:hAnsi="Calibri" w:cs="Calibri"/>
                <w:color w:val="00B050"/>
                <w:sz w:val="20"/>
                <w:szCs w:val="20"/>
              </w:rPr>
              <w:t>25%</w:t>
            </w:r>
          </w:p>
        </w:tc>
        <w:tc>
          <w:tcPr>
            <w:tcW w:w="1560" w:type="dxa"/>
            <w:vAlign w:val="bottom"/>
          </w:tcPr>
          <w:p w14:paraId="7F13CD43" w14:textId="37D2AB74" w:rsidR="00BD74F5" w:rsidRPr="0031741E"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sidRPr="0031741E">
              <w:rPr>
                <w:rFonts w:ascii="Calibri" w:hAnsi="Calibri" w:cs="Calibri"/>
                <w:color w:val="000000"/>
                <w:sz w:val="20"/>
                <w:szCs w:val="20"/>
              </w:rPr>
              <w:t>91</w:t>
            </w:r>
            <w:r w:rsidR="005E1A1C">
              <w:rPr>
                <w:rFonts w:ascii="Calibri" w:hAnsi="Calibri" w:cs="Calibri"/>
                <w:color w:val="000000"/>
                <w:sz w:val="20"/>
                <w:szCs w:val="20"/>
              </w:rPr>
              <w:t>.</w:t>
            </w:r>
            <w:r w:rsidRPr="0031741E">
              <w:rPr>
                <w:rFonts w:ascii="Calibri" w:hAnsi="Calibri" w:cs="Calibri"/>
                <w:color w:val="000000"/>
                <w:sz w:val="20"/>
                <w:szCs w:val="20"/>
              </w:rPr>
              <w:t>43%</w:t>
            </w:r>
          </w:p>
        </w:tc>
        <w:tc>
          <w:tcPr>
            <w:tcW w:w="1984" w:type="dxa"/>
          </w:tcPr>
          <w:p w14:paraId="35B67921" w14:textId="77777777" w:rsidR="00BD74F5" w:rsidRPr="00B96289" w:rsidRDefault="00BD74F5" w:rsidP="00FC424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sz w:val="20"/>
                <w:szCs w:val="20"/>
              </w:rPr>
            </w:pPr>
            <w:proofErr w:type="spellStart"/>
            <w:r w:rsidRPr="00B96289">
              <w:rPr>
                <w:rFonts w:ascii="Calibri" w:hAnsi="Calibri" w:cs="Calibri"/>
                <w:color w:val="FF0000"/>
                <w:sz w:val="20"/>
                <w:szCs w:val="20"/>
              </w:rPr>
              <w:t>No</w:t>
            </w:r>
            <w:proofErr w:type="spellEnd"/>
          </w:p>
        </w:tc>
        <w:tc>
          <w:tcPr>
            <w:tcW w:w="2126" w:type="dxa"/>
          </w:tcPr>
          <w:p w14:paraId="3451AF25" w14:textId="77777777" w:rsidR="00BD74F5" w:rsidRPr="00B96289" w:rsidRDefault="00BD74F5" w:rsidP="00FC424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sz w:val="20"/>
                <w:szCs w:val="20"/>
              </w:rPr>
            </w:pPr>
            <w:proofErr w:type="spellStart"/>
            <w:r w:rsidRPr="00B96289">
              <w:rPr>
                <w:rFonts w:ascii="Calibri" w:hAnsi="Calibri" w:cs="Calibri"/>
                <w:color w:val="FF0000"/>
                <w:sz w:val="20"/>
                <w:szCs w:val="20"/>
              </w:rPr>
              <w:t>No</w:t>
            </w:r>
            <w:proofErr w:type="spellEnd"/>
          </w:p>
        </w:tc>
      </w:tr>
      <w:tr w:rsidR="00BD74F5" w:rsidRPr="00F2169F" w14:paraId="0AB30106" w14:textId="77777777" w:rsidTr="00FC4243">
        <w:tc>
          <w:tcPr>
            <w:cnfStyle w:val="001000000000" w:firstRow="0" w:lastRow="0" w:firstColumn="1" w:lastColumn="0" w:oddVBand="0" w:evenVBand="0" w:oddHBand="0" w:evenHBand="0" w:firstRowFirstColumn="0" w:firstRowLastColumn="0" w:lastRowFirstColumn="0" w:lastRowLastColumn="0"/>
            <w:tcW w:w="1196" w:type="dxa"/>
            <w:vAlign w:val="center"/>
          </w:tcPr>
          <w:p w14:paraId="1EA3D922" w14:textId="77777777" w:rsidR="00BD74F5" w:rsidRPr="00101A70" w:rsidRDefault="00BD74F5" w:rsidP="00FC4243">
            <w:pPr>
              <w:jc w:val="center"/>
              <w:rPr>
                <w:rFonts w:cstheme="minorHAnsi"/>
                <w:sz w:val="20"/>
                <w:szCs w:val="20"/>
                <w:lang w:val="en-US"/>
              </w:rPr>
            </w:pPr>
            <w:r>
              <w:rPr>
                <w:rFonts w:cstheme="minorHAnsi"/>
                <w:sz w:val="20"/>
                <w:szCs w:val="20"/>
                <w:lang w:val="en-US"/>
              </w:rPr>
              <w:t>SAC</w:t>
            </w:r>
          </w:p>
        </w:tc>
        <w:tc>
          <w:tcPr>
            <w:tcW w:w="2206" w:type="dxa"/>
            <w:vAlign w:val="bottom"/>
          </w:tcPr>
          <w:p w14:paraId="0ECDAFE4" w14:textId="6055865C" w:rsidR="00BD74F5" w:rsidRPr="0031741E"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sidRPr="0031741E">
              <w:rPr>
                <w:rFonts w:ascii="Calibri" w:hAnsi="Calibri" w:cs="Calibri"/>
                <w:color w:val="000000"/>
                <w:sz w:val="20"/>
                <w:szCs w:val="20"/>
              </w:rPr>
              <w:t>103</w:t>
            </w:r>
            <w:r w:rsidR="005E1A1C">
              <w:rPr>
                <w:rFonts w:ascii="Calibri" w:hAnsi="Calibri" w:cs="Calibri"/>
                <w:color w:val="000000"/>
                <w:sz w:val="20"/>
                <w:szCs w:val="20"/>
              </w:rPr>
              <w:t>.</w:t>
            </w:r>
            <w:r w:rsidRPr="0031741E">
              <w:rPr>
                <w:rFonts w:ascii="Calibri" w:hAnsi="Calibri" w:cs="Calibri"/>
                <w:color w:val="000000"/>
                <w:sz w:val="20"/>
                <w:szCs w:val="20"/>
              </w:rPr>
              <w:t>64%</w:t>
            </w:r>
          </w:p>
        </w:tc>
        <w:tc>
          <w:tcPr>
            <w:tcW w:w="1560" w:type="dxa"/>
            <w:vAlign w:val="bottom"/>
          </w:tcPr>
          <w:p w14:paraId="03E17CB2" w14:textId="29D93FB4" w:rsidR="00BD74F5" w:rsidRPr="0031741E"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sidRPr="00455134">
              <w:rPr>
                <w:rFonts w:ascii="Calibri" w:hAnsi="Calibri" w:cs="Calibri"/>
                <w:color w:val="FF0000"/>
                <w:sz w:val="20"/>
                <w:szCs w:val="20"/>
              </w:rPr>
              <w:t>145</w:t>
            </w:r>
            <w:r w:rsidR="005E1A1C">
              <w:rPr>
                <w:rFonts w:ascii="Calibri" w:hAnsi="Calibri" w:cs="Calibri"/>
                <w:color w:val="FF0000"/>
                <w:sz w:val="20"/>
                <w:szCs w:val="20"/>
              </w:rPr>
              <w:t>.</w:t>
            </w:r>
            <w:r w:rsidRPr="00455134">
              <w:rPr>
                <w:rFonts w:ascii="Calibri" w:hAnsi="Calibri" w:cs="Calibri"/>
                <w:color w:val="FF0000"/>
                <w:sz w:val="20"/>
                <w:szCs w:val="20"/>
              </w:rPr>
              <w:t>71%</w:t>
            </w:r>
          </w:p>
        </w:tc>
        <w:tc>
          <w:tcPr>
            <w:tcW w:w="1984" w:type="dxa"/>
          </w:tcPr>
          <w:p w14:paraId="7C797B59" w14:textId="77777777" w:rsidR="00BD74F5" w:rsidRPr="00455134"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szCs w:val="20"/>
              </w:rPr>
            </w:pPr>
            <w:proofErr w:type="spellStart"/>
            <w:r>
              <w:rPr>
                <w:rFonts w:ascii="Calibri" w:hAnsi="Calibri" w:cs="Calibri"/>
                <w:color w:val="FF0000"/>
                <w:sz w:val="20"/>
                <w:szCs w:val="20"/>
              </w:rPr>
              <w:t>No</w:t>
            </w:r>
            <w:proofErr w:type="spellEnd"/>
          </w:p>
        </w:tc>
        <w:tc>
          <w:tcPr>
            <w:tcW w:w="2126" w:type="dxa"/>
          </w:tcPr>
          <w:p w14:paraId="5B7DF87F" w14:textId="77777777" w:rsidR="00BD74F5" w:rsidRPr="00455134"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szCs w:val="20"/>
              </w:rPr>
            </w:pPr>
            <w:r w:rsidRPr="00B96289">
              <w:rPr>
                <w:rFonts w:ascii="Calibri" w:hAnsi="Calibri" w:cs="Calibri"/>
                <w:color w:val="00B050"/>
                <w:sz w:val="20"/>
                <w:szCs w:val="20"/>
              </w:rPr>
              <w:t>Yes</w:t>
            </w:r>
          </w:p>
        </w:tc>
      </w:tr>
      <w:tr w:rsidR="00BD74F5" w:rsidRPr="00F2169F" w14:paraId="6AE9202D" w14:textId="77777777" w:rsidTr="00FC4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6" w:type="dxa"/>
            <w:vAlign w:val="center"/>
          </w:tcPr>
          <w:p w14:paraId="103AF157" w14:textId="77777777" w:rsidR="00BD74F5" w:rsidRPr="00101A70" w:rsidRDefault="00BD74F5" w:rsidP="00FC4243">
            <w:pPr>
              <w:jc w:val="center"/>
              <w:rPr>
                <w:rFonts w:cstheme="minorHAnsi"/>
                <w:sz w:val="20"/>
                <w:szCs w:val="20"/>
                <w:lang w:val="en-US"/>
              </w:rPr>
            </w:pPr>
            <w:r>
              <w:rPr>
                <w:rFonts w:cstheme="minorHAnsi"/>
                <w:sz w:val="20"/>
                <w:szCs w:val="20"/>
                <w:lang w:val="en-US"/>
              </w:rPr>
              <w:t>IAFD</w:t>
            </w:r>
          </w:p>
        </w:tc>
        <w:tc>
          <w:tcPr>
            <w:tcW w:w="2206" w:type="dxa"/>
            <w:vAlign w:val="bottom"/>
          </w:tcPr>
          <w:p w14:paraId="404945E3" w14:textId="1DAAB883" w:rsidR="00BD74F5" w:rsidRPr="0031741E"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sidRPr="0031741E">
              <w:rPr>
                <w:rFonts w:ascii="Calibri" w:hAnsi="Calibri" w:cs="Calibri"/>
                <w:color w:val="000000"/>
                <w:sz w:val="20"/>
                <w:szCs w:val="20"/>
              </w:rPr>
              <w:t>92</w:t>
            </w:r>
            <w:r w:rsidR="005E1A1C">
              <w:rPr>
                <w:rFonts w:ascii="Calibri" w:hAnsi="Calibri" w:cs="Calibri"/>
                <w:color w:val="000000"/>
                <w:sz w:val="20"/>
                <w:szCs w:val="20"/>
              </w:rPr>
              <w:t>.</w:t>
            </w:r>
            <w:r w:rsidRPr="0031741E">
              <w:rPr>
                <w:rFonts w:ascii="Calibri" w:hAnsi="Calibri" w:cs="Calibri"/>
                <w:color w:val="000000"/>
                <w:sz w:val="20"/>
                <w:szCs w:val="20"/>
              </w:rPr>
              <w:t>62%</w:t>
            </w:r>
          </w:p>
        </w:tc>
        <w:tc>
          <w:tcPr>
            <w:tcW w:w="1560" w:type="dxa"/>
            <w:vAlign w:val="bottom"/>
          </w:tcPr>
          <w:p w14:paraId="560AE08B" w14:textId="5F71354B" w:rsidR="00BD74F5" w:rsidRPr="0031741E"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sidRPr="00455134">
              <w:rPr>
                <w:rFonts w:ascii="Calibri" w:hAnsi="Calibri" w:cs="Calibri"/>
                <w:color w:val="00B050"/>
                <w:sz w:val="20"/>
                <w:szCs w:val="20"/>
              </w:rPr>
              <w:t>74</w:t>
            </w:r>
            <w:r w:rsidR="005E1A1C">
              <w:rPr>
                <w:rFonts w:ascii="Calibri" w:hAnsi="Calibri" w:cs="Calibri"/>
                <w:color w:val="00B050"/>
                <w:sz w:val="20"/>
                <w:szCs w:val="20"/>
              </w:rPr>
              <w:t>.</w:t>
            </w:r>
            <w:r w:rsidRPr="00455134">
              <w:rPr>
                <w:rFonts w:ascii="Calibri" w:hAnsi="Calibri" w:cs="Calibri"/>
                <w:color w:val="00B050"/>
                <w:sz w:val="20"/>
                <w:szCs w:val="20"/>
              </w:rPr>
              <w:t>29%</w:t>
            </w:r>
          </w:p>
        </w:tc>
        <w:tc>
          <w:tcPr>
            <w:tcW w:w="1984" w:type="dxa"/>
          </w:tcPr>
          <w:p w14:paraId="7A550E7B" w14:textId="53B9A698" w:rsidR="00BD74F5" w:rsidRPr="00455134" w:rsidRDefault="006E5028" w:rsidP="00FC424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B050"/>
                <w:sz w:val="20"/>
                <w:szCs w:val="20"/>
              </w:rPr>
            </w:pPr>
            <w:proofErr w:type="spellStart"/>
            <w:r w:rsidRPr="006E5028">
              <w:rPr>
                <w:rFonts w:ascii="Calibri" w:hAnsi="Calibri" w:cs="Calibri"/>
                <w:color w:val="FF0000"/>
                <w:sz w:val="20"/>
                <w:szCs w:val="20"/>
              </w:rPr>
              <w:t>No</w:t>
            </w:r>
            <w:proofErr w:type="spellEnd"/>
          </w:p>
        </w:tc>
        <w:tc>
          <w:tcPr>
            <w:tcW w:w="2126" w:type="dxa"/>
          </w:tcPr>
          <w:p w14:paraId="2C198AA8" w14:textId="77777777" w:rsidR="00BD74F5" w:rsidRPr="00455134" w:rsidRDefault="00BD74F5" w:rsidP="00FC424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B050"/>
                <w:sz w:val="20"/>
                <w:szCs w:val="20"/>
              </w:rPr>
            </w:pPr>
            <w:r>
              <w:rPr>
                <w:rFonts w:ascii="Calibri" w:hAnsi="Calibri" w:cs="Calibri"/>
                <w:color w:val="00B050"/>
                <w:sz w:val="20"/>
                <w:szCs w:val="20"/>
              </w:rPr>
              <w:t>Yes</w:t>
            </w:r>
          </w:p>
        </w:tc>
      </w:tr>
      <w:tr w:rsidR="00BD74F5" w:rsidRPr="00F2169F" w14:paraId="4582D2D8" w14:textId="77777777" w:rsidTr="00FC4243">
        <w:tc>
          <w:tcPr>
            <w:cnfStyle w:val="001000000000" w:firstRow="0" w:lastRow="0" w:firstColumn="1" w:lastColumn="0" w:oddVBand="0" w:evenVBand="0" w:oddHBand="0" w:evenHBand="0" w:firstRowFirstColumn="0" w:firstRowLastColumn="0" w:lastRowFirstColumn="0" w:lastRowLastColumn="0"/>
            <w:tcW w:w="1196" w:type="dxa"/>
            <w:vAlign w:val="center"/>
          </w:tcPr>
          <w:p w14:paraId="0C8453B0" w14:textId="77777777" w:rsidR="00BD74F5" w:rsidRPr="00101A70" w:rsidRDefault="00BD74F5" w:rsidP="00FC4243">
            <w:pPr>
              <w:jc w:val="center"/>
              <w:rPr>
                <w:rFonts w:cstheme="minorHAnsi"/>
                <w:sz w:val="20"/>
                <w:szCs w:val="20"/>
                <w:lang w:val="en-US"/>
              </w:rPr>
            </w:pPr>
            <w:r>
              <w:rPr>
                <w:sz w:val="20"/>
                <w:szCs w:val="20"/>
                <w:lang w:val="en-US"/>
              </w:rPr>
              <w:t>BAC</w:t>
            </w:r>
          </w:p>
        </w:tc>
        <w:tc>
          <w:tcPr>
            <w:tcW w:w="2206" w:type="dxa"/>
            <w:vAlign w:val="bottom"/>
          </w:tcPr>
          <w:p w14:paraId="4B8B4BCC" w14:textId="1943275E" w:rsidR="00BD74F5" w:rsidRPr="0031741E"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31741E">
              <w:rPr>
                <w:rFonts w:ascii="Calibri" w:hAnsi="Calibri" w:cs="Calibri"/>
                <w:color w:val="000000"/>
                <w:sz w:val="20"/>
                <w:szCs w:val="20"/>
              </w:rPr>
              <w:t>99</w:t>
            </w:r>
            <w:r w:rsidR="005E1A1C">
              <w:rPr>
                <w:rFonts w:ascii="Calibri" w:hAnsi="Calibri" w:cs="Calibri"/>
                <w:color w:val="000000"/>
                <w:sz w:val="20"/>
                <w:szCs w:val="20"/>
              </w:rPr>
              <w:t>.</w:t>
            </w:r>
            <w:r w:rsidRPr="0031741E">
              <w:rPr>
                <w:rFonts w:ascii="Calibri" w:hAnsi="Calibri" w:cs="Calibri"/>
                <w:color w:val="000000"/>
                <w:sz w:val="20"/>
                <w:szCs w:val="20"/>
              </w:rPr>
              <w:t>96%</w:t>
            </w:r>
          </w:p>
        </w:tc>
        <w:tc>
          <w:tcPr>
            <w:tcW w:w="1560" w:type="dxa"/>
            <w:vAlign w:val="bottom"/>
          </w:tcPr>
          <w:p w14:paraId="39E7A82D" w14:textId="73484C9E" w:rsidR="00BD74F5" w:rsidRPr="0031741E"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455134">
              <w:rPr>
                <w:rFonts w:ascii="Calibri" w:hAnsi="Calibri" w:cs="Calibri"/>
                <w:color w:val="FF0000"/>
                <w:sz w:val="20"/>
                <w:szCs w:val="20"/>
              </w:rPr>
              <w:t>134</w:t>
            </w:r>
            <w:r w:rsidR="005E1A1C">
              <w:rPr>
                <w:rFonts w:ascii="Calibri" w:hAnsi="Calibri" w:cs="Calibri"/>
                <w:color w:val="FF0000"/>
                <w:sz w:val="20"/>
                <w:szCs w:val="20"/>
              </w:rPr>
              <w:t>.</w:t>
            </w:r>
            <w:r w:rsidRPr="00455134">
              <w:rPr>
                <w:rFonts w:ascii="Calibri" w:hAnsi="Calibri" w:cs="Calibri"/>
                <w:color w:val="FF0000"/>
                <w:sz w:val="20"/>
                <w:szCs w:val="20"/>
              </w:rPr>
              <w:t>29%</w:t>
            </w:r>
          </w:p>
        </w:tc>
        <w:tc>
          <w:tcPr>
            <w:tcW w:w="1984" w:type="dxa"/>
          </w:tcPr>
          <w:p w14:paraId="072BA2BD" w14:textId="77777777" w:rsidR="00BD74F5" w:rsidRPr="00455134"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szCs w:val="20"/>
              </w:rPr>
            </w:pPr>
            <w:proofErr w:type="spellStart"/>
            <w:r>
              <w:rPr>
                <w:rFonts w:ascii="Calibri" w:hAnsi="Calibri" w:cs="Calibri"/>
                <w:color w:val="FF0000"/>
                <w:sz w:val="20"/>
                <w:szCs w:val="20"/>
              </w:rPr>
              <w:t>No</w:t>
            </w:r>
            <w:proofErr w:type="spellEnd"/>
          </w:p>
        </w:tc>
        <w:tc>
          <w:tcPr>
            <w:tcW w:w="2126" w:type="dxa"/>
          </w:tcPr>
          <w:p w14:paraId="300EDEB7" w14:textId="77777777" w:rsidR="00BD74F5" w:rsidRPr="00455134"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szCs w:val="20"/>
              </w:rPr>
            </w:pPr>
            <w:r w:rsidRPr="00B96289">
              <w:rPr>
                <w:rFonts w:ascii="Calibri" w:hAnsi="Calibri" w:cs="Calibri"/>
                <w:color w:val="00B050"/>
                <w:sz w:val="20"/>
                <w:szCs w:val="20"/>
              </w:rPr>
              <w:t>Yes</w:t>
            </w:r>
          </w:p>
        </w:tc>
      </w:tr>
      <w:tr w:rsidR="00BD74F5" w:rsidRPr="00F2169F" w14:paraId="7CA987BC" w14:textId="77777777" w:rsidTr="00FC4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6" w:type="dxa"/>
            <w:vAlign w:val="center"/>
          </w:tcPr>
          <w:p w14:paraId="46DF836E" w14:textId="77777777" w:rsidR="00BD74F5" w:rsidRPr="00101A70" w:rsidRDefault="00BD74F5" w:rsidP="00FC4243">
            <w:pPr>
              <w:jc w:val="center"/>
              <w:rPr>
                <w:rFonts w:cstheme="minorHAnsi"/>
                <w:sz w:val="20"/>
                <w:szCs w:val="20"/>
                <w:lang w:val="en-US"/>
              </w:rPr>
            </w:pPr>
            <w:r>
              <w:rPr>
                <w:rFonts w:cstheme="minorHAnsi"/>
                <w:sz w:val="20"/>
                <w:szCs w:val="20"/>
                <w:lang w:val="en-US"/>
              </w:rPr>
              <w:t>FDAC</w:t>
            </w:r>
          </w:p>
        </w:tc>
        <w:tc>
          <w:tcPr>
            <w:tcW w:w="2206" w:type="dxa"/>
            <w:vAlign w:val="bottom"/>
          </w:tcPr>
          <w:p w14:paraId="07C2006F" w14:textId="7FB139F3" w:rsidR="00BD74F5" w:rsidRPr="0031741E"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sidRPr="00455134">
              <w:rPr>
                <w:rFonts w:ascii="Calibri" w:hAnsi="Calibri" w:cs="Calibri"/>
                <w:color w:val="FF0000"/>
                <w:sz w:val="20"/>
                <w:szCs w:val="20"/>
              </w:rPr>
              <w:t>114</w:t>
            </w:r>
            <w:r w:rsidR="005E1A1C">
              <w:rPr>
                <w:rFonts w:ascii="Calibri" w:hAnsi="Calibri" w:cs="Calibri"/>
                <w:color w:val="FF0000"/>
                <w:sz w:val="20"/>
                <w:szCs w:val="20"/>
              </w:rPr>
              <w:t>.</w:t>
            </w:r>
            <w:r w:rsidRPr="00455134">
              <w:rPr>
                <w:rFonts w:ascii="Calibri" w:hAnsi="Calibri" w:cs="Calibri"/>
                <w:color w:val="FF0000"/>
                <w:sz w:val="20"/>
                <w:szCs w:val="20"/>
              </w:rPr>
              <w:t>08%</w:t>
            </w:r>
          </w:p>
        </w:tc>
        <w:tc>
          <w:tcPr>
            <w:tcW w:w="1560" w:type="dxa"/>
            <w:vAlign w:val="bottom"/>
          </w:tcPr>
          <w:p w14:paraId="38976443" w14:textId="71266D92" w:rsidR="00BD74F5" w:rsidRPr="0031741E"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sidRPr="00455134">
              <w:rPr>
                <w:rFonts w:ascii="Calibri" w:hAnsi="Calibri" w:cs="Calibri"/>
                <w:color w:val="FF0000"/>
                <w:sz w:val="20"/>
                <w:szCs w:val="20"/>
              </w:rPr>
              <w:t>151</w:t>
            </w:r>
            <w:r w:rsidR="005E1A1C">
              <w:rPr>
                <w:rFonts w:ascii="Calibri" w:hAnsi="Calibri" w:cs="Calibri"/>
                <w:color w:val="FF0000"/>
                <w:sz w:val="20"/>
                <w:szCs w:val="20"/>
              </w:rPr>
              <w:t>.</w:t>
            </w:r>
            <w:r w:rsidRPr="00455134">
              <w:rPr>
                <w:rFonts w:ascii="Calibri" w:hAnsi="Calibri" w:cs="Calibri"/>
                <w:color w:val="FF0000"/>
                <w:sz w:val="20"/>
                <w:szCs w:val="20"/>
              </w:rPr>
              <w:t>43%</w:t>
            </w:r>
          </w:p>
        </w:tc>
        <w:tc>
          <w:tcPr>
            <w:tcW w:w="1984" w:type="dxa"/>
          </w:tcPr>
          <w:p w14:paraId="22EE3230" w14:textId="77777777" w:rsidR="00BD74F5" w:rsidRPr="00455134"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sz w:val="20"/>
                <w:szCs w:val="20"/>
              </w:rPr>
            </w:pPr>
            <w:proofErr w:type="spellStart"/>
            <w:r>
              <w:rPr>
                <w:rFonts w:ascii="Calibri" w:hAnsi="Calibri" w:cs="Calibri"/>
                <w:color w:val="FF0000"/>
                <w:sz w:val="20"/>
                <w:szCs w:val="20"/>
              </w:rPr>
              <w:t>No</w:t>
            </w:r>
            <w:proofErr w:type="spellEnd"/>
          </w:p>
        </w:tc>
        <w:tc>
          <w:tcPr>
            <w:tcW w:w="2126" w:type="dxa"/>
          </w:tcPr>
          <w:p w14:paraId="270818BB" w14:textId="77777777" w:rsidR="00BD74F5" w:rsidRPr="00B96289"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B050"/>
                <w:sz w:val="20"/>
                <w:szCs w:val="20"/>
              </w:rPr>
            </w:pPr>
            <w:r w:rsidRPr="00B96289">
              <w:rPr>
                <w:rFonts w:ascii="Calibri" w:hAnsi="Calibri" w:cs="Calibri"/>
                <w:color w:val="00B050"/>
                <w:sz w:val="20"/>
                <w:szCs w:val="20"/>
              </w:rPr>
              <w:t>Yes</w:t>
            </w:r>
          </w:p>
        </w:tc>
      </w:tr>
      <w:tr w:rsidR="00BD74F5" w:rsidRPr="00F2169F" w14:paraId="62391987" w14:textId="77777777" w:rsidTr="00FC4243">
        <w:tc>
          <w:tcPr>
            <w:cnfStyle w:val="001000000000" w:firstRow="0" w:lastRow="0" w:firstColumn="1" w:lastColumn="0" w:oddVBand="0" w:evenVBand="0" w:oddHBand="0" w:evenHBand="0" w:firstRowFirstColumn="0" w:firstRowLastColumn="0" w:lastRowFirstColumn="0" w:lastRowLastColumn="0"/>
            <w:tcW w:w="1196" w:type="dxa"/>
            <w:vAlign w:val="center"/>
          </w:tcPr>
          <w:p w14:paraId="0EC93448" w14:textId="77777777" w:rsidR="00BD74F5" w:rsidRDefault="00BD74F5" w:rsidP="00FC4243">
            <w:pPr>
              <w:jc w:val="center"/>
              <w:rPr>
                <w:rFonts w:cstheme="minorHAnsi"/>
                <w:sz w:val="20"/>
                <w:szCs w:val="20"/>
                <w:lang w:val="en-US"/>
              </w:rPr>
            </w:pPr>
            <w:r>
              <w:rPr>
                <w:rFonts w:cstheme="minorHAnsi"/>
                <w:sz w:val="20"/>
                <w:szCs w:val="20"/>
                <w:lang w:val="en-US"/>
              </w:rPr>
              <w:t>IAFDAC</w:t>
            </w:r>
          </w:p>
        </w:tc>
        <w:tc>
          <w:tcPr>
            <w:tcW w:w="2206" w:type="dxa"/>
            <w:vAlign w:val="bottom"/>
          </w:tcPr>
          <w:p w14:paraId="57E760BB" w14:textId="29C73123" w:rsidR="00BD74F5" w:rsidRPr="0031741E"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B050"/>
                <w:sz w:val="20"/>
                <w:szCs w:val="20"/>
              </w:rPr>
            </w:pPr>
            <w:r w:rsidRPr="00455134">
              <w:rPr>
                <w:rFonts w:ascii="Calibri" w:hAnsi="Calibri" w:cs="Calibri"/>
                <w:color w:val="FF0000"/>
                <w:sz w:val="20"/>
                <w:szCs w:val="20"/>
              </w:rPr>
              <w:t>123</w:t>
            </w:r>
            <w:r w:rsidR="005E1A1C">
              <w:rPr>
                <w:rFonts w:ascii="Calibri" w:hAnsi="Calibri" w:cs="Calibri"/>
                <w:color w:val="FF0000"/>
                <w:sz w:val="20"/>
                <w:szCs w:val="20"/>
              </w:rPr>
              <w:t>.</w:t>
            </w:r>
            <w:r w:rsidRPr="00455134">
              <w:rPr>
                <w:rFonts w:ascii="Calibri" w:hAnsi="Calibri" w:cs="Calibri"/>
                <w:color w:val="FF0000"/>
                <w:sz w:val="20"/>
                <w:szCs w:val="20"/>
              </w:rPr>
              <w:t>61%</w:t>
            </w:r>
          </w:p>
        </w:tc>
        <w:tc>
          <w:tcPr>
            <w:tcW w:w="1560" w:type="dxa"/>
            <w:vAlign w:val="bottom"/>
          </w:tcPr>
          <w:p w14:paraId="6276D713" w14:textId="07849C0D" w:rsidR="00BD74F5" w:rsidRPr="00455134" w:rsidRDefault="00BD74F5" w:rsidP="00FC4243">
            <w:pPr>
              <w:keepNex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szCs w:val="20"/>
              </w:rPr>
            </w:pPr>
            <w:r w:rsidRPr="00455134">
              <w:rPr>
                <w:rFonts w:ascii="Calibri" w:hAnsi="Calibri" w:cs="Calibri"/>
                <w:color w:val="FF0000"/>
                <w:sz w:val="20"/>
                <w:szCs w:val="20"/>
              </w:rPr>
              <w:t>154</w:t>
            </w:r>
            <w:r w:rsidR="005E1A1C">
              <w:rPr>
                <w:rFonts w:ascii="Calibri" w:hAnsi="Calibri" w:cs="Calibri"/>
                <w:color w:val="FF0000"/>
                <w:sz w:val="20"/>
                <w:szCs w:val="20"/>
              </w:rPr>
              <w:t>.</w:t>
            </w:r>
            <w:r w:rsidRPr="00455134">
              <w:rPr>
                <w:rFonts w:ascii="Calibri" w:hAnsi="Calibri" w:cs="Calibri"/>
                <w:color w:val="FF0000"/>
                <w:sz w:val="20"/>
                <w:szCs w:val="20"/>
              </w:rPr>
              <w:t>29%</w:t>
            </w:r>
          </w:p>
        </w:tc>
        <w:tc>
          <w:tcPr>
            <w:tcW w:w="1984" w:type="dxa"/>
          </w:tcPr>
          <w:p w14:paraId="0425D863" w14:textId="77777777" w:rsidR="00BD74F5" w:rsidRPr="00455134" w:rsidRDefault="00BD74F5" w:rsidP="00FC4243">
            <w:pPr>
              <w:keepNex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szCs w:val="20"/>
              </w:rPr>
            </w:pPr>
            <w:r w:rsidRPr="00B96289">
              <w:rPr>
                <w:rFonts w:ascii="Calibri" w:hAnsi="Calibri" w:cs="Calibri"/>
                <w:color w:val="00B050"/>
                <w:sz w:val="20"/>
                <w:szCs w:val="20"/>
              </w:rPr>
              <w:t>Yes</w:t>
            </w:r>
          </w:p>
        </w:tc>
        <w:tc>
          <w:tcPr>
            <w:tcW w:w="2126" w:type="dxa"/>
          </w:tcPr>
          <w:p w14:paraId="3AEAF155" w14:textId="77777777" w:rsidR="00BD74F5" w:rsidRPr="00B96289" w:rsidRDefault="00BD74F5" w:rsidP="00FC4243">
            <w:pPr>
              <w:keepNex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B050"/>
                <w:sz w:val="20"/>
                <w:szCs w:val="20"/>
              </w:rPr>
            </w:pPr>
            <w:r w:rsidRPr="00B96289">
              <w:rPr>
                <w:rFonts w:ascii="Calibri" w:hAnsi="Calibri" w:cs="Calibri"/>
                <w:color w:val="00B050"/>
                <w:sz w:val="20"/>
                <w:szCs w:val="20"/>
              </w:rPr>
              <w:t>Yes</w:t>
            </w:r>
          </w:p>
        </w:tc>
      </w:tr>
      <w:tr w:rsidR="00BD74F5" w:rsidRPr="00F2169F" w14:paraId="7BFEF034" w14:textId="77777777" w:rsidTr="00FC4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6" w:type="dxa"/>
            <w:vAlign w:val="center"/>
          </w:tcPr>
          <w:p w14:paraId="43952D1B" w14:textId="77777777" w:rsidR="00BD74F5" w:rsidRDefault="00BD74F5" w:rsidP="00FC4243">
            <w:pPr>
              <w:jc w:val="center"/>
              <w:rPr>
                <w:rFonts w:cstheme="minorHAnsi"/>
                <w:sz w:val="20"/>
                <w:szCs w:val="20"/>
                <w:lang w:val="en-US"/>
              </w:rPr>
            </w:pPr>
            <w:r>
              <w:rPr>
                <w:sz w:val="20"/>
                <w:szCs w:val="20"/>
                <w:lang w:val="en-US"/>
              </w:rPr>
              <w:t>xyt-SAC</w:t>
            </w:r>
          </w:p>
        </w:tc>
        <w:tc>
          <w:tcPr>
            <w:tcW w:w="2206" w:type="dxa"/>
            <w:vAlign w:val="bottom"/>
          </w:tcPr>
          <w:p w14:paraId="4CF02F36" w14:textId="5052094F" w:rsidR="00BD74F5" w:rsidRPr="00455134" w:rsidRDefault="00BD74F5" w:rsidP="00FC424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sz w:val="20"/>
                <w:szCs w:val="20"/>
              </w:rPr>
            </w:pPr>
            <w:r w:rsidRPr="00455134">
              <w:rPr>
                <w:rFonts w:ascii="Calibri" w:hAnsi="Calibri" w:cs="Calibri"/>
                <w:color w:val="FF0000"/>
                <w:sz w:val="20"/>
                <w:szCs w:val="20"/>
              </w:rPr>
              <w:t>126</w:t>
            </w:r>
            <w:r w:rsidR="005E1A1C">
              <w:rPr>
                <w:rFonts w:ascii="Calibri" w:hAnsi="Calibri" w:cs="Calibri"/>
                <w:color w:val="FF0000"/>
                <w:sz w:val="20"/>
                <w:szCs w:val="20"/>
              </w:rPr>
              <w:t>.</w:t>
            </w:r>
            <w:r w:rsidRPr="00455134">
              <w:rPr>
                <w:rFonts w:ascii="Calibri" w:hAnsi="Calibri" w:cs="Calibri"/>
                <w:color w:val="FF0000"/>
                <w:sz w:val="20"/>
                <w:szCs w:val="20"/>
              </w:rPr>
              <w:t>53%</w:t>
            </w:r>
          </w:p>
        </w:tc>
        <w:tc>
          <w:tcPr>
            <w:tcW w:w="1560" w:type="dxa"/>
            <w:vAlign w:val="bottom"/>
          </w:tcPr>
          <w:p w14:paraId="3550129E" w14:textId="7522227C" w:rsidR="00BD74F5" w:rsidRPr="00455134"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sz w:val="20"/>
                <w:szCs w:val="20"/>
              </w:rPr>
            </w:pPr>
            <w:r w:rsidRPr="00455134">
              <w:rPr>
                <w:rFonts w:ascii="Calibri" w:hAnsi="Calibri" w:cs="Calibri"/>
                <w:color w:val="FF0000"/>
                <w:sz w:val="20"/>
                <w:szCs w:val="20"/>
              </w:rPr>
              <w:t>178</w:t>
            </w:r>
            <w:r w:rsidR="005E1A1C">
              <w:rPr>
                <w:rFonts w:ascii="Calibri" w:hAnsi="Calibri" w:cs="Calibri"/>
                <w:color w:val="FF0000"/>
                <w:sz w:val="20"/>
                <w:szCs w:val="20"/>
              </w:rPr>
              <w:t>.</w:t>
            </w:r>
            <w:r w:rsidRPr="00455134">
              <w:rPr>
                <w:rFonts w:ascii="Calibri" w:hAnsi="Calibri" w:cs="Calibri"/>
                <w:color w:val="FF0000"/>
                <w:sz w:val="20"/>
                <w:szCs w:val="20"/>
              </w:rPr>
              <w:t>57%</w:t>
            </w:r>
          </w:p>
        </w:tc>
        <w:tc>
          <w:tcPr>
            <w:tcW w:w="1984" w:type="dxa"/>
          </w:tcPr>
          <w:p w14:paraId="5BE715BB" w14:textId="77777777" w:rsidR="00BD74F5" w:rsidRPr="00455134"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sz w:val="20"/>
                <w:szCs w:val="20"/>
              </w:rPr>
            </w:pPr>
            <w:proofErr w:type="spellStart"/>
            <w:r>
              <w:rPr>
                <w:rFonts w:ascii="Calibri" w:hAnsi="Calibri" w:cs="Calibri"/>
                <w:color w:val="FF0000"/>
                <w:sz w:val="20"/>
                <w:szCs w:val="20"/>
              </w:rPr>
              <w:t>No</w:t>
            </w:r>
            <w:proofErr w:type="spellEnd"/>
          </w:p>
        </w:tc>
        <w:tc>
          <w:tcPr>
            <w:tcW w:w="2126" w:type="dxa"/>
          </w:tcPr>
          <w:p w14:paraId="4B399B12" w14:textId="77777777" w:rsidR="00BD74F5" w:rsidRPr="00B96289"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B050"/>
                <w:sz w:val="20"/>
                <w:szCs w:val="20"/>
              </w:rPr>
            </w:pPr>
            <w:r w:rsidRPr="00B96289">
              <w:rPr>
                <w:rFonts w:ascii="Calibri" w:hAnsi="Calibri" w:cs="Calibri"/>
                <w:color w:val="00B050"/>
                <w:sz w:val="20"/>
                <w:szCs w:val="20"/>
              </w:rPr>
              <w:t>Yes</w:t>
            </w:r>
          </w:p>
        </w:tc>
      </w:tr>
      <w:tr w:rsidR="00BD74F5" w:rsidRPr="00F2169F" w14:paraId="4B2F3FDC" w14:textId="77777777" w:rsidTr="00FC4243">
        <w:tc>
          <w:tcPr>
            <w:cnfStyle w:val="001000000000" w:firstRow="0" w:lastRow="0" w:firstColumn="1" w:lastColumn="0" w:oddVBand="0" w:evenVBand="0" w:oddHBand="0" w:evenHBand="0" w:firstRowFirstColumn="0" w:firstRowLastColumn="0" w:lastRowFirstColumn="0" w:lastRowLastColumn="0"/>
            <w:tcW w:w="1196" w:type="dxa"/>
            <w:vAlign w:val="center"/>
          </w:tcPr>
          <w:p w14:paraId="7E5205F4" w14:textId="77777777" w:rsidR="00BD74F5" w:rsidRDefault="00BD74F5" w:rsidP="00FC4243">
            <w:pPr>
              <w:jc w:val="center"/>
              <w:rPr>
                <w:rFonts w:cstheme="minorHAnsi"/>
                <w:sz w:val="20"/>
                <w:szCs w:val="20"/>
                <w:lang w:val="en-US"/>
              </w:rPr>
            </w:pPr>
            <w:r>
              <w:rPr>
                <w:rFonts w:cstheme="minorHAnsi"/>
                <w:sz w:val="20"/>
                <w:szCs w:val="20"/>
                <w:lang w:val="en-US"/>
              </w:rPr>
              <w:t>SAIafd</w:t>
            </w:r>
          </w:p>
        </w:tc>
        <w:tc>
          <w:tcPr>
            <w:tcW w:w="2206" w:type="dxa"/>
            <w:vAlign w:val="bottom"/>
          </w:tcPr>
          <w:p w14:paraId="2BBB66A4" w14:textId="2B0DA49B" w:rsidR="00BD74F5" w:rsidRPr="00455134"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szCs w:val="20"/>
              </w:rPr>
            </w:pPr>
            <w:r w:rsidRPr="00455134">
              <w:rPr>
                <w:rFonts w:ascii="Calibri" w:hAnsi="Calibri" w:cs="Calibri"/>
                <w:color w:val="FF0000"/>
                <w:sz w:val="20"/>
                <w:szCs w:val="20"/>
              </w:rPr>
              <w:t>139</w:t>
            </w:r>
            <w:r w:rsidR="005E1A1C">
              <w:rPr>
                <w:rFonts w:ascii="Calibri" w:hAnsi="Calibri" w:cs="Calibri"/>
                <w:color w:val="FF0000"/>
                <w:sz w:val="20"/>
                <w:szCs w:val="20"/>
              </w:rPr>
              <w:t>.</w:t>
            </w:r>
            <w:r w:rsidRPr="00455134">
              <w:rPr>
                <w:rFonts w:ascii="Calibri" w:hAnsi="Calibri" w:cs="Calibri"/>
                <w:color w:val="FF0000"/>
                <w:sz w:val="20"/>
                <w:szCs w:val="20"/>
              </w:rPr>
              <w:t>34%</w:t>
            </w:r>
          </w:p>
        </w:tc>
        <w:tc>
          <w:tcPr>
            <w:tcW w:w="1560" w:type="dxa"/>
            <w:vAlign w:val="bottom"/>
          </w:tcPr>
          <w:p w14:paraId="4F5D64F0" w14:textId="0D5CF213" w:rsidR="00BD74F5" w:rsidRPr="00455134" w:rsidRDefault="00BD74F5" w:rsidP="00FC4243">
            <w:pPr>
              <w:keepNex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szCs w:val="20"/>
              </w:rPr>
            </w:pPr>
            <w:r w:rsidRPr="00455134">
              <w:rPr>
                <w:rFonts w:ascii="Calibri" w:hAnsi="Calibri" w:cs="Calibri"/>
                <w:color w:val="FF0000"/>
                <w:sz w:val="20"/>
                <w:szCs w:val="20"/>
              </w:rPr>
              <w:t>131</w:t>
            </w:r>
            <w:r w:rsidR="005E1A1C">
              <w:rPr>
                <w:rFonts w:ascii="Calibri" w:hAnsi="Calibri" w:cs="Calibri"/>
                <w:color w:val="FF0000"/>
                <w:sz w:val="20"/>
                <w:szCs w:val="20"/>
              </w:rPr>
              <w:t>.</w:t>
            </w:r>
            <w:r w:rsidRPr="00455134">
              <w:rPr>
                <w:rFonts w:ascii="Calibri" w:hAnsi="Calibri" w:cs="Calibri"/>
                <w:color w:val="FF0000"/>
                <w:sz w:val="20"/>
                <w:szCs w:val="20"/>
              </w:rPr>
              <w:t>43%</w:t>
            </w:r>
          </w:p>
        </w:tc>
        <w:tc>
          <w:tcPr>
            <w:tcW w:w="1984" w:type="dxa"/>
          </w:tcPr>
          <w:p w14:paraId="4CF63057" w14:textId="77777777" w:rsidR="00BD74F5" w:rsidRPr="00455134" w:rsidRDefault="00BD74F5" w:rsidP="00FC4243">
            <w:pPr>
              <w:keepNex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szCs w:val="20"/>
              </w:rPr>
            </w:pPr>
            <w:proofErr w:type="spellStart"/>
            <w:r>
              <w:rPr>
                <w:rFonts w:ascii="Calibri" w:hAnsi="Calibri" w:cs="Calibri"/>
                <w:color w:val="FF0000"/>
                <w:sz w:val="20"/>
                <w:szCs w:val="20"/>
              </w:rPr>
              <w:t>No</w:t>
            </w:r>
            <w:proofErr w:type="spellEnd"/>
          </w:p>
        </w:tc>
        <w:tc>
          <w:tcPr>
            <w:tcW w:w="2126" w:type="dxa"/>
          </w:tcPr>
          <w:p w14:paraId="1BA95BB0" w14:textId="77777777" w:rsidR="00BD74F5" w:rsidRPr="00455134" w:rsidRDefault="00BD74F5" w:rsidP="00FC4243">
            <w:pPr>
              <w:keepNex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szCs w:val="20"/>
              </w:rPr>
            </w:pPr>
            <w:proofErr w:type="spellStart"/>
            <w:r>
              <w:rPr>
                <w:rFonts w:ascii="Calibri" w:hAnsi="Calibri" w:cs="Calibri"/>
                <w:color w:val="FF0000"/>
                <w:sz w:val="20"/>
                <w:szCs w:val="20"/>
              </w:rPr>
              <w:t>No</w:t>
            </w:r>
            <w:commentRangeEnd w:id="17"/>
            <w:proofErr w:type="spellEnd"/>
            <w:r>
              <w:rPr>
                <w:rStyle w:val="Kommentarzeichen"/>
              </w:rPr>
              <w:commentReference w:id="17"/>
            </w:r>
          </w:p>
        </w:tc>
      </w:tr>
    </w:tbl>
    <w:p w14:paraId="6EB1BB5A" w14:textId="303A74F4" w:rsidR="00BD74F5" w:rsidRDefault="00BD74F5" w:rsidP="00BD74F5">
      <w:pPr>
        <w:pStyle w:val="Beschriftung"/>
        <w:framePr w:w="9061" w:h="781" w:hRule="exact" w:hSpace="180" w:wrap="around" w:vAnchor="text" w:hAnchor="page" w:x="1366" w:y="4824"/>
        <w:jc w:val="center"/>
        <w:rPr>
          <w:lang w:val="en-US"/>
        </w:rPr>
      </w:pPr>
      <w:bookmarkStart w:id="18" w:name="_Ref173310263"/>
      <w:r w:rsidRPr="00D24828">
        <w:rPr>
          <w:lang w:val="en-US"/>
        </w:rPr>
        <w:t>Tab</w:t>
      </w:r>
      <w:r w:rsidR="00E86CD0">
        <w:rPr>
          <w:lang w:val="en-US"/>
        </w:rPr>
        <w:t>.S</w:t>
      </w:r>
      <w:bookmarkEnd w:id="18"/>
      <w:r w:rsidR="00E86CD0">
        <w:rPr>
          <w:lang w:val="en-US"/>
        </w:rPr>
        <w:t>5</w:t>
      </w:r>
      <w:r w:rsidRPr="00D24828">
        <w:rPr>
          <w:lang w:val="en-US"/>
        </w:rPr>
        <w:t xml:space="preserve">: </w:t>
      </w:r>
      <w:r w:rsidRPr="002519D1">
        <w:rPr>
          <w:lang w:val="en-US"/>
        </w:rPr>
        <w:t>Relative values of t</w:t>
      </w:r>
      <w:r>
        <w:rPr>
          <w:lang w:val="en-US"/>
        </w:rPr>
        <w:t xml:space="preserve">he used techniques for embolization treatment of the ACA + </w:t>
      </w:r>
      <w:proofErr w:type="spellStart"/>
      <w:r>
        <w:rPr>
          <w:lang w:val="en-US"/>
        </w:rPr>
        <w:t>AComA</w:t>
      </w:r>
      <w:proofErr w:type="spellEnd"/>
      <w:r>
        <w:rPr>
          <w:lang w:val="en-US"/>
        </w:rPr>
        <w:t xml:space="preserve"> with saccular and fusiform aneurysm types. Values in green: Saving potential as a percentage of CEs’ baseline value. This accounts vice versa for the red values.</w:t>
      </w:r>
    </w:p>
    <w:p w14:paraId="336D6322" w14:textId="77777777" w:rsidR="00BD74F5" w:rsidRDefault="00BD74F5" w:rsidP="00BD74F5">
      <w:pPr>
        <w:framePr w:w="9061" w:h="781" w:hRule="exact" w:hSpace="180" w:wrap="around" w:vAnchor="text" w:hAnchor="page" w:x="1366" w:y="4824"/>
        <w:jc w:val="center"/>
        <w:rPr>
          <w:lang w:val="en-US"/>
        </w:rPr>
      </w:pPr>
    </w:p>
    <w:p w14:paraId="0680D783" w14:textId="77777777" w:rsidR="00BD74F5" w:rsidRPr="00386695" w:rsidRDefault="00BD74F5" w:rsidP="00BD74F5">
      <w:pPr>
        <w:framePr w:w="9061" w:h="781" w:hRule="exact" w:hSpace="180" w:wrap="around" w:vAnchor="text" w:hAnchor="page" w:x="1366" w:y="4824"/>
        <w:jc w:val="center"/>
        <w:rPr>
          <w:lang w:val="en-US"/>
        </w:rPr>
      </w:pPr>
    </w:p>
    <w:p w14:paraId="17D86CFF" w14:textId="77777777" w:rsidR="00BD74F5" w:rsidRDefault="00BD74F5" w:rsidP="00BD74F5">
      <w:pPr>
        <w:framePr w:w="9061" w:h="781" w:hRule="exact" w:hSpace="180" w:wrap="around" w:vAnchor="text" w:hAnchor="page" w:x="1366" w:y="4824"/>
        <w:jc w:val="center"/>
        <w:rPr>
          <w:lang w:val="en-US"/>
        </w:rPr>
      </w:pPr>
    </w:p>
    <w:p w14:paraId="64DA3326" w14:textId="77777777" w:rsidR="00BD74F5" w:rsidRPr="000A7748" w:rsidRDefault="00BD74F5" w:rsidP="00BD74F5">
      <w:pPr>
        <w:framePr w:w="9061" w:h="781" w:hRule="exact" w:hSpace="180" w:wrap="around" w:vAnchor="text" w:hAnchor="page" w:x="1366" w:y="4824"/>
        <w:jc w:val="center"/>
        <w:rPr>
          <w:lang w:val="en-US"/>
        </w:rPr>
      </w:pPr>
    </w:p>
    <w:p w14:paraId="21E921B5" w14:textId="77777777" w:rsidR="00BD74F5" w:rsidRDefault="00BD74F5" w:rsidP="00BD74F5">
      <w:pPr>
        <w:tabs>
          <w:tab w:val="left" w:pos="6450"/>
          <w:tab w:val="left" w:pos="7965"/>
        </w:tabs>
        <w:rPr>
          <w:b/>
          <w:lang w:val="en-US"/>
        </w:rPr>
      </w:pPr>
    </w:p>
    <w:p w14:paraId="07BEDB9F" w14:textId="77777777" w:rsidR="00BD74F5" w:rsidRPr="00C25011" w:rsidRDefault="00BD74F5" w:rsidP="00BD74F5">
      <w:pPr>
        <w:tabs>
          <w:tab w:val="left" w:pos="6450"/>
          <w:tab w:val="left" w:pos="7965"/>
        </w:tabs>
        <w:rPr>
          <w:b/>
          <w:lang w:val="en-US"/>
        </w:rPr>
      </w:pPr>
      <w:r>
        <w:rPr>
          <w:b/>
          <w:lang w:val="en-US"/>
        </w:rPr>
        <w:t>Middle cerebral artery (MCA)</w:t>
      </w:r>
      <w:r w:rsidRPr="00C25011">
        <w:rPr>
          <w:b/>
          <w:lang w:val="en-US"/>
        </w:rPr>
        <w:t xml:space="preserve"> with saccular aneurysm type</w:t>
      </w:r>
      <w:r w:rsidRPr="00C25011">
        <w:rPr>
          <w:b/>
          <w:lang w:val="en-US"/>
        </w:rPr>
        <w:tab/>
      </w:r>
      <w:r w:rsidRPr="00C25011">
        <w:rPr>
          <w:b/>
          <w:lang w:val="en-US"/>
        </w:rPr>
        <w:tab/>
      </w:r>
    </w:p>
    <w:p w14:paraId="3FFC2573" w14:textId="77777777" w:rsidR="00BD74F5" w:rsidRDefault="00BD74F5" w:rsidP="00BD74F5">
      <w:pPr>
        <w:rPr>
          <w:lang w:val="en-US"/>
        </w:rPr>
      </w:pPr>
      <w:r>
        <w:rPr>
          <w:noProof/>
          <w:lang w:eastAsia="de-DE"/>
        </w:rPr>
        <mc:AlternateContent>
          <mc:Choice Requires="wps">
            <w:drawing>
              <wp:anchor distT="0" distB="0" distL="114300" distR="114300" simplePos="0" relativeHeight="251664384" behindDoc="0" locked="0" layoutInCell="1" allowOverlap="1" wp14:anchorId="51DFE242" wp14:editId="14F7F231">
                <wp:simplePos x="0" y="0"/>
                <wp:positionH relativeFrom="margin">
                  <wp:posOffset>-109220</wp:posOffset>
                </wp:positionH>
                <wp:positionV relativeFrom="paragraph">
                  <wp:posOffset>4401185</wp:posOffset>
                </wp:positionV>
                <wp:extent cx="5859780" cy="635"/>
                <wp:effectExtent l="0" t="0" r="7620" b="6985"/>
                <wp:wrapSquare wrapText="bothSides"/>
                <wp:docPr id="30" name="Textfeld 30"/>
                <wp:cNvGraphicFramePr/>
                <a:graphic xmlns:a="http://schemas.openxmlformats.org/drawingml/2006/main">
                  <a:graphicData uri="http://schemas.microsoft.com/office/word/2010/wordprocessingShape">
                    <wps:wsp>
                      <wps:cNvSpPr txBox="1"/>
                      <wps:spPr>
                        <a:xfrm>
                          <a:off x="0" y="0"/>
                          <a:ext cx="5859780" cy="635"/>
                        </a:xfrm>
                        <a:prstGeom prst="rect">
                          <a:avLst/>
                        </a:prstGeom>
                        <a:solidFill>
                          <a:prstClr val="white"/>
                        </a:solidFill>
                        <a:ln>
                          <a:noFill/>
                        </a:ln>
                      </wps:spPr>
                      <wps:txbx>
                        <w:txbxContent>
                          <w:p w14:paraId="16DB722F" w14:textId="4820E62C" w:rsidR="0084270F" w:rsidRPr="00C51E12" w:rsidRDefault="0084270F" w:rsidP="00BD74F5">
                            <w:pPr>
                              <w:pStyle w:val="Beschriftung"/>
                              <w:jc w:val="center"/>
                              <w:rPr>
                                <w:noProof/>
                                <w:lang w:val="en-US"/>
                              </w:rPr>
                            </w:pPr>
                            <w:r w:rsidRPr="005C6D8C">
                              <w:rPr>
                                <w:lang w:val="en-US"/>
                              </w:rPr>
                              <w:t>Fig</w:t>
                            </w:r>
                            <w:r w:rsidR="00E86CD0">
                              <w:rPr>
                                <w:lang w:val="en-US"/>
                              </w:rPr>
                              <w:t>.S6</w:t>
                            </w:r>
                            <w:r w:rsidRPr="005C6D8C">
                              <w:rPr>
                                <w:lang w:val="en-US"/>
                              </w:rPr>
                              <w:t xml:space="preserve">: </w:t>
                            </w:r>
                            <w:r w:rsidRPr="00E04A45">
                              <w:rPr>
                                <w:lang w:val="en-US"/>
                              </w:rPr>
                              <w:t>Juxtaposition</w:t>
                            </w:r>
                            <w:r>
                              <w:rPr>
                                <w:lang w:val="en-US"/>
                              </w:rPr>
                              <w:t xml:space="preserve"> </w:t>
                            </w:r>
                            <w:r w:rsidRPr="00E04A45">
                              <w:rPr>
                                <w:lang w:val="en-US"/>
                              </w:rPr>
                              <w:t>graph of the DAP a</w:t>
                            </w:r>
                            <w:r>
                              <w:rPr>
                                <w:lang w:val="en-US"/>
                              </w:rPr>
                              <w:t>nd ET for different techniques shown in boxplots. On top of the graph the absolute record number for this specific vessel and aneurysm type can be found. The big blue line indicates the national diagnostic reference level.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1DFE242" id="Textfeld 30" o:spid="_x0000_s1031" type="#_x0000_t202" style="position:absolute;margin-left:-8.6pt;margin-top:346.55pt;width:461.4pt;height:.0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" stroked="f">
                <v:textbox style="mso-fit-shape-to-text:t" inset="0,0,0,0">
                  <w:txbxContent>
                    <w:p w14:paraId="16DB722F" w14:textId="4820E62C" w:rsidR="0084270F" w:rsidRPr="00C51E12" w:rsidRDefault="0084270F" w:rsidP="00BD74F5">
                      <w:pPr>
                        <w:pStyle w:val="Beschriftung"/>
                        <w:jc w:val="center"/>
                        <w:rPr>
                          <w:noProof/>
                          <w:lang w:val="en-US"/>
                        </w:rPr>
                      </w:pPr>
                      <w:r w:rsidRPr="005C6D8C">
                        <w:rPr>
                          <w:lang w:val="en-US"/>
                        </w:rPr>
                        <w:t>Fig</w:t>
                      </w:r>
                      <w:r w:rsidR="00E86CD0">
                        <w:rPr>
                          <w:lang w:val="en-US"/>
                        </w:rPr>
                        <w:t>.S6</w:t>
                      </w:r>
                      <w:r w:rsidRPr="005C6D8C">
                        <w:rPr>
                          <w:lang w:val="en-US"/>
                        </w:rPr>
                        <w:t xml:space="preserve">: </w:t>
                      </w:r>
                      <w:r w:rsidRPr="00E04A45">
                        <w:rPr>
                          <w:lang w:val="en-US"/>
                        </w:rPr>
                        <w:t>Juxtaposition</w:t>
                      </w:r>
                      <w:r>
                        <w:rPr>
                          <w:lang w:val="en-US"/>
                        </w:rPr>
                        <w:t xml:space="preserve"> </w:t>
                      </w:r>
                      <w:r w:rsidRPr="00E04A45">
                        <w:rPr>
                          <w:lang w:val="en-US"/>
                        </w:rPr>
                        <w:t>graph of the DAP a</w:t>
                      </w:r>
                      <w:r>
                        <w:rPr>
                          <w:lang w:val="en-US"/>
                        </w:rPr>
                        <w:t>nd ET for different techniques shown in boxplots. On top of the graph the absolute record number for this specific vessel and aneurysm type can be found. The big blue line indicates the national diagnostic reference level.</w:t>
                      </w:r>
                    </w:p>
                  </w:txbxContent>
                </v:textbox>
                <w10:wrap type="square" anchorx="margin"/>
              </v:shape>
            </w:pict>
          </mc:Fallback>
        </mc:AlternateContent>
      </w:r>
      <w:r w:rsidRPr="00641DBE">
        <w:rPr>
          <w:lang w:val="en-US"/>
        </w:rPr>
        <w:t xml:space="preserve">For the treatment of MCA saccular aneurysms, the CE technique ranks second in terms of median </w:t>
      </w:r>
      <w:r>
        <w:rPr>
          <w:lang w:val="en-US"/>
        </w:rPr>
        <w:t>dose-area product</w:t>
      </w:r>
      <w:r w:rsidRPr="00641DBE">
        <w:rPr>
          <w:lang w:val="en-US"/>
        </w:rPr>
        <w:t xml:space="preserve"> and </w:t>
      </w:r>
      <w:r>
        <w:rPr>
          <w:lang w:val="en-US"/>
        </w:rPr>
        <w:t>exposure time</w:t>
      </w:r>
      <w:r w:rsidRPr="00641DBE">
        <w:rPr>
          <w:lang w:val="en-US"/>
        </w:rPr>
        <w:t xml:space="preserve">. However, it is again the most commonly used technique for such treatments with an overall usage of 40.21% for this data subset. This corresponds to 11.51% of all CE procedures.  Only FD-based embolization techniques yield better median values in terms of </w:t>
      </w:r>
      <w:r>
        <w:rPr>
          <w:lang w:val="en-US"/>
        </w:rPr>
        <w:t>dose-area product</w:t>
      </w:r>
      <w:r w:rsidRPr="00641DBE">
        <w:rPr>
          <w:lang w:val="en-US"/>
        </w:rPr>
        <w:t xml:space="preserve"> and </w:t>
      </w:r>
      <w:r>
        <w:rPr>
          <w:lang w:val="en-US"/>
        </w:rPr>
        <w:t>exposure time</w:t>
      </w:r>
      <w:r w:rsidRPr="00641DBE">
        <w:rPr>
          <w:lang w:val="en-US"/>
        </w:rPr>
        <w:t xml:space="preserve"> compared to the CE baseline with 91.61% and 86.21%, respectively. </w:t>
      </w:r>
      <w:proofErr w:type="spellStart"/>
      <w:r w:rsidRPr="00641DBE">
        <w:rPr>
          <w:lang w:val="en-US"/>
        </w:rPr>
        <w:t>IaFD</w:t>
      </w:r>
      <w:proofErr w:type="spellEnd"/>
      <w:r w:rsidRPr="00641DBE">
        <w:rPr>
          <w:lang w:val="en-US"/>
        </w:rPr>
        <w:t xml:space="preserve"> only comes close in terms of time savings with a 24.14% decrease in </w:t>
      </w:r>
      <w:r>
        <w:rPr>
          <w:lang w:val="en-US"/>
        </w:rPr>
        <w:t>exposure time</w:t>
      </w:r>
      <w:r w:rsidRPr="00641DBE">
        <w:rPr>
          <w:lang w:val="en-US"/>
        </w:rPr>
        <w:t xml:space="preserve"> </w:t>
      </w:r>
      <w:r>
        <w:rPr>
          <w:noProof/>
          <w:lang w:val="en-US"/>
        </w:rPr>
        <w:drawing>
          <wp:inline distT="0" distB="0" distL="0" distR="0" wp14:anchorId="07131114" wp14:editId="5260319B">
            <wp:extent cx="5755005" cy="3310216"/>
            <wp:effectExtent l="0" t="0" r="0" b="508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782079" cy="3325789"/>
                    </a:xfrm>
                    <a:prstGeom prst="rect">
                      <a:avLst/>
                    </a:prstGeom>
                    <a:noFill/>
                  </pic:spPr>
                </pic:pic>
              </a:graphicData>
            </a:graphic>
          </wp:inline>
        </w:drawing>
      </w:r>
      <w:r w:rsidRPr="00641DBE">
        <w:rPr>
          <w:lang w:val="en-US"/>
        </w:rPr>
        <w:lastRenderedPageBreak/>
        <w:t xml:space="preserve">compared to the median </w:t>
      </w:r>
      <w:r>
        <w:rPr>
          <w:lang w:val="en-US"/>
        </w:rPr>
        <w:t>exposure time</w:t>
      </w:r>
      <w:r w:rsidRPr="00641DBE">
        <w:rPr>
          <w:lang w:val="en-US"/>
        </w:rPr>
        <w:t xml:space="preserve"> of CEs. All other techniques result in either similar or dramatically increased median </w:t>
      </w:r>
      <w:r>
        <w:rPr>
          <w:lang w:val="en-US"/>
        </w:rPr>
        <w:t>dose-area product</w:t>
      </w:r>
      <w:r w:rsidRPr="00641DBE">
        <w:rPr>
          <w:lang w:val="en-US"/>
        </w:rPr>
        <w:t xml:space="preserve"> and </w:t>
      </w:r>
      <w:r>
        <w:rPr>
          <w:lang w:val="en-US"/>
        </w:rPr>
        <w:t>exposure time</w:t>
      </w:r>
      <w:r w:rsidRPr="00641DBE">
        <w:rPr>
          <w:lang w:val="en-US"/>
        </w:rPr>
        <w:t xml:space="preserve"> in comparison.</w:t>
      </w:r>
      <w:r>
        <w:rPr>
          <w:lang w:val="en-US"/>
        </w:rPr>
        <w:t xml:space="preserve"> The techniques </w:t>
      </w:r>
      <w:proofErr w:type="spellStart"/>
      <w:r>
        <w:rPr>
          <w:lang w:val="en-US"/>
        </w:rPr>
        <w:t>IaFDAC</w:t>
      </w:r>
      <w:proofErr w:type="spellEnd"/>
      <w:r>
        <w:rPr>
          <w:lang w:val="en-US"/>
        </w:rPr>
        <w:t xml:space="preserve">, </w:t>
      </w:r>
      <w:proofErr w:type="spellStart"/>
      <w:r>
        <w:rPr>
          <w:lang w:val="en-US"/>
        </w:rPr>
        <w:t>xyt</w:t>
      </w:r>
      <w:proofErr w:type="spellEnd"/>
      <w:r>
        <w:rPr>
          <w:lang w:val="en-US"/>
        </w:rPr>
        <w:t xml:space="preserve">-SAC and </w:t>
      </w:r>
      <w:proofErr w:type="spellStart"/>
      <w:r>
        <w:rPr>
          <w:lang w:val="en-US"/>
        </w:rPr>
        <w:t>SAIaFD</w:t>
      </w:r>
      <w:proofErr w:type="spellEnd"/>
      <w:r>
        <w:rPr>
          <w:lang w:val="en-US"/>
        </w:rPr>
        <w:t xml:space="preserve"> surpass the 75</w:t>
      </w:r>
      <w:r w:rsidRPr="00FB266F">
        <w:rPr>
          <w:vertAlign w:val="superscript"/>
          <w:lang w:val="en-US"/>
        </w:rPr>
        <w:t>th</w:t>
      </w:r>
      <w:r>
        <w:rPr>
          <w:lang w:val="en-US"/>
        </w:rPr>
        <w:t xml:space="preserve"> percentile in the national diagnostic reference level.</w:t>
      </w:r>
    </w:p>
    <w:tbl>
      <w:tblPr>
        <w:tblStyle w:val="EinfacheTabelle3"/>
        <w:tblpPr w:leftFromText="180" w:rightFromText="180" w:vertAnchor="text" w:horzAnchor="margin" w:tblpY="-231"/>
        <w:tblW w:w="0" w:type="auto"/>
        <w:tblLook w:val="04A0" w:firstRow="1" w:lastRow="0" w:firstColumn="1" w:lastColumn="0" w:noHBand="0" w:noVBand="1"/>
      </w:tblPr>
      <w:tblGrid>
        <w:gridCol w:w="1196"/>
        <w:gridCol w:w="1923"/>
        <w:gridCol w:w="1984"/>
        <w:gridCol w:w="1843"/>
        <w:gridCol w:w="2126"/>
      </w:tblGrid>
      <w:tr w:rsidR="00BD74F5" w:rsidRPr="0084270F" w14:paraId="00A82390" w14:textId="77777777" w:rsidTr="00FC4243">
        <w:trPr>
          <w:cnfStyle w:val="100000000000" w:firstRow="1" w:lastRow="0" w:firstColumn="0" w:lastColumn="0" w:oddVBand="0" w:evenVBand="0" w:oddHBand="0" w:evenHBand="0" w:firstRowFirstColumn="0" w:firstRowLastColumn="0" w:lastRowFirstColumn="0" w:lastRowLastColumn="0"/>
          <w:trHeight w:val="1174"/>
        </w:trPr>
        <w:tc>
          <w:tcPr>
            <w:cnfStyle w:val="001000000100" w:firstRow="0" w:lastRow="0" w:firstColumn="1" w:lastColumn="0" w:oddVBand="0" w:evenVBand="0" w:oddHBand="0" w:evenHBand="0" w:firstRowFirstColumn="1" w:firstRowLastColumn="0" w:lastRowFirstColumn="0" w:lastRowLastColumn="0"/>
            <w:tcW w:w="1196" w:type="dxa"/>
            <w:vAlign w:val="center"/>
          </w:tcPr>
          <w:p w14:paraId="47357994" w14:textId="77777777" w:rsidR="00BD74F5" w:rsidRPr="00E17B4A" w:rsidRDefault="00BD74F5" w:rsidP="00FC4243">
            <w:pPr>
              <w:jc w:val="center"/>
              <w:rPr>
                <w:rFonts w:cstheme="minorHAnsi"/>
                <w:sz w:val="20"/>
                <w:szCs w:val="20"/>
                <w:lang w:val="en-US"/>
              </w:rPr>
            </w:pPr>
            <w:r w:rsidRPr="00E17B4A">
              <w:rPr>
                <w:rFonts w:cstheme="minorHAnsi"/>
                <w:sz w:val="20"/>
                <w:szCs w:val="20"/>
                <w:lang w:val="en-US"/>
              </w:rPr>
              <w:t>Technique</w:t>
            </w:r>
          </w:p>
        </w:tc>
        <w:tc>
          <w:tcPr>
            <w:tcW w:w="1923" w:type="dxa"/>
            <w:vAlign w:val="center"/>
          </w:tcPr>
          <w:p w14:paraId="69860392"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E17B4A">
              <w:rPr>
                <w:rFonts w:cstheme="minorHAnsi"/>
                <w:sz w:val="20"/>
                <w:szCs w:val="20"/>
                <w:lang w:val="en-US"/>
              </w:rPr>
              <w:t>Relative Dose-Area Product Compared to Coils</w:t>
            </w:r>
          </w:p>
        </w:tc>
        <w:tc>
          <w:tcPr>
            <w:tcW w:w="1984" w:type="dxa"/>
            <w:vAlign w:val="center"/>
          </w:tcPr>
          <w:p w14:paraId="5543EBF4"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E17B4A">
              <w:rPr>
                <w:rFonts w:cstheme="minorHAnsi"/>
                <w:sz w:val="20"/>
                <w:szCs w:val="20"/>
                <w:lang w:val="en-US"/>
              </w:rPr>
              <w:t>Relative Exposure Time Compared to Coils</w:t>
            </w:r>
          </w:p>
        </w:tc>
        <w:tc>
          <w:tcPr>
            <w:tcW w:w="1843" w:type="dxa"/>
            <w:vAlign w:val="center"/>
          </w:tcPr>
          <w:p w14:paraId="29BFC968"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FE2C72">
              <w:rPr>
                <w:rFonts w:cstheme="minorHAnsi"/>
                <w:sz w:val="20"/>
                <w:szCs w:val="20"/>
                <w:lang w:val="en-US"/>
              </w:rPr>
              <w:t>Dunn test: DAP significance of each technique compared to Coils</w:t>
            </w:r>
          </w:p>
        </w:tc>
        <w:tc>
          <w:tcPr>
            <w:tcW w:w="2126" w:type="dxa"/>
            <w:vAlign w:val="center"/>
          </w:tcPr>
          <w:p w14:paraId="3D9E657C"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FE2C72">
              <w:rPr>
                <w:rFonts w:cstheme="minorHAnsi"/>
                <w:sz w:val="20"/>
                <w:szCs w:val="20"/>
                <w:lang w:val="en-US"/>
              </w:rPr>
              <w:t xml:space="preserve">Dunn test: </w:t>
            </w:r>
            <w:r>
              <w:rPr>
                <w:rFonts w:cstheme="minorHAnsi"/>
                <w:sz w:val="20"/>
                <w:szCs w:val="20"/>
                <w:lang w:val="en-US"/>
              </w:rPr>
              <w:t xml:space="preserve">ET </w:t>
            </w:r>
            <w:r w:rsidRPr="00FE2C72">
              <w:rPr>
                <w:rFonts w:cstheme="minorHAnsi"/>
                <w:sz w:val="20"/>
                <w:szCs w:val="20"/>
                <w:lang w:val="en-US"/>
              </w:rPr>
              <w:t>significance of each technique compared to Coils</w:t>
            </w:r>
          </w:p>
        </w:tc>
      </w:tr>
      <w:tr w:rsidR="00BD74F5" w:rsidRPr="0084270F" w14:paraId="4ACBB151" w14:textId="77777777" w:rsidTr="00FC4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6" w:type="dxa"/>
            <w:vAlign w:val="center"/>
          </w:tcPr>
          <w:p w14:paraId="4D68F2CD" w14:textId="77777777" w:rsidR="00BD74F5" w:rsidRPr="00101A70" w:rsidRDefault="00BD74F5" w:rsidP="00FC4243">
            <w:pPr>
              <w:jc w:val="center"/>
              <w:rPr>
                <w:rFonts w:cstheme="minorHAnsi"/>
                <w:sz w:val="20"/>
                <w:szCs w:val="20"/>
                <w:lang w:val="en-US"/>
              </w:rPr>
            </w:pPr>
          </w:p>
        </w:tc>
        <w:tc>
          <w:tcPr>
            <w:tcW w:w="7876" w:type="dxa"/>
            <w:gridSpan w:val="4"/>
            <w:vAlign w:val="center"/>
          </w:tcPr>
          <w:p w14:paraId="4E3771BF" w14:textId="77777777" w:rsidR="00BD74F5"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Pr>
                <w:rFonts w:cstheme="minorHAnsi"/>
                <w:sz w:val="20"/>
                <w:szCs w:val="20"/>
                <w:lang w:val="en-US"/>
              </w:rPr>
              <w:t xml:space="preserve">MCA </w:t>
            </w:r>
            <w:r w:rsidRPr="00101A70">
              <w:rPr>
                <w:rFonts w:cstheme="minorHAnsi"/>
                <w:sz w:val="20"/>
                <w:szCs w:val="20"/>
                <w:lang w:val="en-US"/>
              </w:rPr>
              <w:t>with saccular aneurysm</w:t>
            </w:r>
          </w:p>
          <w:p w14:paraId="4013986F" w14:textId="77777777" w:rsidR="00BD74F5"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101A70">
              <w:rPr>
                <w:rFonts w:cstheme="minorHAnsi"/>
                <w:sz w:val="20"/>
                <w:szCs w:val="20"/>
                <w:lang w:val="en-US"/>
              </w:rPr>
              <w:t xml:space="preserve">n = </w:t>
            </w:r>
            <w:r>
              <w:rPr>
                <w:rFonts w:cstheme="minorHAnsi"/>
                <w:sz w:val="20"/>
                <w:szCs w:val="20"/>
                <w:lang w:val="en-US"/>
              </w:rPr>
              <w:t>2273</w:t>
            </w:r>
          </w:p>
        </w:tc>
      </w:tr>
      <w:tr w:rsidR="00BD74F5" w:rsidRPr="00F2169F" w14:paraId="48D73A7A" w14:textId="77777777" w:rsidTr="00FC4243">
        <w:tc>
          <w:tcPr>
            <w:cnfStyle w:val="001000000000" w:firstRow="0" w:lastRow="0" w:firstColumn="1" w:lastColumn="0" w:oddVBand="0" w:evenVBand="0" w:oddHBand="0" w:evenHBand="0" w:firstRowFirstColumn="0" w:firstRowLastColumn="0" w:lastRowFirstColumn="0" w:lastRowLastColumn="0"/>
            <w:tcW w:w="1196" w:type="dxa"/>
            <w:vAlign w:val="bottom"/>
          </w:tcPr>
          <w:p w14:paraId="035E45D9" w14:textId="77777777" w:rsidR="00BD74F5" w:rsidRPr="003059D3" w:rsidRDefault="00BD74F5" w:rsidP="00FC4243">
            <w:pPr>
              <w:jc w:val="center"/>
              <w:rPr>
                <w:rFonts w:cstheme="minorHAnsi"/>
                <w:sz w:val="20"/>
                <w:szCs w:val="20"/>
                <w:lang w:val="en-US"/>
              </w:rPr>
            </w:pPr>
            <w:r>
              <w:rPr>
                <w:rFonts w:ascii="Calibri" w:hAnsi="Calibri" w:cs="Calibri"/>
                <w:color w:val="000000"/>
                <w:sz w:val="20"/>
                <w:szCs w:val="20"/>
              </w:rPr>
              <w:t>CE</w:t>
            </w:r>
          </w:p>
        </w:tc>
        <w:tc>
          <w:tcPr>
            <w:tcW w:w="1923" w:type="dxa"/>
            <w:vAlign w:val="bottom"/>
          </w:tcPr>
          <w:p w14:paraId="52AA4C01" w14:textId="6B8F193A" w:rsidR="00BD74F5" w:rsidRPr="0076379F"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76379F">
              <w:rPr>
                <w:rFonts w:ascii="Calibri" w:hAnsi="Calibri" w:cs="Calibri"/>
                <w:color w:val="000000"/>
                <w:sz w:val="20"/>
              </w:rPr>
              <w:t>100</w:t>
            </w:r>
            <w:r w:rsidR="005E1A1C">
              <w:rPr>
                <w:rFonts w:ascii="Calibri" w:hAnsi="Calibri" w:cs="Calibri"/>
                <w:color w:val="000000"/>
                <w:sz w:val="20"/>
              </w:rPr>
              <w:t>.</w:t>
            </w:r>
            <w:r w:rsidRPr="0076379F">
              <w:rPr>
                <w:rFonts w:ascii="Calibri" w:hAnsi="Calibri" w:cs="Calibri"/>
                <w:color w:val="000000"/>
                <w:sz w:val="20"/>
              </w:rPr>
              <w:t>00%</w:t>
            </w:r>
          </w:p>
        </w:tc>
        <w:tc>
          <w:tcPr>
            <w:tcW w:w="1984" w:type="dxa"/>
            <w:vAlign w:val="bottom"/>
          </w:tcPr>
          <w:p w14:paraId="6A32A8B7" w14:textId="665F6798" w:rsidR="00BD74F5" w:rsidRPr="0076379F"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76379F">
              <w:rPr>
                <w:rFonts w:ascii="Calibri" w:hAnsi="Calibri" w:cs="Calibri"/>
                <w:color w:val="000000"/>
                <w:sz w:val="20"/>
              </w:rPr>
              <w:t>100</w:t>
            </w:r>
            <w:r w:rsidR="005E1A1C">
              <w:rPr>
                <w:rFonts w:ascii="Calibri" w:hAnsi="Calibri" w:cs="Calibri"/>
                <w:color w:val="000000"/>
                <w:sz w:val="20"/>
              </w:rPr>
              <w:t>.</w:t>
            </w:r>
            <w:r w:rsidRPr="0076379F">
              <w:rPr>
                <w:rFonts w:ascii="Calibri" w:hAnsi="Calibri" w:cs="Calibri"/>
                <w:color w:val="000000"/>
                <w:sz w:val="20"/>
              </w:rPr>
              <w:t>00%</w:t>
            </w:r>
          </w:p>
        </w:tc>
        <w:tc>
          <w:tcPr>
            <w:tcW w:w="1843" w:type="dxa"/>
          </w:tcPr>
          <w:p w14:paraId="347F52F7" w14:textId="77777777" w:rsidR="00BD74F5" w:rsidRPr="0076379F"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rPr>
            </w:pPr>
            <w:r>
              <w:rPr>
                <w:rFonts w:ascii="Calibri" w:hAnsi="Calibri" w:cs="Calibri"/>
                <w:color w:val="000000"/>
                <w:sz w:val="20"/>
              </w:rPr>
              <w:t>N/A</w:t>
            </w:r>
          </w:p>
        </w:tc>
        <w:tc>
          <w:tcPr>
            <w:tcW w:w="2126" w:type="dxa"/>
          </w:tcPr>
          <w:p w14:paraId="139EA972" w14:textId="77777777" w:rsidR="00BD74F5" w:rsidRPr="0076379F"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rPr>
            </w:pPr>
            <w:r>
              <w:rPr>
                <w:rFonts w:ascii="Calibri" w:hAnsi="Calibri" w:cs="Calibri"/>
                <w:color w:val="000000"/>
                <w:sz w:val="20"/>
              </w:rPr>
              <w:t>N/A</w:t>
            </w:r>
          </w:p>
        </w:tc>
      </w:tr>
      <w:tr w:rsidR="00BD74F5" w:rsidRPr="00F2169F" w14:paraId="6B31DD75" w14:textId="77777777" w:rsidTr="00FC4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6" w:type="dxa"/>
            <w:vAlign w:val="bottom"/>
          </w:tcPr>
          <w:p w14:paraId="03EB3FC7" w14:textId="77777777" w:rsidR="00BD74F5" w:rsidRPr="003059D3" w:rsidRDefault="00BD74F5" w:rsidP="00FC4243">
            <w:pPr>
              <w:jc w:val="center"/>
              <w:rPr>
                <w:rFonts w:cstheme="minorHAnsi"/>
                <w:sz w:val="20"/>
                <w:szCs w:val="20"/>
                <w:lang w:val="en-US"/>
              </w:rPr>
            </w:pPr>
            <w:r w:rsidRPr="003059D3">
              <w:rPr>
                <w:rFonts w:ascii="Calibri" w:hAnsi="Calibri" w:cs="Calibri"/>
                <w:color w:val="000000"/>
                <w:sz w:val="20"/>
                <w:szCs w:val="20"/>
              </w:rPr>
              <w:t>FD</w:t>
            </w:r>
          </w:p>
        </w:tc>
        <w:tc>
          <w:tcPr>
            <w:tcW w:w="1923" w:type="dxa"/>
            <w:vAlign w:val="bottom"/>
          </w:tcPr>
          <w:p w14:paraId="72FA6685" w14:textId="6C2F5238" w:rsidR="00BD74F5" w:rsidRPr="0076379F"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sidRPr="0076379F">
              <w:rPr>
                <w:rFonts w:ascii="Calibri" w:hAnsi="Calibri" w:cs="Calibri"/>
                <w:color w:val="000000"/>
                <w:sz w:val="20"/>
              </w:rPr>
              <w:t>91</w:t>
            </w:r>
            <w:r w:rsidR="005E1A1C">
              <w:rPr>
                <w:rFonts w:ascii="Calibri" w:hAnsi="Calibri" w:cs="Calibri"/>
                <w:color w:val="000000"/>
                <w:sz w:val="20"/>
              </w:rPr>
              <w:t>.</w:t>
            </w:r>
            <w:r w:rsidRPr="0076379F">
              <w:rPr>
                <w:rFonts w:ascii="Calibri" w:hAnsi="Calibri" w:cs="Calibri"/>
                <w:color w:val="000000"/>
                <w:sz w:val="20"/>
              </w:rPr>
              <w:t>62%</w:t>
            </w:r>
          </w:p>
        </w:tc>
        <w:tc>
          <w:tcPr>
            <w:tcW w:w="1984" w:type="dxa"/>
            <w:vAlign w:val="bottom"/>
          </w:tcPr>
          <w:p w14:paraId="0B3BE31F" w14:textId="2B6B19E3" w:rsidR="00BD74F5" w:rsidRPr="0076379F"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sidRPr="00914A19">
              <w:rPr>
                <w:rFonts w:ascii="Calibri" w:hAnsi="Calibri" w:cs="Calibri"/>
                <w:color w:val="00B050"/>
                <w:sz w:val="20"/>
              </w:rPr>
              <w:t>86</w:t>
            </w:r>
            <w:r w:rsidR="005E1A1C">
              <w:rPr>
                <w:rFonts w:ascii="Calibri" w:hAnsi="Calibri" w:cs="Calibri"/>
                <w:color w:val="00B050"/>
                <w:sz w:val="20"/>
              </w:rPr>
              <w:t>.</w:t>
            </w:r>
            <w:r w:rsidRPr="00914A19">
              <w:rPr>
                <w:rFonts w:ascii="Calibri" w:hAnsi="Calibri" w:cs="Calibri"/>
                <w:color w:val="00B050"/>
                <w:sz w:val="20"/>
              </w:rPr>
              <w:t>21%</w:t>
            </w:r>
          </w:p>
        </w:tc>
        <w:tc>
          <w:tcPr>
            <w:tcW w:w="1843" w:type="dxa"/>
          </w:tcPr>
          <w:p w14:paraId="1384D7D5" w14:textId="77777777" w:rsidR="00BD74F5" w:rsidRPr="00B96289" w:rsidRDefault="00BD74F5" w:rsidP="00FC424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sz w:val="20"/>
              </w:rPr>
            </w:pPr>
            <w:proofErr w:type="spellStart"/>
            <w:r w:rsidRPr="00B96289">
              <w:rPr>
                <w:rFonts w:ascii="Calibri" w:hAnsi="Calibri" w:cs="Calibri"/>
                <w:color w:val="FF0000"/>
                <w:sz w:val="20"/>
              </w:rPr>
              <w:t>No</w:t>
            </w:r>
            <w:proofErr w:type="spellEnd"/>
          </w:p>
        </w:tc>
        <w:tc>
          <w:tcPr>
            <w:tcW w:w="2126" w:type="dxa"/>
          </w:tcPr>
          <w:p w14:paraId="6A58C95D" w14:textId="77777777" w:rsidR="00BD74F5" w:rsidRPr="00914A19" w:rsidRDefault="00BD74F5" w:rsidP="00FC424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B050"/>
                <w:sz w:val="20"/>
              </w:rPr>
            </w:pPr>
            <w:proofErr w:type="spellStart"/>
            <w:r w:rsidRPr="006E5028">
              <w:rPr>
                <w:rFonts w:ascii="Calibri" w:hAnsi="Calibri" w:cs="Calibri"/>
                <w:color w:val="FF0000"/>
                <w:sz w:val="20"/>
              </w:rPr>
              <w:t>No</w:t>
            </w:r>
            <w:proofErr w:type="spellEnd"/>
          </w:p>
        </w:tc>
      </w:tr>
      <w:tr w:rsidR="00BD74F5" w:rsidRPr="00F2169F" w14:paraId="2A0B24BC" w14:textId="77777777" w:rsidTr="00FC4243">
        <w:tc>
          <w:tcPr>
            <w:cnfStyle w:val="001000000000" w:firstRow="0" w:lastRow="0" w:firstColumn="1" w:lastColumn="0" w:oddVBand="0" w:evenVBand="0" w:oddHBand="0" w:evenHBand="0" w:firstRowFirstColumn="0" w:firstRowLastColumn="0" w:lastRowFirstColumn="0" w:lastRowLastColumn="0"/>
            <w:tcW w:w="1196" w:type="dxa"/>
            <w:vAlign w:val="bottom"/>
          </w:tcPr>
          <w:p w14:paraId="7309C830" w14:textId="77777777" w:rsidR="00BD74F5" w:rsidRPr="003059D3" w:rsidRDefault="00BD74F5" w:rsidP="00FC4243">
            <w:pPr>
              <w:jc w:val="center"/>
              <w:rPr>
                <w:rFonts w:cstheme="minorHAnsi"/>
                <w:sz w:val="20"/>
                <w:szCs w:val="20"/>
                <w:lang w:val="en-US"/>
              </w:rPr>
            </w:pPr>
            <w:r>
              <w:rPr>
                <w:sz w:val="20"/>
                <w:szCs w:val="20"/>
                <w:lang w:val="en-US"/>
              </w:rPr>
              <w:t>SAC</w:t>
            </w:r>
          </w:p>
        </w:tc>
        <w:tc>
          <w:tcPr>
            <w:tcW w:w="1923" w:type="dxa"/>
            <w:vAlign w:val="bottom"/>
          </w:tcPr>
          <w:p w14:paraId="5951CED9" w14:textId="3CCA6999" w:rsidR="00BD74F5" w:rsidRPr="0076379F"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sidRPr="0076379F">
              <w:rPr>
                <w:rFonts w:ascii="Calibri" w:hAnsi="Calibri" w:cs="Calibri"/>
                <w:color w:val="000000"/>
                <w:sz w:val="20"/>
              </w:rPr>
              <w:t>107</w:t>
            </w:r>
            <w:r w:rsidR="005E1A1C">
              <w:rPr>
                <w:rFonts w:ascii="Calibri" w:hAnsi="Calibri" w:cs="Calibri"/>
                <w:color w:val="000000"/>
                <w:sz w:val="20"/>
              </w:rPr>
              <w:t>.</w:t>
            </w:r>
            <w:r w:rsidRPr="0076379F">
              <w:rPr>
                <w:rFonts w:ascii="Calibri" w:hAnsi="Calibri" w:cs="Calibri"/>
                <w:color w:val="000000"/>
                <w:sz w:val="20"/>
              </w:rPr>
              <w:t>15%</w:t>
            </w:r>
          </w:p>
        </w:tc>
        <w:tc>
          <w:tcPr>
            <w:tcW w:w="1984" w:type="dxa"/>
            <w:vAlign w:val="bottom"/>
          </w:tcPr>
          <w:p w14:paraId="32794CF3" w14:textId="486DF907" w:rsidR="00BD74F5" w:rsidRPr="0076379F"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lang w:val="en-US"/>
              </w:rPr>
            </w:pPr>
            <w:r w:rsidRPr="00914A19">
              <w:rPr>
                <w:rFonts w:ascii="Calibri" w:hAnsi="Calibri" w:cs="Calibri"/>
                <w:color w:val="FF0000"/>
                <w:sz w:val="20"/>
              </w:rPr>
              <w:t>141</w:t>
            </w:r>
            <w:r w:rsidR="005E1A1C">
              <w:rPr>
                <w:rFonts w:ascii="Calibri" w:hAnsi="Calibri" w:cs="Calibri"/>
                <w:color w:val="FF0000"/>
                <w:sz w:val="20"/>
              </w:rPr>
              <w:t>.</w:t>
            </w:r>
            <w:r w:rsidRPr="00914A19">
              <w:rPr>
                <w:rFonts w:ascii="Calibri" w:hAnsi="Calibri" w:cs="Calibri"/>
                <w:color w:val="FF0000"/>
                <w:sz w:val="20"/>
              </w:rPr>
              <w:t>38%</w:t>
            </w:r>
          </w:p>
        </w:tc>
        <w:tc>
          <w:tcPr>
            <w:tcW w:w="1843" w:type="dxa"/>
          </w:tcPr>
          <w:p w14:paraId="7289D240" w14:textId="77777777" w:rsidR="00BD74F5" w:rsidRPr="00914A19"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rPr>
            </w:pPr>
            <w:proofErr w:type="spellStart"/>
            <w:r>
              <w:rPr>
                <w:rFonts w:ascii="Calibri" w:hAnsi="Calibri" w:cs="Calibri"/>
                <w:color w:val="FF0000"/>
                <w:sz w:val="20"/>
              </w:rPr>
              <w:t>No</w:t>
            </w:r>
            <w:proofErr w:type="spellEnd"/>
          </w:p>
        </w:tc>
        <w:tc>
          <w:tcPr>
            <w:tcW w:w="2126" w:type="dxa"/>
          </w:tcPr>
          <w:p w14:paraId="2C53E87F" w14:textId="77777777" w:rsidR="00BD74F5" w:rsidRPr="00B96289"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B050"/>
                <w:sz w:val="20"/>
              </w:rPr>
            </w:pPr>
            <w:r w:rsidRPr="00B96289">
              <w:rPr>
                <w:rFonts w:ascii="Calibri" w:hAnsi="Calibri" w:cs="Calibri"/>
                <w:color w:val="00B050"/>
                <w:sz w:val="20"/>
              </w:rPr>
              <w:t>Yes</w:t>
            </w:r>
          </w:p>
        </w:tc>
      </w:tr>
      <w:tr w:rsidR="00BD74F5" w:rsidRPr="00F2169F" w14:paraId="383AB6D9" w14:textId="77777777" w:rsidTr="00FC4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6" w:type="dxa"/>
            <w:vAlign w:val="bottom"/>
          </w:tcPr>
          <w:p w14:paraId="088CF68C" w14:textId="77777777" w:rsidR="00BD74F5" w:rsidRPr="003059D3" w:rsidRDefault="00BD74F5" w:rsidP="00FC4243">
            <w:pPr>
              <w:jc w:val="center"/>
              <w:rPr>
                <w:rFonts w:cstheme="minorHAnsi"/>
                <w:sz w:val="20"/>
                <w:szCs w:val="20"/>
                <w:lang w:val="en-US"/>
              </w:rPr>
            </w:pPr>
            <w:r w:rsidRPr="003059D3">
              <w:rPr>
                <w:rFonts w:ascii="Calibri" w:hAnsi="Calibri" w:cs="Calibri"/>
                <w:color w:val="000000"/>
                <w:sz w:val="20"/>
                <w:szCs w:val="20"/>
              </w:rPr>
              <w:t>IaFD</w:t>
            </w:r>
          </w:p>
        </w:tc>
        <w:tc>
          <w:tcPr>
            <w:tcW w:w="1923" w:type="dxa"/>
            <w:vAlign w:val="bottom"/>
          </w:tcPr>
          <w:p w14:paraId="22DB1FD2" w14:textId="54209FCB" w:rsidR="00BD74F5" w:rsidRPr="0076379F"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sidRPr="0076379F">
              <w:rPr>
                <w:rFonts w:ascii="Calibri" w:hAnsi="Calibri" w:cs="Calibri"/>
                <w:color w:val="000000"/>
                <w:sz w:val="20"/>
              </w:rPr>
              <w:t>101</w:t>
            </w:r>
            <w:r w:rsidR="005E1A1C">
              <w:rPr>
                <w:rFonts w:ascii="Calibri" w:hAnsi="Calibri" w:cs="Calibri"/>
                <w:color w:val="000000"/>
                <w:sz w:val="20"/>
              </w:rPr>
              <w:t>.</w:t>
            </w:r>
            <w:r w:rsidRPr="0076379F">
              <w:rPr>
                <w:rFonts w:ascii="Calibri" w:hAnsi="Calibri" w:cs="Calibri"/>
                <w:color w:val="000000"/>
                <w:sz w:val="20"/>
              </w:rPr>
              <w:t>53%</w:t>
            </w:r>
          </w:p>
        </w:tc>
        <w:tc>
          <w:tcPr>
            <w:tcW w:w="1984" w:type="dxa"/>
            <w:vAlign w:val="bottom"/>
          </w:tcPr>
          <w:p w14:paraId="4B606F4A" w14:textId="2966FC2F" w:rsidR="00BD74F5" w:rsidRPr="0076379F"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sidRPr="00914A19">
              <w:rPr>
                <w:rFonts w:ascii="Calibri" w:hAnsi="Calibri" w:cs="Calibri"/>
                <w:color w:val="00B050"/>
                <w:sz w:val="20"/>
              </w:rPr>
              <w:t>75</w:t>
            </w:r>
            <w:r w:rsidR="005E1A1C">
              <w:rPr>
                <w:rFonts w:ascii="Calibri" w:hAnsi="Calibri" w:cs="Calibri"/>
                <w:color w:val="00B050"/>
                <w:sz w:val="20"/>
              </w:rPr>
              <w:t>.</w:t>
            </w:r>
            <w:r w:rsidRPr="00914A19">
              <w:rPr>
                <w:rFonts w:ascii="Calibri" w:hAnsi="Calibri" w:cs="Calibri"/>
                <w:color w:val="00B050"/>
                <w:sz w:val="20"/>
              </w:rPr>
              <w:t>86%</w:t>
            </w:r>
          </w:p>
        </w:tc>
        <w:tc>
          <w:tcPr>
            <w:tcW w:w="1843" w:type="dxa"/>
          </w:tcPr>
          <w:p w14:paraId="4D9A45F8" w14:textId="77777777" w:rsidR="00BD74F5" w:rsidRPr="00B96289" w:rsidRDefault="00BD74F5" w:rsidP="00FC424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sz w:val="20"/>
              </w:rPr>
            </w:pPr>
            <w:proofErr w:type="spellStart"/>
            <w:r w:rsidRPr="00B96289">
              <w:rPr>
                <w:rFonts w:ascii="Calibri" w:hAnsi="Calibri" w:cs="Calibri"/>
                <w:color w:val="FF0000"/>
                <w:sz w:val="20"/>
              </w:rPr>
              <w:t>No</w:t>
            </w:r>
            <w:proofErr w:type="spellEnd"/>
          </w:p>
        </w:tc>
        <w:tc>
          <w:tcPr>
            <w:tcW w:w="2126" w:type="dxa"/>
          </w:tcPr>
          <w:p w14:paraId="327B1E00" w14:textId="77777777" w:rsidR="00BD74F5" w:rsidRPr="00B96289" w:rsidRDefault="00BD74F5" w:rsidP="00FC424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B050"/>
                <w:sz w:val="20"/>
              </w:rPr>
            </w:pPr>
            <w:r w:rsidRPr="00B96289">
              <w:rPr>
                <w:rFonts w:ascii="Calibri" w:hAnsi="Calibri" w:cs="Calibri"/>
                <w:color w:val="00B050"/>
                <w:sz w:val="20"/>
              </w:rPr>
              <w:t>Yes</w:t>
            </w:r>
          </w:p>
        </w:tc>
      </w:tr>
      <w:tr w:rsidR="00BD74F5" w:rsidRPr="00F2169F" w14:paraId="326A4194" w14:textId="77777777" w:rsidTr="00FC4243">
        <w:tc>
          <w:tcPr>
            <w:cnfStyle w:val="001000000000" w:firstRow="0" w:lastRow="0" w:firstColumn="1" w:lastColumn="0" w:oddVBand="0" w:evenVBand="0" w:oddHBand="0" w:evenHBand="0" w:firstRowFirstColumn="0" w:firstRowLastColumn="0" w:lastRowFirstColumn="0" w:lastRowLastColumn="0"/>
            <w:tcW w:w="1196" w:type="dxa"/>
            <w:vAlign w:val="bottom"/>
          </w:tcPr>
          <w:p w14:paraId="3F857C4C" w14:textId="77777777" w:rsidR="00BD74F5" w:rsidRPr="003059D3" w:rsidRDefault="00BD74F5" w:rsidP="00FC4243">
            <w:pPr>
              <w:jc w:val="center"/>
              <w:rPr>
                <w:rFonts w:cstheme="minorHAnsi"/>
                <w:sz w:val="20"/>
                <w:szCs w:val="20"/>
                <w:lang w:val="en-US"/>
              </w:rPr>
            </w:pPr>
            <w:r>
              <w:rPr>
                <w:sz w:val="20"/>
                <w:szCs w:val="20"/>
                <w:lang w:val="en-US"/>
              </w:rPr>
              <w:t>BAC</w:t>
            </w:r>
          </w:p>
        </w:tc>
        <w:tc>
          <w:tcPr>
            <w:tcW w:w="1923" w:type="dxa"/>
            <w:vAlign w:val="bottom"/>
          </w:tcPr>
          <w:p w14:paraId="7EFE44CD" w14:textId="712440F5" w:rsidR="00BD74F5" w:rsidRPr="0076379F"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76379F">
              <w:rPr>
                <w:rFonts w:ascii="Calibri" w:hAnsi="Calibri" w:cs="Calibri"/>
                <w:color w:val="000000"/>
                <w:sz w:val="20"/>
              </w:rPr>
              <w:t>105</w:t>
            </w:r>
            <w:r w:rsidR="005E1A1C">
              <w:rPr>
                <w:rFonts w:ascii="Calibri" w:hAnsi="Calibri" w:cs="Calibri"/>
                <w:color w:val="000000"/>
                <w:sz w:val="20"/>
              </w:rPr>
              <w:t>.</w:t>
            </w:r>
            <w:r w:rsidRPr="0076379F">
              <w:rPr>
                <w:rFonts w:ascii="Calibri" w:hAnsi="Calibri" w:cs="Calibri"/>
                <w:color w:val="000000"/>
                <w:sz w:val="20"/>
              </w:rPr>
              <w:t>76%</w:t>
            </w:r>
          </w:p>
        </w:tc>
        <w:tc>
          <w:tcPr>
            <w:tcW w:w="1984" w:type="dxa"/>
            <w:vAlign w:val="bottom"/>
          </w:tcPr>
          <w:p w14:paraId="7BA25A77" w14:textId="3688B80D" w:rsidR="00BD74F5" w:rsidRPr="0076379F"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914A19">
              <w:rPr>
                <w:rFonts w:ascii="Calibri" w:hAnsi="Calibri" w:cs="Calibri"/>
                <w:color w:val="FF0000"/>
                <w:sz w:val="20"/>
              </w:rPr>
              <w:t>124</w:t>
            </w:r>
            <w:r w:rsidR="005E1A1C">
              <w:rPr>
                <w:rFonts w:ascii="Calibri" w:hAnsi="Calibri" w:cs="Calibri"/>
                <w:color w:val="FF0000"/>
                <w:sz w:val="20"/>
              </w:rPr>
              <w:t>.</w:t>
            </w:r>
            <w:r w:rsidRPr="00914A19">
              <w:rPr>
                <w:rFonts w:ascii="Calibri" w:hAnsi="Calibri" w:cs="Calibri"/>
                <w:color w:val="FF0000"/>
                <w:sz w:val="20"/>
              </w:rPr>
              <w:t>14%</w:t>
            </w:r>
          </w:p>
        </w:tc>
        <w:tc>
          <w:tcPr>
            <w:tcW w:w="1843" w:type="dxa"/>
          </w:tcPr>
          <w:p w14:paraId="1E7579F3" w14:textId="77777777" w:rsidR="00BD74F5" w:rsidRPr="00B96289"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rPr>
            </w:pPr>
            <w:proofErr w:type="spellStart"/>
            <w:r w:rsidRPr="00B96289">
              <w:rPr>
                <w:rFonts w:ascii="Calibri" w:hAnsi="Calibri" w:cs="Calibri"/>
                <w:color w:val="FF0000"/>
                <w:sz w:val="20"/>
              </w:rPr>
              <w:t>No</w:t>
            </w:r>
            <w:proofErr w:type="spellEnd"/>
          </w:p>
        </w:tc>
        <w:tc>
          <w:tcPr>
            <w:tcW w:w="2126" w:type="dxa"/>
          </w:tcPr>
          <w:p w14:paraId="1BD4165A" w14:textId="77777777" w:rsidR="00BD74F5" w:rsidRPr="00B96289"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B050"/>
                <w:sz w:val="20"/>
              </w:rPr>
            </w:pPr>
            <w:r w:rsidRPr="00B96289">
              <w:rPr>
                <w:rFonts w:ascii="Calibri" w:hAnsi="Calibri" w:cs="Calibri"/>
                <w:color w:val="00B050"/>
                <w:sz w:val="20"/>
              </w:rPr>
              <w:t>Yes</w:t>
            </w:r>
          </w:p>
        </w:tc>
      </w:tr>
      <w:tr w:rsidR="00BD74F5" w:rsidRPr="00F2169F" w14:paraId="708FB28B" w14:textId="77777777" w:rsidTr="00FC4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6" w:type="dxa"/>
            <w:vAlign w:val="bottom"/>
          </w:tcPr>
          <w:p w14:paraId="31629E29" w14:textId="77777777" w:rsidR="00BD74F5" w:rsidRPr="003059D3" w:rsidRDefault="00BD74F5" w:rsidP="00FC4243">
            <w:pPr>
              <w:jc w:val="center"/>
              <w:rPr>
                <w:rFonts w:cstheme="minorHAnsi"/>
                <w:sz w:val="20"/>
                <w:szCs w:val="20"/>
                <w:lang w:val="en-US"/>
              </w:rPr>
            </w:pPr>
            <w:r>
              <w:rPr>
                <w:rFonts w:ascii="Calibri" w:hAnsi="Calibri" w:cs="Calibri"/>
                <w:color w:val="000000"/>
                <w:sz w:val="20"/>
                <w:szCs w:val="20"/>
              </w:rPr>
              <w:t>FDAC</w:t>
            </w:r>
          </w:p>
        </w:tc>
        <w:tc>
          <w:tcPr>
            <w:tcW w:w="1923" w:type="dxa"/>
            <w:vAlign w:val="bottom"/>
          </w:tcPr>
          <w:p w14:paraId="2F5A6B1B" w14:textId="2C4B4ADB" w:rsidR="00BD74F5" w:rsidRPr="0076379F"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sidRPr="0076379F">
              <w:rPr>
                <w:rFonts w:ascii="Calibri" w:hAnsi="Calibri" w:cs="Calibri"/>
                <w:color w:val="000000"/>
                <w:sz w:val="20"/>
              </w:rPr>
              <w:t>108</w:t>
            </w:r>
            <w:r w:rsidR="005E1A1C">
              <w:rPr>
                <w:rFonts w:ascii="Calibri" w:hAnsi="Calibri" w:cs="Calibri"/>
                <w:color w:val="000000"/>
                <w:sz w:val="20"/>
              </w:rPr>
              <w:t>.</w:t>
            </w:r>
            <w:r w:rsidRPr="0076379F">
              <w:rPr>
                <w:rFonts w:ascii="Calibri" w:hAnsi="Calibri" w:cs="Calibri"/>
                <w:color w:val="000000"/>
                <w:sz w:val="20"/>
              </w:rPr>
              <w:t>57%</w:t>
            </w:r>
          </w:p>
        </w:tc>
        <w:tc>
          <w:tcPr>
            <w:tcW w:w="1984" w:type="dxa"/>
            <w:vAlign w:val="bottom"/>
          </w:tcPr>
          <w:p w14:paraId="3ACBA6FA" w14:textId="517E9A23" w:rsidR="00BD74F5" w:rsidRPr="0076379F"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0"/>
                <w:szCs w:val="20"/>
                <w:lang w:val="en-US"/>
              </w:rPr>
            </w:pPr>
            <w:r w:rsidRPr="00914A19">
              <w:rPr>
                <w:rFonts w:ascii="Calibri" w:hAnsi="Calibri" w:cs="Calibri"/>
                <w:color w:val="FF0000"/>
                <w:sz w:val="20"/>
              </w:rPr>
              <w:t>125</w:t>
            </w:r>
            <w:r w:rsidR="005E1A1C">
              <w:rPr>
                <w:rFonts w:ascii="Calibri" w:hAnsi="Calibri" w:cs="Calibri"/>
                <w:color w:val="FF0000"/>
                <w:sz w:val="20"/>
              </w:rPr>
              <w:t>.</w:t>
            </w:r>
            <w:r w:rsidRPr="00914A19">
              <w:rPr>
                <w:rFonts w:ascii="Calibri" w:hAnsi="Calibri" w:cs="Calibri"/>
                <w:color w:val="FF0000"/>
                <w:sz w:val="20"/>
              </w:rPr>
              <w:t>86%</w:t>
            </w:r>
          </w:p>
        </w:tc>
        <w:tc>
          <w:tcPr>
            <w:tcW w:w="1843" w:type="dxa"/>
          </w:tcPr>
          <w:p w14:paraId="31D19931" w14:textId="77777777" w:rsidR="00BD74F5" w:rsidRPr="00B96289"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sz w:val="20"/>
              </w:rPr>
            </w:pPr>
            <w:proofErr w:type="spellStart"/>
            <w:r w:rsidRPr="00B96289">
              <w:rPr>
                <w:rFonts w:ascii="Calibri" w:hAnsi="Calibri" w:cs="Calibri"/>
                <w:color w:val="FF0000"/>
                <w:sz w:val="20"/>
              </w:rPr>
              <w:t>No</w:t>
            </w:r>
            <w:proofErr w:type="spellEnd"/>
          </w:p>
        </w:tc>
        <w:tc>
          <w:tcPr>
            <w:tcW w:w="2126" w:type="dxa"/>
          </w:tcPr>
          <w:p w14:paraId="50EEB482" w14:textId="77777777" w:rsidR="00BD74F5" w:rsidRPr="00914A19"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sz w:val="20"/>
              </w:rPr>
            </w:pPr>
            <w:proofErr w:type="spellStart"/>
            <w:r>
              <w:rPr>
                <w:rFonts w:ascii="Calibri" w:hAnsi="Calibri" w:cs="Calibri"/>
                <w:color w:val="FF0000"/>
                <w:sz w:val="20"/>
              </w:rPr>
              <w:t>No</w:t>
            </w:r>
            <w:proofErr w:type="spellEnd"/>
          </w:p>
        </w:tc>
      </w:tr>
      <w:tr w:rsidR="00BD74F5" w:rsidRPr="00F2169F" w14:paraId="54A274D6" w14:textId="77777777" w:rsidTr="00FC4243">
        <w:tc>
          <w:tcPr>
            <w:cnfStyle w:val="001000000000" w:firstRow="0" w:lastRow="0" w:firstColumn="1" w:lastColumn="0" w:oddVBand="0" w:evenVBand="0" w:oddHBand="0" w:evenHBand="0" w:firstRowFirstColumn="0" w:firstRowLastColumn="0" w:lastRowFirstColumn="0" w:lastRowLastColumn="0"/>
            <w:tcW w:w="1196" w:type="dxa"/>
            <w:vAlign w:val="bottom"/>
          </w:tcPr>
          <w:p w14:paraId="53C17E19" w14:textId="77777777" w:rsidR="00BD74F5" w:rsidRPr="003059D3" w:rsidRDefault="00BD74F5" w:rsidP="00FC4243">
            <w:pPr>
              <w:jc w:val="center"/>
              <w:rPr>
                <w:rFonts w:cstheme="minorHAnsi"/>
                <w:sz w:val="20"/>
                <w:szCs w:val="20"/>
                <w:lang w:val="en-US"/>
              </w:rPr>
            </w:pPr>
            <w:r>
              <w:rPr>
                <w:rFonts w:ascii="Calibri" w:hAnsi="Calibri" w:cs="Calibri"/>
                <w:color w:val="000000"/>
                <w:sz w:val="20"/>
                <w:szCs w:val="20"/>
              </w:rPr>
              <w:t>IAFDAC</w:t>
            </w:r>
          </w:p>
        </w:tc>
        <w:tc>
          <w:tcPr>
            <w:tcW w:w="1923" w:type="dxa"/>
            <w:vAlign w:val="bottom"/>
          </w:tcPr>
          <w:p w14:paraId="410F6BCF" w14:textId="79BFA25E" w:rsidR="00BD74F5" w:rsidRPr="00914A19"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szCs w:val="20"/>
              </w:rPr>
            </w:pPr>
            <w:r w:rsidRPr="00914A19">
              <w:rPr>
                <w:rFonts w:ascii="Calibri" w:hAnsi="Calibri" w:cs="Calibri"/>
                <w:color w:val="FF0000"/>
                <w:sz w:val="20"/>
              </w:rPr>
              <w:t>145</w:t>
            </w:r>
            <w:r w:rsidR="005E1A1C">
              <w:rPr>
                <w:rFonts w:ascii="Calibri" w:hAnsi="Calibri" w:cs="Calibri"/>
                <w:color w:val="FF0000"/>
                <w:sz w:val="20"/>
              </w:rPr>
              <w:t>.</w:t>
            </w:r>
            <w:r w:rsidRPr="00914A19">
              <w:rPr>
                <w:rFonts w:ascii="Calibri" w:hAnsi="Calibri" w:cs="Calibri"/>
                <w:color w:val="FF0000"/>
                <w:sz w:val="20"/>
              </w:rPr>
              <w:t>03%</w:t>
            </w:r>
          </w:p>
        </w:tc>
        <w:tc>
          <w:tcPr>
            <w:tcW w:w="1984" w:type="dxa"/>
            <w:vAlign w:val="bottom"/>
          </w:tcPr>
          <w:p w14:paraId="07A7BF2A" w14:textId="68AD30C2" w:rsidR="00BD74F5" w:rsidRPr="00914A19" w:rsidRDefault="00BD74F5" w:rsidP="00FC4243">
            <w:pPr>
              <w:keepNex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szCs w:val="20"/>
              </w:rPr>
            </w:pPr>
            <w:r w:rsidRPr="00914A19">
              <w:rPr>
                <w:rFonts w:ascii="Calibri" w:hAnsi="Calibri" w:cs="Calibri"/>
                <w:color w:val="FF0000"/>
                <w:sz w:val="20"/>
              </w:rPr>
              <w:t>158</w:t>
            </w:r>
            <w:r w:rsidR="005E1A1C">
              <w:rPr>
                <w:rFonts w:ascii="Calibri" w:hAnsi="Calibri" w:cs="Calibri"/>
                <w:color w:val="FF0000"/>
                <w:sz w:val="20"/>
              </w:rPr>
              <w:t>.</w:t>
            </w:r>
            <w:r w:rsidRPr="00914A19">
              <w:rPr>
                <w:rFonts w:ascii="Calibri" w:hAnsi="Calibri" w:cs="Calibri"/>
                <w:color w:val="FF0000"/>
                <w:sz w:val="20"/>
              </w:rPr>
              <w:t>62%</w:t>
            </w:r>
          </w:p>
        </w:tc>
        <w:tc>
          <w:tcPr>
            <w:tcW w:w="1843" w:type="dxa"/>
          </w:tcPr>
          <w:p w14:paraId="495D755D" w14:textId="77777777" w:rsidR="00BD74F5" w:rsidRPr="00B96289" w:rsidRDefault="00BD74F5" w:rsidP="00FC4243">
            <w:pPr>
              <w:keepNex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B050"/>
                <w:sz w:val="20"/>
              </w:rPr>
            </w:pPr>
            <w:r w:rsidRPr="00B96289">
              <w:rPr>
                <w:rFonts w:ascii="Calibri" w:hAnsi="Calibri" w:cs="Calibri"/>
                <w:color w:val="00B050"/>
                <w:sz w:val="20"/>
              </w:rPr>
              <w:t>Yes</w:t>
            </w:r>
          </w:p>
        </w:tc>
        <w:tc>
          <w:tcPr>
            <w:tcW w:w="2126" w:type="dxa"/>
          </w:tcPr>
          <w:p w14:paraId="216C5916" w14:textId="77777777" w:rsidR="00BD74F5" w:rsidRPr="00B96289" w:rsidRDefault="00BD74F5" w:rsidP="00FC4243">
            <w:pPr>
              <w:keepNex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B050"/>
                <w:sz w:val="20"/>
              </w:rPr>
            </w:pPr>
            <w:r w:rsidRPr="00B96289">
              <w:rPr>
                <w:rFonts w:ascii="Calibri" w:hAnsi="Calibri" w:cs="Calibri"/>
                <w:color w:val="00B050"/>
                <w:sz w:val="20"/>
              </w:rPr>
              <w:t>Yes</w:t>
            </w:r>
          </w:p>
        </w:tc>
      </w:tr>
      <w:tr w:rsidR="00BD74F5" w:rsidRPr="00F2169F" w14:paraId="0CF75AE5" w14:textId="77777777" w:rsidTr="00FC4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6" w:type="dxa"/>
            <w:vAlign w:val="bottom"/>
          </w:tcPr>
          <w:p w14:paraId="77691965" w14:textId="77777777" w:rsidR="00BD74F5" w:rsidRPr="003059D3" w:rsidRDefault="00BD74F5" w:rsidP="00FC4243">
            <w:pPr>
              <w:jc w:val="center"/>
              <w:rPr>
                <w:rFonts w:cstheme="minorHAnsi"/>
                <w:sz w:val="20"/>
                <w:szCs w:val="20"/>
                <w:lang w:val="en-US"/>
              </w:rPr>
            </w:pPr>
            <w:r>
              <w:rPr>
                <w:sz w:val="20"/>
                <w:szCs w:val="20"/>
                <w:lang w:val="en-US"/>
              </w:rPr>
              <w:t>xyt-SAC</w:t>
            </w:r>
          </w:p>
        </w:tc>
        <w:tc>
          <w:tcPr>
            <w:tcW w:w="1923" w:type="dxa"/>
            <w:vAlign w:val="bottom"/>
          </w:tcPr>
          <w:p w14:paraId="160027DD" w14:textId="128955C7" w:rsidR="00BD74F5" w:rsidRPr="00914A19" w:rsidRDefault="00BD74F5" w:rsidP="00FC424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sz w:val="20"/>
                <w:szCs w:val="20"/>
              </w:rPr>
            </w:pPr>
            <w:r w:rsidRPr="00914A19">
              <w:rPr>
                <w:rFonts w:ascii="Calibri" w:hAnsi="Calibri" w:cs="Calibri"/>
                <w:color w:val="FF0000"/>
                <w:sz w:val="20"/>
              </w:rPr>
              <w:t>155</w:t>
            </w:r>
            <w:r w:rsidR="005E1A1C">
              <w:rPr>
                <w:rFonts w:ascii="Calibri" w:hAnsi="Calibri" w:cs="Calibri"/>
                <w:color w:val="FF0000"/>
                <w:sz w:val="20"/>
              </w:rPr>
              <w:t>.</w:t>
            </w:r>
            <w:r w:rsidRPr="00914A19">
              <w:rPr>
                <w:rFonts w:ascii="Calibri" w:hAnsi="Calibri" w:cs="Calibri"/>
                <w:color w:val="FF0000"/>
                <w:sz w:val="20"/>
              </w:rPr>
              <w:t>12%</w:t>
            </w:r>
          </w:p>
        </w:tc>
        <w:tc>
          <w:tcPr>
            <w:tcW w:w="1984" w:type="dxa"/>
            <w:vAlign w:val="bottom"/>
          </w:tcPr>
          <w:p w14:paraId="1F05F99E" w14:textId="25F2451C" w:rsidR="00BD74F5" w:rsidRPr="00914A19"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sz w:val="20"/>
                <w:szCs w:val="20"/>
              </w:rPr>
            </w:pPr>
            <w:r w:rsidRPr="00914A19">
              <w:rPr>
                <w:rFonts w:ascii="Calibri" w:hAnsi="Calibri" w:cs="Calibri"/>
                <w:color w:val="FF0000"/>
                <w:sz w:val="20"/>
              </w:rPr>
              <w:t>244</w:t>
            </w:r>
            <w:r w:rsidR="005E1A1C">
              <w:rPr>
                <w:rFonts w:ascii="Calibri" w:hAnsi="Calibri" w:cs="Calibri"/>
                <w:color w:val="FF0000"/>
                <w:sz w:val="20"/>
              </w:rPr>
              <w:t>.</w:t>
            </w:r>
            <w:r w:rsidRPr="00914A19">
              <w:rPr>
                <w:rFonts w:ascii="Calibri" w:hAnsi="Calibri" w:cs="Calibri"/>
                <w:color w:val="FF0000"/>
                <w:sz w:val="20"/>
              </w:rPr>
              <w:t>83%</w:t>
            </w:r>
          </w:p>
        </w:tc>
        <w:tc>
          <w:tcPr>
            <w:tcW w:w="1843" w:type="dxa"/>
          </w:tcPr>
          <w:p w14:paraId="4345DBF2" w14:textId="77777777" w:rsidR="00BD74F5" w:rsidRPr="00B96289"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B050"/>
                <w:sz w:val="20"/>
              </w:rPr>
            </w:pPr>
            <w:r w:rsidRPr="00B96289">
              <w:rPr>
                <w:rFonts w:ascii="Calibri" w:hAnsi="Calibri" w:cs="Calibri"/>
                <w:color w:val="00B050"/>
                <w:sz w:val="20"/>
              </w:rPr>
              <w:t>Yes</w:t>
            </w:r>
          </w:p>
        </w:tc>
        <w:tc>
          <w:tcPr>
            <w:tcW w:w="2126" w:type="dxa"/>
          </w:tcPr>
          <w:p w14:paraId="6A139992" w14:textId="77777777" w:rsidR="00BD74F5" w:rsidRPr="00B96289"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B050"/>
                <w:sz w:val="20"/>
              </w:rPr>
            </w:pPr>
            <w:r w:rsidRPr="00B96289">
              <w:rPr>
                <w:rFonts w:ascii="Calibri" w:hAnsi="Calibri" w:cs="Calibri"/>
                <w:color w:val="00B050"/>
                <w:sz w:val="20"/>
              </w:rPr>
              <w:t>Yes</w:t>
            </w:r>
          </w:p>
        </w:tc>
      </w:tr>
      <w:tr w:rsidR="00BD74F5" w:rsidRPr="00F2169F" w14:paraId="59AFFBEC" w14:textId="77777777" w:rsidTr="00FC4243">
        <w:tc>
          <w:tcPr>
            <w:cnfStyle w:val="001000000000" w:firstRow="0" w:lastRow="0" w:firstColumn="1" w:lastColumn="0" w:oddVBand="0" w:evenVBand="0" w:oddHBand="0" w:evenHBand="0" w:firstRowFirstColumn="0" w:firstRowLastColumn="0" w:lastRowFirstColumn="0" w:lastRowLastColumn="0"/>
            <w:tcW w:w="1196" w:type="dxa"/>
            <w:vAlign w:val="bottom"/>
          </w:tcPr>
          <w:p w14:paraId="0866C967" w14:textId="77777777" w:rsidR="00BD74F5" w:rsidRPr="003059D3" w:rsidRDefault="00BD74F5" w:rsidP="00FC4243">
            <w:pPr>
              <w:jc w:val="center"/>
              <w:rPr>
                <w:rFonts w:cstheme="minorHAnsi"/>
                <w:sz w:val="20"/>
                <w:szCs w:val="20"/>
                <w:lang w:val="en-US"/>
              </w:rPr>
            </w:pPr>
            <w:r>
              <w:rPr>
                <w:rFonts w:ascii="Calibri" w:hAnsi="Calibri" w:cs="Calibri"/>
                <w:color w:val="000000"/>
                <w:sz w:val="20"/>
                <w:szCs w:val="20"/>
              </w:rPr>
              <w:t>SAIAFD</w:t>
            </w:r>
          </w:p>
        </w:tc>
        <w:tc>
          <w:tcPr>
            <w:tcW w:w="1923" w:type="dxa"/>
            <w:vAlign w:val="bottom"/>
          </w:tcPr>
          <w:p w14:paraId="6A492F76" w14:textId="1A8075A7" w:rsidR="00BD74F5" w:rsidRPr="00914A19"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szCs w:val="20"/>
              </w:rPr>
            </w:pPr>
            <w:r w:rsidRPr="00914A19">
              <w:rPr>
                <w:rFonts w:ascii="Calibri" w:hAnsi="Calibri" w:cs="Calibri"/>
                <w:color w:val="FF0000"/>
                <w:sz w:val="20"/>
              </w:rPr>
              <w:t>160</w:t>
            </w:r>
            <w:r w:rsidR="005E1A1C">
              <w:rPr>
                <w:rFonts w:ascii="Calibri" w:hAnsi="Calibri" w:cs="Calibri"/>
                <w:color w:val="FF0000"/>
                <w:sz w:val="20"/>
              </w:rPr>
              <w:t>.</w:t>
            </w:r>
            <w:r w:rsidRPr="00914A19">
              <w:rPr>
                <w:rFonts w:ascii="Calibri" w:hAnsi="Calibri" w:cs="Calibri"/>
                <w:color w:val="FF0000"/>
                <w:sz w:val="20"/>
              </w:rPr>
              <w:t>30%</w:t>
            </w:r>
          </w:p>
        </w:tc>
        <w:tc>
          <w:tcPr>
            <w:tcW w:w="1984" w:type="dxa"/>
            <w:vAlign w:val="bottom"/>
          </w:tcPr>
          <w:p w14:paraId="14AEA0CE" w14:textId="04BC084B" w:rsidR="00BD74F5" w:rsidRPr="00914A19" w:rsidRDefault="00BD74F5" w:rsidP="00FC4243">
            <w:pPr>
              <w:keepNex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szCs w:val="20"/>
              </w:rPr>
            </w:pPr>
            <w:r w:rsidRPr="00914A19">
              <w:rPr>
                <w:rFonts w:ascii="Calibri" w:hAnsi="Calibri" w:cs="Calibri"/>
                <w:color w:val="FF0000"/>
                <w:sz w:val="20"/>
              </w:rPr>
              <w:t>141</w:t>
            </w:r>
            <w:r w:rsidR="005E1A1C">
              <w:rPr>
                <w:rFonts w:ascii="Calibri" w:hAnsi="Calibri" w:cs="Calibri"/>
                <w:color w:val="FF0000"/>
                <w:sz w:val="20"/>
              </w:rPr>
              <w:t>.</w:t>
            </w:r>
            <w:r w:rsidRPr="00914A19">
              <w:rPr>
                <w:rFonts w:ascii="Calibri" w:hAnsi="Calibri" w:cs="Calibri"/>
                <w:color w:val="FF0000"/>
                <w:sz w:val="20"/>
              </w:rPr>
              <w:t>38%</w:t>
            </w:r>
          </w:p>
        </w:tc>
        <w:tc>
          <w:tcPr>
            <w:tcW w:w="1843" w:type="dxa"/>
          </w:tcPr>
          <w:p w14:paraId="0A5BB7A3" w14:textId="77777777" w:rsidR="00BD74F5" w:rsidRPr="00B96289" w:rsidRDefault="00BD74F5" w:rsidP="00FC4243">
            <w:pPr>
              <w:keepNex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B050"/>
                <w:sz w:val="20"/>
              </w:rPr>
            </w:pPr>
            <w:r w:rsidRPr="00B96289">
              <w:rPr>
                <w:rFonts w:ascii="Calibri" w:hAnsi="Calibri" w:cs="Calibri"/>
                <w:color w:val="00B050"/>
                <w:sz w:val="20"/>
              </w:rPr>
              <w:t>Yes</w:t>
            </w:r>
          </w:p>
        </w:tc>
        <w:tc>
          <w:tcPr>
            <w:tcW w:w="2126" w:type="dxa"/>
          </w:tcPr>
          <w:p w14:paraId="7BA08F8D" w14:textId="77777777" w:rsidR="00BD74F5" w:rsidRPr="00914A19" w:rsidRDefault="00BD74F5" w:rsidP="00FC4243">
            <w:pPr>
              <w:keepNex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rPr>
            </w:pPr>
            <w:proofErr w:type="spellStart"/>
            <w:r>
              <w:rPr>
                <w:rFonts w:ascii="Calibri" w:hAnsi="Calibri" w:cs="Calibri"/>
                <w:color w:val="FF0000"/>
                <w:sz w:val="20"/>
              </w:rPr>
              <w:t>No</w:t>
            </w:r>
            <w:proofErr w:type="spellEnd"/>
          </w:p>
        </w:tc>
      </w:tr>
    </w:tbl>
    <w:p w14:paraId="5936CD40" w14:textId="3D8A1BE2" w:rsidR="00BD74F5" w:rsidRPr="00080F46" w:rsidRDefault="00BD74F5" w:rsidP="00BD74F5">
      <w:pPr>
        <w:pStyle w:val="Beschriftung"/>
        <w:framePr w:w="9151" w:hSpace="180" w:wrap="around" w:vAnchor="text" w:hAnchor="page" w:x="1276" w:y="-245"/>
        <w:jc w:val="center"/>
        <w:rPr>
          <w:lang w:val="en-US"/>
        </w:rPr>
      </w:pPr>
      <w:r w:rsidRPr="00914A19">
        <w:rPr>
          <w:lang w:val="en-US"/>
        </w:rPr>
        <w:t>Tab</w:t>
      </w:r>
      <w:r w:rsidR="00E86CD0">
        <w:rPr>
          <w:lang w:val="en-US"/>
        </w:rPr>
        <w:t>.S6</w:t>
      </w:r>
      <w:r w:rsidRPr="00914A19">
        <w:rPr>
          <w:lang w:val="en-US"/>
        </w:rPr>
        <w:t xml:space="preserve">: </w:t>
      </w:r>
      <w:r w:rsidRPr="002519D1">
        <w:rPr>
          <w:lang w:val="en-US"/>
        </w:rPr>
        <w:t>Relative values of t</w:t>
      </w:r>
      <w:r>
        <w:rPr>
          <w:lang w:val="en-US"/>
        </w:rPr>
        <w:t>he used techniques for embolization treatment of the arteria cerebri media with saccular aneurysm types. Values in green: Saving potential as a percentage of CEs’ baseline value. This accounts vice versa for the red values.</w:t>
      </w:r>
    </w:p>
    <w:p w14:paraId="428ACD36" w14:textId="09E0F8AF" w:rsidR="00BD74F5" w:rsidRDefault="00BD74F5" w:rsidP="00BD74F5">
      <w:pPr>
        <w:rPr>
          <w:lang w:val="en-US"/>
        </w:rPr>
      </w:pPr>
      <w:r>
        <w:rPr>
          <w:lang w:val="en-US"/>
        </w:rPr>
        <w:t>The significance was found to be p =2.89</w:t>
      </w:r>
      <w:r>
        <w:rPr>
          <w:rFonts w:cstheme="minorHAnsi"/>
          <w:lang w:val="en-US"/>
        </w:rPr>
        <w:t>·</w:t>
      </w:r>
      <w:r>
        <w:rPr>
          <w:lang w:val="en-US"/>
        </w:rPr>
        <w:t>10</w:t>
      </w:r>
      <w:r>
        <w:rPr>
          <w:vertAlign w:val="superscript"/>
          <w:lang w:val="en-US"/>
        </w:rPr>
        <w:t>-6</w:t>
      </w:r>
      <w:r>
        <w:rPr>
          <w:lang w:val="en-US"/>
        </w:rPr>
        <w:t xml:space="preserve"> for dose-area product and p = 2.05</w:t>
      </w:r>
      <w:r>
        <w:rPr>
          <w:rFonts w:cstheme="minorHAnsi"/>
          <w:lang w:val="en-US"/>
        </w:rPr>
        <w:t>·10</w:t>
      </w:r>
      <w:r>
        <w:rPr>
          <w:rFonts w:cstheme="minorHAnsi"/>
          <w:vertAlign w:val="superscript"/>
          <w:lang w:val="en-US"/>
        </w:rPr>
        <w:t>-52</w:t>
      </w:r>
      <w:r>
        <w:rPr>
          <w:rFonts w:cstheme="minorHAnsi"/>
          <w:lang w:val="en-US"/>
        </w:rPr>
        <w:t xml:space="preserve"> </w:t>
      </w:r>
      <w:r>
        <w:rPr>
          <w:lang w:val="en-US"/>
        </w:rPr>
        <w:t>exposure time. No significance was found for treatment of the same vessel with fusiform aneurysm type</w:t>
      </w:r>
      <w:r w:rsidR="006F296C">
        <w:rPr>
          <w:lang w:val="en-US"/>
        </w:rPr>
        <w:t xml:space="preserve"> </w:t>
      </w:r>
      <w:r w:rsidR="006F296C">
        <w:rPr>
          <w:lang w:val="en-US"/>
        </w:rPr>
        <w:t>(see Fig.S</w:t>
      </w:r>
      <w:r w:rsidR="006F296C">
        <w:rPr>
          <w:lang w:val="en-US"/>
        </w:rPr>
        <w:t>6</w:t>
      </w:r>
      <w:r w:rsidR="006F296C">
        <w:rPr>
          <w:lang w:val="en-US"/>
        </w:rPr>
        <w:t xml:space="preserve"> &amp; Tab.S</w:t>
      </w:r>
      <w:r w:rsidR="006F296C">
        <w:rPr>
          <w:lang w:val="en-US"/>
        </w:rPr>
        <w:t>6</w:t>
      </w:r>
      <w:r w:rsidR="006F296C">
        <w:rPr>
          <w:lang w:val="en-US"/>
        </w:rPr>
        <w:t>)</w:t>
      </w:r>
      <w:r>
        <w:rPr>
          <w:lang w:val="en-US"/>
        </w:rPr>
        <w:t xml:space="preserve">. </w:t>
      </w:r>
    </w:p>
    <w:p w14:paraId="61EF576C" w14:textId="77777777" w:rsidR="00BD74F5" w:rsidRPr="005E4D97" w:rsidRDefault="00BD74F5" w:rsidP="00BD74F5">
      <w:pPr>
        <w:rPr>
          <w:lang w:val="en-US"/>
        </w:rPr>
      </w:pPr>
    </w:p>
    <w:p w14:paraId="35F9BD07" w14:textId="77777777" w:rsidR="00BD74F5" w:rsidRPr="00427A74" w:rsidRDefault="00BD74F5" w:rsidP="00BD74F5">
      <w:pPr>
        <w:rPr>
          <w:b/>
          <w:lang w:val="en-US"/>
        </w:rPr>
      </w:pPr>
      <w:r>
        <w:rPr>
          <w:b/>
          <w:lang w:val="en-US"/>
        </w:rPr>
        <w:t xml:space="preserve">Vertebral artery (VA) with fusiform </w:t>
      </w:r>
      <w:r w:rsidRPr="00C25011">
        <w:rPr>
          <w:b/>
          <w:lang w:val="en-US"/>
        </w:rPr>
        <w:t>aneurysm type</w:t>
      </w:r>
    </w:p>
    <w:p w14:paraId="48D57382" w14:textId="5AFE14B4" w:rsidR="00BD74F5" w:rsidRDefault="00BD74F5" w:rsidP="00BD74F5">
      <w:pPr>
        <w:rPr>
          <w:lang w:val="en-US"/>
        </w:rPr>
      </w:pPr>
      <w:r>
        <w:rPr>
          <w:noProof/>
          <w:lang w:eastAsia="de-DE"/>
        </w:rPr>
        <mc:AlternateContent>
          <mc:Choice Requires="wps">
            <w:drawing>
              <wp:anchor distT="0" distB="0" distL="114300" distR="114300" simplePos="0" relativeHeight="251665408" behindDoc="0" locked="0" layoutInCell="1" allowOverlap="1" wp14:anchorId="15D1020F" wp14:editId="0E48B938">
                <wp:simplePos x="0" y="0"/>
                <wp:positionH relativeFrom="margin">
                  <wp:posOffset>-12065</wp:posOffset>
                </wp:positionH>
                <wp:positionV relativeFrom="paragraph">
                  <wp:posOffset>2908300</wp:posOffset>
                </wp:positionV>
                <wp:extent cx="3851910" cy="590550"/>
                <wp:effectExtent l="0" t="0" r="0" b="0"/>
                <wp:wrapSquare wrapText="bothSides"/>
                <wp:docPr id="32" name="Textfeld 32"/>
                <wp:cNvGraphicFramePr/>
                <a:graphic xmlns:a="http://schemas.openxmlformats.org/drawingml/2006/main">
                  <a:graphicData uri="http://schemas.microsoft.com/office/word/2010/wordprocessingShape">
                    <wps:wsp>
                      <wps:cNvSpPr txBox="1"/>
                      <wps:spPr>
                        <a:xfrm>
                          <a:off x="0" y="0"/>
                          <a:ext cx="3851910" cy="590550"/>
                        </a:xfrm>
                        <a:prstGeom prst="rect">
                          <a:avLst/>
                        </a:prstGeom>
                        <a:solidFill>
                          <a:prstClr val="white"/>
                        </a:solidFill>
                        <a:ln>
                          <a:noFill/>
                        </a:ln>
                      </wps:spPr>
                      <wps:txbx>
                        <w:txbxContent>
                          <w:p w14:paraId="6479A990" w14:textId="145C7497" w:rsidR="0084270F" w:rsidRPr="00C51E12" w:rsidRDefault="0084270F" w:rsidP="00BD74F5">
                            <w:pPr>
                              <w:pStyle w:val="Beschriftung"/>
                              <w:jc w:val="center"/>
                              <w:rPr>
                                <w:noProof/>
                                <w:lang w:val="en-US"/>
                              </w:rPr>
                            </w:pPr>
                            <w:bookmarkStart w:id="19" w:name="_Ref173323458"/>
                            <w:r w:rsidRPr="00DE7689">
                              <w:rPr>
                                <w:lang w:val="en-US"/>
                              </w:rPr>
                              <w:t>Fig</w:t>
                            </w:r>
                            <w:bookmarkEnd w:id="19"/>
                            <w:r w:rsidR="00E86CD0">
                              <w:rPr>
                                <w:lang w:val="en-US"/>
                              </w:rPr>
                              <w:t>.S7</w:t>
                            </w:r>
                            <w:r w:rsidRPr="00DE7689">
                              <w:rPr>
                                <w:lang w:val="en-US"/>
                              </w:rPr>
                              <w:t xml:space="preserve">: </w:t>
                            </w:r>
                            <w:r w:rsidRPr="00E04A45">
                              <w:rPr>
                                <w:lang w:val="en-US"/>
                              </w:rPr>
                              <w:t>Juxtaposition</w:t>
                            </w:r>
                            <w:r>
                              <w:rPr>
                                <w:lang w:val="en-US"/>
                              </w:rPr>
                              <w:t xml:space="preserve"> </w:t>
                            </w:r>
                            <w:r w:rsidRPr="00E04A45">
                              <w:rPr>
                                <w:lang w:val="en-US"/>
                              </w:rPr>
                              <w:t>graph of the DAP a</w:t>
                            </w:r>
                            <w:r>
                              <w:rPr>
                                <w:lang w:val="en-US"/>
                              </w:rPr>
                              <w:t>nd ET for different techniques shown in boxplots. On top of the graph the absolute record number for this specific vessel and aneurysm type can be found. The big blue line indicates the national diagnostic reference level.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D1020F" id="Textfeld 32" o:spid="_x0000_s1032" type="#_x0000_t202" style="position:absolute;margin-left:-.95pt;margin-top:229pt;width:303.3pt;height:46.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" stroked="f">
                <v:textbox inset="0,0,0,0">
                  <w:txbxContent>
                    <w:p w14:paraId="6479A990" w14:textId="145C7497" w:rsidR="0084270F" w:rsidRPr="00C51E12" w:rsidRDefault="0084270F" w:rsidP="00BD74F5">
                      <w:pPr>
                        <w:pStyle w:val="Beschriftung"/>
                        <w:jc w:val="center"/>
                        <w:rPr>
                          <w:noProof/>
                          <w:lang w:val="en-US"/>
                        </w:rPr>
                      </w:pPr>
                      <w:bookmarkStart w:id="20" w:name="_Ref173323458"/>
                      <w:r w:rsidRPr="00DE7689">
                        <w:rPr>
                          <w:lang w:val="en-US"/>
                        </w:rPr>
                        <w:t>Fig</w:t>
                      </w:r>
                      <w:bookmarkEnd w:id="20"/>
                      <w:r w:rsidR="00E86CD0">
                        <w:rPr>
                          <w:lang w:val="en-US"/>
                        </w:rPr>
                        <w:t>.S7</w:t>
                      </w:r>
                      <w:r w:rsidRPr="00DE7689">
                        <w:rPr>
                          <w:lang w:val="en-US"/>
                        </w:rPr>
                        <w:t xml:space="preserve">: </w:t>
                      </w:r>
                      <w:r w:rsidRPr="00E04A45">
                        <w:rPr>
                          <w:lang w:val="en-US"/>
                        </w:rPr>
                        <w:t>Juxtaposition</w:t>
                      </w:r>
                      <w:r>
                        <w:rPr>
                          <w:lang w:val="en-US"/>
                        </w:rPr>
                        <w:t xml:space="preserve"> </w:t>
                      </w:r>
                      <w:r w:rsidRPr="00E04A45">
                        <w:rPr>
                          <w:lang w:val="en-US"/>
                        </w:rPr>
                        <w:t>graph of the DAP a</w:t>
                      </w:r>
                      <w:r>
                        <w:rPr>
                          <w:lang w:val="en-US"/>
                        </w:rPr>
                        <w:t>nd ET for different techniques shown in boxplots. On top of the graph the absolute record number for this specific vessel and aneurysm type can be found. The big blue line indicates the national diagnostic reference level.</w:t>
                      </w:r>
                    </w:p>
                  </w:txbxContent>
                </v:textbox>
                <w10:wrap type="square" anchorx="margin"/>
              </v:shape>
            </w:pict>
          </mc:Fallback>
        </mc:AlternateContent>
      </w:r>
      <w:r>
        <w:rPr>
          <w:noProof/>
          <w:lang w:eastAsia="de-DE"/>
        </w:rPr>
        <w:drawing>
          <wp:anchor distT="0" distB="0" distL="114300" distR="114300" simplePos="0" relativeHeight="251672576" behindDoc="0" locked="0" layoutInCell="1" allowOverlap="1" wp14:anchorId="16F64810" wp14:editId="01375E2D">
            <wp:simplePos x="0" y="0"/>
            <wp:positionH relativeFrom="margin">
              <wp:posOffset>-17780</wp:posOffset>
            </wp:positionH>
            <wp:positionV relativeFrom="paragraph">
              <wp:posOffset>31750</wp:posOffset>
            </wp:positionV>
            <wp:extent cx="3820795" cy="2880995"/>
            <wp:effectExtent l="0" t="0" r="8255" b="0"/>
            <wp:wrapSquare wrapText="bothSides"/>
            <wp:docPr id="37" name="Grafik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3820795" cy="2880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B266F">
        <w:rPr>
          <w:lang w:val="en-US"/>
        </w:rPr>
        <w:t xml:space="preserve"> </w:t>
      </w:r>
      <w:r w:rsidRPr="00FB266F">
        <w:rPr>
          <w:noProof/>
          <w:lang w:val="en-US" w:eastAsia="de-DE"/>
        </w:rPr>
        <w:t xml:space="preserve">The last significant finding with p = 0.02 for </w:t>
      </w:r>
      <w:r>
        <w:rPr>
          <w:noProof/>
          <w:lang w:val="en-US" w:eastAsia="de-DE"/>
        </w:rPr>
        <w:t>dose-area product</w:t>
      </w:r>
      <w:r w:rsidRPr="00FB266F">
        <w:rPr>
          <w:noProof/>
          <w:lang w:val="en-US" w:eastAsia="de-DE"/>
        </w:rPr>
        <w:t xml:space="preserve"> and p </w:t>
      </w:r>
      <w:r>
        <w:rPr>
          <w:noProof/>
          <w:lang w:val="en-US" w:eastAsia="de-DE"/>
        </w:rPr>
        <w:t>=</w:t>
      </w:r>
      <w:r w:rsidRPr="00FB266F">
        <w:rPr>
          <w:noProof/>
          <w:lang w:val="en-US" w:eastAsia="de-DE"/>
        </w:rPr>
        <w:t xml:space="preserve"> </w:t>
      </w:r>
      <w:r>
        <w:rPr>
          <w:noProof/>
          <w:lang w:val="en-US" w:eastAsia="de-DE"/>
        </w:rPr>
        <w:t>6.19</w:t>
      </w:r>
      <w:r>
        <w:rPr>
          <w:rFonts w:cstheme="minorHAnsi"/>
          <w:noProof/>
          <w:lang w:val="en-US" w:eastAsia="de-DE"/>
        </w:rPr>
        <w:t>·</w:t>
      </w:r>
      <w:r>
        <w:rPr>
          <w:noProof/>
          <w:lang w:val="en-US" w:eastAsia="de-DE"/>
        </w:rPr>
        <w:t>10</w:t>
      </w:r>
      <w:r>
        <w:rPr>
          <w:noProof/>
          <w:vertAlign w:val="superscript"/>
          <w:lang w:val="en-US" w:eastAsia="de-DE"/>
        </w:rPr>
        <w:t>-12</w:t>
      </w:r>
      <w:r w:rsidRPr="00FB266F">
        <w:rPr>
          <w:noProof/>
          <w:lang w:val="en-US" w:eastAsia="de-DE"/>
        </w:rPr>
        <w:t xml:space="preserve"> for </w:t>
      </w:r>
      <w:r>
        <w:rPr>
          <w:noProof/>
          <w:lang w:val="en-US" w:eastAsia="de-DE"/>
        </w:rPr>
        <w:t>exposure time</w:t>
      </w:r>
      <w:r w:rsidRPr="00FB266F">
        <w:rPr>
          <w:noProof/>
          <w:lang w:val="en-US" w:eastAsia="de-DE"/>
        </w:rPr>
        <w:t xml:space="preserve"> was for the data subset embolization of vertebral artery with fusiform aneurysm type. In contrast to the other data subsets mentioned above, FD was the most frequently used technique with 60.07% of such procedures. CE techniques were used in only about a third of these cases (20.13%). In addition, this technique is more likely to exceed the national </w:t>
      </w:r>
      <w:r>
        <w:rPr>
          <w:noProof/>
          <w:lang w:val="en-US" w:eastAsia="de-DE"/>
        </w:rPr>
        <w:t>diagnostic reference level</w:t>
      </w:r>
      <w:r w:rsidRPr="00FB266F">
        <w:rPr>
          <w:noProof/>
          <w:lang w:val="en-US" w:eastAsia="de-DE"/>
        </w:rPr>
        <w:t xml:space="preserve"> of 20</w:t>
      </w:r>
      <w:r w:rsidR="006F296C">
        <w:rPr>
          <w:noProof/>
          <w:lang w:val="en-US" w:eastAsia="de-DE"/>
        </w:rPr>
        <w:t>,</w:t>
      </w:r>
      <w:r w:rsidRPr="00FB266F">
        <w:rPr>
          <w:noProof/>
          <w:lang w:val="en-US" w:eastAsia="de-DE"/>
        </w:rPr>
        <w:t xml:space="preserve">000 cGycm2. Nevertheless, FD gives a higher efficiency in terms of median </w:t>
      </w:r>
      <w:r>
        <w:rPr>
          <w:noProof/>
          <w:lang w:val="en-US" w:eastAsia="de-DE"/>
        </w:rPr>
        <w:t>dose-area product</w:t>
      </w:r>
      <w:r w:rsidRPr="00FB266F">
        <w:rPr>
          <w:noProof/>
          <w:lang w:val="en-US" w:eastAsia="de-DE"/>
        </w:rPr>
        <w:t xml:space="preserve"> and </w:t>
      </w:r>
      <w:r>
        <w:rPr>
          <w:noProof/>
          <w:lang w:val="en-US" w:eastAsia="de-DE"/>
        </w:rPr>
        <w:t>exposure time</w:t>
      </w:r>
      <w:r w:rsidRPr="00FB266F">
        <w:rPr>
          <w:noProof/>
          <w:lang w:val="en-US" w:eastAsia="de-DE"/>
        </w:rPr>
        <w:t xml:space="preserve">. The median </w:t>
      </w:r>
      <w:r>
        <w:rPr>
          <w:noProof/>
          <w:lang w:val="en-US" w:eastAsia="de-DE"/>
        </w:rPr>
        <w:t>dose-area product</w:t>
      </w:r>
      <w:r w:rsidRPr="00FB266F">
        <w:rPr>
          <w:noProof/>
          <w:lang w:val="en-US" w:eastAsia="de-DE"/>
        </w:rPr>
        <w:t xml:space="preserve"> is reduced by 26.39%, while the median </w:t>
      </w:r>
      <w:r>
        <w:rPr>
          <w:noProof/>
          <w:lang w:val="en-US" w:eastAsia="de-DE"/>
        </w:rPr>
        <w:t>exposure time</w:t>
      </w:r>
      <w:r w:rsidRPr="00FB266F">
        <w:rPr>
          <w:noProof/>
          <w:lang w:val="en-US" w:eastAsia="de-DE"/>
        </w:rPr>
        <w:t xml:space="preserve"> is reduced by 47.73%. This shows a high </w:t>
      </w:r>
      <w:r w:rsidRPr="00FB266F">
        <w:rPr>
          <w:noProof/>
          <w:lang w:val="en-US" w:eastAsia="de-DE"/>
        </w:rPr>
        <w:lastRenderedPageBreak/>
        <w:t xml:space="preserve">saving potential in terms of the time required to use this technique. Only SAC techniques also yield a </w:t>
      </w:r>
      <w:r>
        <w:rPr>
          <w:noProof/>
          <w:lang w:val="en-US" w:eastAsia="de-DE"/>
        </w:rPr>
        <w:t>dose-area product</w:t>
      </w:r>
      <w:r w:rsidRPr="00FB266F">
        <w:rPr>
          <w:noProof/>
          <w:lang w:val="en-US" w:eastAsia="de-DE"/>
        </w:rPr>
        <w:t xml:space="preserve"> reduction of 20.84% compared to CE</w:t>
      </w:r>
      <w:r>
        <w:rPr>
          <w:noProof/>
          <w:lang w:val="en-US" w:eastAsia="de-DE"/>
        </w:rPr>
        <w:t xml:space="preserve"> based</w:t>
      </w:r>
      <w:r w:rsidRPr="00FB266F">
        <w:rPr>
          <w:noProof/>
          <w:lang w:val="en-US" w:eastAsia="de-DE"/>
        </w:rPr>
        <w:t xml:space="preserve"> approaches</w:t>
      </w:r>
      <w:r>
        <w:rPr>
          <w:noProof/>
          <w:lang w:val="en-US" w:eastAsia="de-DE"/>
        </w:rPr>
        <w:t xml:space="preserve"> </w:t>
      </w:r>
      <w:r>
        <w:rPr>
          <w:lang w:val="en-US"/>
        </w:rPr>
        <w:t xml:space="preserve">(see </w:t>
      </w:r>
      <w:r w:rsidR="006F296C">
        <w:rPr>
          <w:lang w:val="en-US"/>
        </w:rPr>
        <w:t>Fig.S7</w:t>
      </w:r>
      <w:r>
        <w:rPr>
          <w:lang w:val="en-US"/>
        </w:rPr>
        <w:t xml:space="preserve"> &amp; </w:t>
      </w:r>
      <w:r w:rsidR="006F296C">
        <w:rPr>
          <w:lang w:val="en-US"/>
        </w:rPr>
        <w:t>Tab.S7</w:t>
      </w:r>
      <w:r>
        <w:rPr>
          <w:lang w:val="en-US"/>
        </w:rPr>
        <w:t xml:space="preserve">). </w:t>
      </w:r>
    </w:p>
    <w:p w14:paraId="3FBD2462" w14:textId="77777777" w:rsidR="00BD74F5" w:rsidRDefault="00BD74F5" w:rsidP="00BD74F5">
      <w:pPr>
        <w:rPr>
          <w:lang w:val="en-US"/>
        </w:rPr>
      </w:pPr>
    </w:p>
    <w:p w14:paraId="56299B7E" w14:textId="77777777" w:rsidR="00BD74F5" w:rsidRDefault="00BD74F5" w:rsidP="00BD74F5">
      <w:pPr>
        <w:rPr>
          <w:lang w:val="en-US"/>
        </w:rPr>
      </w:pPr>
    </w:p>
    <w:p w14:paraId="153F0D17" w14:textId="77777777" w:rsidR="00BD74F5" w:rsidRDefault="00BD74F5" w:rsidP="00BD74F5">
      <w:pPr>
        <w:rPr>
          <w:lang w:val="en-US"/>
        </w:rPr>
      </w:pPr>
    </w:p>
    <w:tbl>
      <w:tblPr>
        <w:tblStyle w:val="EinfacheTabelle3"/>
        <w:tblpPr w:leftFromText="180" w:rightFromText="180" w:vertAnchor="text" w:horzAnchor="margin" w:tblpY="114"/>
        <w:tblW w:w="0" w:type="auto"/>
        <w:tblLook w:val="04A0" w:firstRow="1" w:lastRow="0" w:firstColumn="1" w:lastColumn="0" w:noHBand="0" w:noVBand="1"/>
      </w:tblPr>
      <w:tblGrid>
        <w:gridCol w:w="1196"/>
        <w:gridCol w:w="1781"/>
        <w:gridCol w:w="1843"/>
        <w:gridCol w:w="1843"/>
        <w:gridCol w:w="2409"/>
      </w:tblGrid>
      <w:tr w:rsidR="00BD74F5" w:rsidRPr="0084270F" w14:paraId="74D866AC" w14:textId="77777777" w:rsidTr="00FC4243">
        <w:trPr>
          <w:cnfStyle w:val="100000000000" w:firstRow="1" w:lastRow="0" w:firstColumn="0" w:lastColumn="0" w:oddVBand="0" w:evenVBand="0" w:oddHBand="0" w:evenHBand="0" w:firstRowFirstColumn="0" w:firstRowLastColumn="0" w:lastRowFirstColumn="0" w:lastRowLastColumn="0"/>
          <w:trHeight w:val="1174"/>
        </w:trPr>
        <w:tc>
          <w:tcPr>
            <w:cnfStyle w:val="001000000100" w:firstRow="0" w:lastRow="0" w:firstColumn="1" w:lastColumn="0" w:oddVBand="0" w:evenVBand="0" w:oddHBand="0" w:evenHBand="0" w:firstRowFirstColumn="1" w:firstRowLastColumn="0" w:lastRowFirstColumn="0" w:lastRowLastColumn="0"/>
            <w:tcW w:w="1196" w:type="dxa"/>
            <w:vAlign w:val="center"/>
          </w:tcPr>
          <w:p w14:paraId="2EE5D671" w14:textId="77777777" w:rsidR="00BD74F5" w:rsidRPr="00E17B4A" w:rsidRDefault="00BD74F5" w:rsidP="00FC4243">
            <w:pPr>
              <w:jc w:val="center"/>
              <w:rPr>
                <w:rFonts w:cstheme="minorHAnsi"/>
                <w:sz w:val="20"/>
                <w:szCs w:val="20"/>
                <w:lang w:val="en-US"/>
              </w:rPr>
            </w:pPr>
            <w:commentRangeStart w:id="21"/>
            <w:r w:rsidRPr="00E17B4A">
              <w:rPr>
                <w:rFonts w:cstheme="minorHAnsi"/>
                <w:sz w:val="20"/>
                <w:szCs w:val="20"/>
                <w:lang w:val="en-US"/>
              </w:rPr>
              <w:t>Technique</w:t>
            </w:r>
          </w:p>
        </w:tc>
        <w:tc>
          <w:tcPr>
            <w:tcW w:w="1781" w:type="dxa"/>
            <w:vAlign w:val="center"/>
          </w:tcPr>
          <w:p w14:paraId="42607189"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E17B4A">
              <w:rPr>
                <w:rFonts w:cstheme="minorHAnsi"/>
                <w:sz w:val="20"/>
                <w:szCs w:val="20"/>
                <w:lang w:val="en-US"/>
              </w:rPr>
              <w:t>Relative Dose-Area Product Compared to Coils</w:t>
            </w:r>
          </w:p>
        </w:tc>
        <w:tc>
          <w:tcPr>
            <w:tcW w:w="1843" w:type="dxa"/>
            <w:vAlign w:val="center"/>
          </w:tcPr>
          <w:p w14:paraId="08F06F5D"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E17B4A">
              <w:rPr>
                <w:rFonts w:cstheme="minorHAnsi"/>
                <w:sz w:val="20"/>
                <w:szCs w:val="20"/>
                <w:lang w:val="en-US"/>
              </w:rPr>
              <w:t>Relative Exposure Time Compared to Coils</w:t>
            </w:r>
          </w:p>
        </w:tc>
        <w:tc>
          <w:tcPr>
            <w:tcW w:w="1843" w:type="dxa"/>
            <w:vAlign w:val="center"/>
          </w:tcPr>
          <w:p w14:paraId="0AECE70E"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FE2C72">
              <w:rPr>
                <w:rFonts w:cstheme="minorHAnsi"/>
                <w:sz w:val="20"/>
                <w:szCs w:val="20"/>
                <w:lang w:val="en-US"/>
              </w:rPr>
              <w:t>Dunn test: DAP significance of each technique compared to Coils</w:t>
            </w:r>
          </w:p>
        </w:tc>
        <w:tc>
          <w:tcPr>
            <w:tcW w:w="2409" w:type="dxa"/>
            <w:vAlign w:val="center"/>
          </w:tcPr>
          <w:p w14:paraId="3D68B444" w14:textId="77777777" w:rsidR="00BD74F5" w:rsidRPr="00E17B4A" w:rsidRDefault="00BD74F5" w:rsidP="00FC4243">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lang w:val="en-US"/>
              </w:rPr>
            </w:pPr>
            <w:r w:rsidRPr="00FE2C72">
              <w:rPr>
                <w:rFonts w:cstheme="minorHAnsi"/>
                <w:sz w:val="20"/>
                <w:szCs w:val="20"/>
                <w:lang w:val="en-US"/>
              </w:rPr>
              <w:t xml:space="preserve">Dunn test: </w:t>
            </w:r>
            <w:r>
              <w:rPr>
                <w:rFonts w:cstheme="minorHAnsi"/>
                <w:sz w:val="20"/>
                <w:szCs w:val="20"/>
                <w:lang w:val="en-US"/>
              </w:rPr>
              <w:t>ET</w:t>
            </w:r>
            <w:r w:rsidRPr="00FE2C72">
              <w:rPr>
                <w:rFonts w:cstheme="minorHAnsi"/>
                <w:sz w:val="20"/>
                <w:szCs w:val="20"/>
                <w:lang w:val="en-US"/>
              </w:rPr>
              <w:t xml:space="preserve"> significance of each technique compared to Coils</w:t>
            </w:r>
          </w:p>
        </w:tc>
      </w:tr>
      <w:tr w:rsidR="00BD74F5" w:rsidRPr="0084270F" w14:paraId="6EAE8F52" w14:textId="77777777" w:rsidTr="00FC4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6" w:type="dxa"/>
            <w:vAlign w:val="center"/>
          </w:tcPr>
          <w:p w14:paraId="2CE7C9C0" w14:textId="77777777" w:rsidR="00BD74F5" w:rsidRPr="00101A70" w:rsidRDefault="00BD74F5" w:rsidP="00FC4243">
            <w:pPr>
              <w:jc w:val="center"/>
              <w:rPr>
                <w:rFonts w:cstheme="minorHAnsi"/>
                <w:sz w:val="20"/>
                <w:szCs w:val="20"/>
                <w:lang w:val="en-US"/>
              </w:rPr>
            </w:pPr>
          </w:p>
        </w:tc>
        <w:tc>
          <w:tcPr>
            <w:tcW w:w="7876" w:type="dxa"/>
            <w:gridSpan w:val="4"/>
            <w:vAlign w:val="center"/>
          </w:tcPr>
          <w:p w14:paraId="53338891" w14:textId="77777777" w:rsidR="00BD74F5"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Pr>
                <w:rFonts w:cstheme="minorHAnsi"/>
                <w:sz w:val="20"/>
                <w:szCs w:val="20"/>
                <w:lang w:val="en-US"/>
              </w:rPr>
              <w:t xml:space="preserve">Vertebral artery </w:t>
            </w:r>
            <w:r w:rsidRPr="00101A70">
              <w:rPr>
                <w:rFonts w:cstheme="minorHAnsi"/>
                <w:sz w:val="20"/>
                <w:szCs w:val="20"/>
                <w:lang w:val="en-US"/>
              </w:rPr>
              <w:t>with</w:t>
            </w:r>
            <w:r>
              <w:rPr>
                <w:rFonts w:cstheme="minorHAnsi"/>
                <w:sz w:val="20"/>
                <w:szCs w:val="20"/>
                <w:lang w:val="en-US"/>
              </w:rPr>
              <w:t xml:space="preserve"> fusiform</w:t>
            </w:r>
            <w:r w:rsidRPr="00101A70">
              <w:rPr>
                <w:rFonts w:cstheme="minorHAnsi"/>
                <w:sz w:val="20"/>
                <w:szCs w:val="20"/>
                <w:lang w:val="en-US"/>
              </w:rPr>
              <w:t xml:space="preserve"> aneurysm</w:t>
            </w:r>
          </w:p>
          <w:p w14:paraId="7B0AF6E4" w14:textId="77777777" w:rsidR="00BD74F5"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101A70">
              <w:rPr>
                <w:rFonts w:cstheme="minorHAnsi"/>
                <w:sz w:val="20"/>
                <w:szCs w:val="20"/>
                <w:lang w:val="en-US"/>
              </w:rPr>
              <w:t xml:space="preserve">n = </w:t>
            </w:r>
            <w:r>
              <w:rPr>
                <w:rFonts w:cstheme="minorHAnsi"/>
                <w:sz w:val="20"/>
                <w:szCs w:val="20"/>
                <w:lang w:val="en-US"/>
              </w:rPr>
              <w:t>298</w:t>
            </w:r>
          </w:p>
        </w:tc>
      </w:tr>
      <w:tr w:rsidR="00BD74F5" w:rsidRPr="00F2169F" w14:paraId="0D331148" w14:textId="77777777" w:rsidTr="00FC4243">
        <w:tc>
          <w:tcPr>
            <w:cnfStyle w:val="001000000000" w:firstRow="0" w:lastRow="0" w:firstColumn="1" w:lastColumn="0" w:oddVBand="0" w:evenVBand="0" w:oddHBand="0" w:evenHBand="0" w:firstRowFirstColumn="0" w:firstRowLastColumn="0" w:lastRowFirstColumn="0" w:lastRowLastColumn="0"/>
            <w:tcW w:w="1196" w:type="dxa"/>
            <w:vAlign w:val="bottom"/>
          </w:tcPr>
          <w:p w14:paraId="39BD3ECA" w14:textId="77777777" w:rsidR="00BD74F5" w:rsidRPr="003059D3" w:rsidRDefault="00BD74F5" w:rsidP="00FC4243">
            <w:pPr>
              <w:jc w:val="center"/>
              <w:rPr>
                <w:rFonts w:cstheme="minorHAnsi"/>
                <w:sz w:val="20"/>
                <w:szCs w:val="20"/>
                <w:lang w:val="en-US"/>
              </w:rPr>
            </w:pPr>
            <w:r>
              <w:rPr>
                <w:rFonts w:ascii="Calibri" w:hAnsi="Calibri" w:cs="Calibri"/>
                <w:color w:val="000000"/>
              </w:rPr>
              <w:t>CE</w:t>
            </w:r>
          </w:p>
        </w:tc>
        <w:tc>
          <w:tcPr>
            <w:tcW w:w="1781" w:type="dxa"/>
            <w:vAlign w:val="bottom"/>
          </w:tcPr>
          <w:p w14:paraId="2C1EAAEB" w14:textId="035B137E" w:rsidR="00BD74F5" w:rsidRPr="00C42DC1"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C42DC1">
              <w:rPr>
                <w:rFonts w:ascii="Calibri" w:hAnsi="Calibri" w:cs="Calibri"/>
                <w:color w:val="000000"/>
                <w:sz w:val="20"/>
              </w:rPr>
              <w:t>100</w:t>
            </w:r>
            <w:r w:rsidR="005E1A1C">
              <w:rPr>
                <w:rFonts w:ascii="Calibri" w:hAnsi="Calibri" w:cs="Calibri"/>
                <w:color w:val="000000"/>
                <w:sz w:val="20"/>
              </w:rPr>
              <w:t>.</w:t>
            </w:r>
            <w:r w:rsidRPr="00C42DC1">
              <w:rPr>
                <w:rFonts w:ascii="Calibri" w:hAnsi="Calibri" w:cs="Calibri"/>
                <w:color w:val="000000"/>
                <w:sz w:val="20"/>
              </w:rPr>
              <w:t>00%</w:t>
            </w:r>
          </w:p>
        </w:tc>
        <w:tc>
          <w:tcPr>
            <w:tcW w:w="1843" w:type="dxa"/>
            <w:vAlign w:val="bottom"/>
          </w:tcPr>
          <w:p w14:paraId="2F8FC38D" w14:textId="33644758" w:rsidR="00BD74F5" w:rsidRPr="00C42DC1"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C42DC1">
              <w:rPr>
                <w:rFonts w:ascii="Calibri" w:hAnsi="Calibri" w:cs="Calibri"/>
                <w:color w:val="000000"/>
                <w:sz w:val="20"/>
              </w:rPr>
              <w:t>100</w:t>
            </w:r>
            <w:r w:rsidR="005E1A1C">
              <w:rPr>
                <w:rFonts w:ascii="Calibri" w:hAnsi="Calibri" w:cs="Calibri"/>
                <w:color w:val="000000"/>
                <w:sz w:val="20"/>
              </w:rPr>
              <w:t>.</w:t>
            </w:r>
            <w:r w:rsidRPr="00C42DC1">
              <w:rPr>
                <w:rFonts w:ascii="Calibri" w:hAnsi="Calibri" w:cs="Calibri"/>
                <w:color w:val="000000"/>
                <w:sz w:val="20"/>
              </w:rPr>
              <w:t>00%</w:t>
            </w:r>
          </w:p>
        </w:tc>
        <w:tc>
          <w:tcPr>
            <w:tcW w:w="1843" w:type="dxa"/>
          </w:tcPr>
          <w:p w14:paraId="394DCB52" w14:textId="77777777" w:rsidR="00BD74F5" w:rsidRPr="00C42DC1"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rPr>
            </w:pPr>
            <w:r>
              <w:rPr>
                <w:rFonts w:ascii="Calibri" w:hAnsi="Calibri" w:cs="Calibri"/>
                <w:color w:val="000000"/>
                <w:sz w:val="20"/>
              </w:rPr>
              <w:t>N/A</w:t>
            </w:r>
          </w:p>
        </w:tc>
        <w:tc>
          <w:tcPr>
            <w:tcW w:w="2409" w:type="dxa"/>
          </w:tcPr>
          <w:p w14:paraId="787DCD1F" w14:textId="77777777" w:rsidR="00BD74F5" w:rsidRPr="00C42DC1"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rPr>
            </w:pPr>
            <w:r>
              <w:rPr>
                <w:rFonts w:ascii="Calibri" w:hAnsi="Calibri" w:cs="Calibri"/>
                <w:color w:val="000000"/>
                <w:sz w:val="20"/>
              </w:rPr>
              <w:t>N/A</w:t>
            </w:r>
          </w:p>
        </w:tc>
      </w:tr>
      <w:tr w:rsidR="00BD74F5" w:rsidRPr="00F2169F" w14:paraId="571F79FE" w14:textId="77777777" w:rsidTr="00FC4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6" w:type="dxa"/>
            <w:vAlign w:val="bottom"/>
          </w:tcPr>
          <w:p w14:paraId="7B2AA3BC" w14:textId="77777777" w:rsidR="00BD74F5" w:rsidRPr="003059D3" w:rsidRDefault="00BD74F5" w:rsidP="00FC4243">
            <w:pPr>
              <w:jc w:val="center"/>
              <w:rPr>
                <w:rFonts w:cstheme="minorHAnsi"/>
                <w:sz w:val="20"/>
                <w:szCs w:val="20"/>
                <w:lang w:val="en-US"/>
              </w:rPr>
            </w:pPr>
            <w:r>
              <w:rPr>
                <w:rFonts w:ascii="Calibri" w:hAnsi="Calibri" w:cs="Calibri"/>
                <w:color w:val="000000"/>
              </w:rPr>
              <w:t>FD</w:t>
            </w:r>
          </w:p>
        </w:tc>
        <w:tc>
          <w:tcPr>
            <w:tcW w:w="1781" w:type="dxa"/>
            <w:vAlign w:val="bottom"/>
          </w:tcPr>
          <w:p w14:paraId="2DD8666C" w14:textId="2A718E24" w:rsidR="00BD74F5" w:rsidRPr="00FF3E57"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sidRPr="00FF3E57">
              <w:rPr>
                <w:rFonts w:ascii="Calibri" w:hAnsi="Calibri" w:cs="Calibri"/>
                <w:color w:val="00B050"/>
                <w:sz w:val="20"/>
              </w:rPr>
              <w:t>73</w:t>
            </w:r>
            <w:r w:rsidR="005E1A1C">
              <w:rPr>
                <w:rFonts w:ascii="Calibri" w:hAnsi="Calibri" w:cs="Calibri"/>
                <w:color w:val="00B050"/>
                <w:sz w:val="20"/>
              </w:rPr>
              <w:t>.</w:t>
            </w:r>
            <w:r w:rsidRPr="00FF3E57">
              <w:rPr>
                <w:rFonts w:ascii="Calibri" w:hAnsi="Calibri" w:cs="Calibri"/>
                <w:color w:val="00B050"/>
                <w:sz w:val="20"/>
              </w:rPr>
              <w:t>61%</w:t>
            </w:r>
          </w:p>
        </w:tc>
        <w:tc>
          <w:tcPr>
            <w:tcW w:w="1843" w:type="dxa"/>
            <w:vAlign w:val="bottom"/>
          </w:tcPr>
          <w:p w14:paraId="61DE1247" w14:textId="40FA6D6E" w:rsidR="00BD74F5" w:rsidRPr="00FF3E57"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color w:val="00B050"/>
                <w:sz w:val="20"/>
                <w:szCs w:val="20"/>
                <w:lang w:val="en-US"/>
              </w:rPr>
            </w:pPr>
            <w:r w:rsidRPr="00FF3E57">
              <w:rPr>
                <w:rFonts w:ascii="Calibri" w:hAnsi="Calibri" w:cs="Calibri"/>
                <w:color w:val="00B050"/>
                <w:sz w:val="20"/>
              </w:rPr>
              <w:t>52</w:t>
            </w:r>
            <w:r w:rsidR="005E1A1C">
              <w:rPr>
                <w:rFonts w:ascii="Calibri" w:hAnsi="Calibri" w:cs="Calibri"/>
                <w:color w:val="00B050"/>
                <w:sz w:val="20"/>
              </w:rPr>
              <w:t>.</w:t>
            </w:r>
            <w:r w:rsidRPr="00FF3E57">
              <w:rPr>
                <w:rFonts w:ascii="Calibri" w:hAnsi="Calibri" w:cs="Calibri"/>
                <w:color w:val="00B050"/>
                <w:sz w:val="20"/>
              </w:rPr>
              <w:t>27%</w:t>
            </w:r>
          </w:p>
        </w:tc>
        <w:tc>
          <w:tcPr>
            <w:tcW w:w="1843" w:type="dxa"/>
          </w:tcPr>
          <w:p w14:paraId="1F700DDA" w14:textId="77777777" w:rsidR="00BD74F5" w:rsidRPr="00FF3E57" w:rsidRDefault="00BD74F5" w:rsidP="00FC424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B050"/>
                <w:sz w:val="20"/>
              </w:rPr>
            </w:pPr>
            <w:r>
              <w:rPr>
                <w:rFonts w:ascii="Calibri" w:hAnsi="Calibri" w:cs="Calibri"/>
                <w:color w:val="00B050"/>
                <w:sz w:val="20"/>
              </w:rPr>
              <w:t>Yes</w:t>
            </w:r>
          </w:p>
        </w:tc>
        <w:tc>
          <w:tcPr>
            <w:tcW w:w="2409" w:type="dxa"/>
          </w:tcPr>
          <w:p w14:paraId="28D038CB" w14:textId="77777777" w:rsidR="00BD74F5" w:rsidRPr="00FF3E57" w:rsidRDefault="00BD74F5" w:rsidP="00FC424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B050"/>
                <w:sz w:val="20"/>
              </w:rPr>
            </w:pPr>
            <w:r>
              <w:rPr>
                <w:rFonts w:ascii="Calibri" w:hAnsi="Calibri" w:cs="Calibri"/>
                <w:color w:val="00B050"/>
                <w:sz w:val="20"/>
              </w:rPr>
              <w:t>Yes</w:t>
            </w:r>
          </w:p>
        </w:tc>
      </w:tr>
      <w:tr w:rsidR="00BD74F5" w:rsidRPr="00F2169F" w14:paraId="5A3FCCD2" w14:textId="77777777" w:rsidTr="00FC4243">
        <w:tc>
          <w:tcPr>
            <w:cnfStyle w:val="001000000000" w:firstRow="0" w:lastRow="0" w:firstColumn="1" w:lastColumn="0" w:oddVBand="0" w:evenVBand="0" w:oddHBand="0" w:evenHBand="0" w:firstRowFirstColumn="0" w:firstRowLastColumn="0" w:lastRowFirstColumn="0" w:lastRowLastColumn="0"/>
            <w:tcW w:w="1196" w:type="dxa"/>
            <w:vAlign w:val="bottom"/>
          </w:tcPr>
          <w:p w14:paraId="6D97F297" w14:textId="77777777" w:rsidR="00BD74F5" w:rsidRPr="003059D3" w:rsidRDefault="00BD74F5" w:rsidP="00FC4243">
            <w:pPr>
              <w:jc w:val="center"/>
              <w:rPr>
                <w:rFonts w:cstheme="minorHAnsi"/>
                <w:sz w:val="20"/>
                <w:szCs w:val="20"/>
                <w:lang w:val="en-US"/>
              </w:rPr>
            </w:pPr>
            <w:r>
              <w:rPr>
                <w:sz w:val="20"/>
                <w:szCs w:val="20"/>
                <w:lang w:val="en-US"/>
              </w:rPr>
              <w:t>SAC</w:t>
            </w:r>
          </w:p>
        </w:tc>
        <w:tc>
          <w:tcPr>
            <w:tcW w:w="1781" w:type="dxa"/>
            <w:vAlign w:val="bottom"/>
          </w:tcPr>
          <w:p w14:paraId="79428B94" w14:textId="0B530B96" w:rsidR="00BD74F5" w:rsidRPr="00C42DC1"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00B050"/>
                <w:sz w:val="20"/>
                <w:szCs w:val="20"/>
                <w:lang w:val="en-US"/>
              </w:rPr>
            </w:pPr>
            <w:r w:rsidRPr="00FF3E57">
              <w:rPr>
                <w:rFonts w:ascii="Calibri" w:hAnsi="Calibri" w:cs="Calibri"/>
                <w:color w:val="00B050"/>
                <w:sz w:val="20"/>
              </w:rPr>
              <w:t>79</w:t>
            </w:r>
            <w:r w:rsidR="005E1A1C">
              <w:rPr>
                <w:rFonts w:ascii="Calibri" w:hAnsi="Calibri" w:cs="Calibri"/>
                <w:color w:val="00B050"/>
                <w:sz w:val="20"/>
              </w:rPr>
              <w:t>.</w:t>
            </w:r>
            <w:r w:rsidRPr="00FF3E57">
              <w:rPr>
                <w:rFonts w:ascii="Calibri" w:hAnsi="Calibri" w:cs="Calibri"/>
                <w:color w:val="00B050"/>
                <w:sz w:val="20"/>
              </w:rPr>
              <w:t>16%</w:t>
            </w:r>
          </w:p>
        </w:tc>
        <w:tc>
          <w:tcPr>
            <w:tcW w:w="1843" w:type="dxa"/>
            <w:vAlign w:val="bottom"/>
          </w:tcPr>
          <w:p w14:paraId="08F1AF5F" w14:textId="1772DDD9" w:rsidR="00BD74F5" w:rsidRPr="00C42DC1" w:rsidRDefault="00BD74F5" w:rsidP="00FC4243">
            <w:pPr>
              <w:jc w:val="center"/>
              <w:cnfStyle w:val="000000000000" w:firstRow="0" w:lastRow="0" w:firstColumn="0" w:lastColumn="0" w:oddVBand="0" w:evenVBand="0" w:oddHBand="0" w:evenHBand="0" w:firstRowFirstColumn="0" w:firstRowLastColumn="0" w:lastRowFirstColumn="0" w:lastRowLastColumn="0"/>
              <w:rPr>
                <w:rFonts w:cstheme="minorHAnsi"/>
                <w:color w:val="00B050"/>
                <w:sz w:val="20"/>
                <w:szCs w:val="20"/>
                <w:lang w:val="en-US"/>
              </w:rPr>
            </w:pPr>
            <w:r w:rsidRPr="00FF3E57">
              <w:rPr>
                <w:rFonts w:ascii="Calibri" w:hAnsi="Calibri" w:cs="Calibri"/>
                <w:color w:val="FF0000"/>
                <w:sz w:val="20"/>
              </w:rPr>
              <w:t>117</w:t>
            </w:r>
            <w:r w:rsidR="005E1A1C">
              <w:rPr>
                <w:rFonts w:ascii="Calibri" w:hAnsi="Calibri" w:cs="Calibri"/>
                <w:color w:val="FF0000"/>
                <w:sz w:val="20"/>
              </w:rPr>
              <w:t>.</w:t>
            </w:r>
            <w:r w:rsidRPr="00FF3E57">
              <w:rPr>
                <w:rFonts w:ascii="Calibri" w:hAnsi="Calibri" w:cs="Calibri"/>
                <w:color w:val="FF0000"/>
                <w:sz w:val="20"/>
              </w:rPr>
              <w:t>05%</w:t>
            </w:r>
          </w:p>
        </w:tc>
        <w:tc>
          <w:tcPr>
            <w:tcW w:w="1843" w:type="dxa"/>
          </w:tcPr>
          <w:p w14:paraId="3AE173B4" w14:textId="77777777" w:rsidR="00BD74F5" w:rsidRPr="00FF3E57"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rPr>
            </w:pPr>
            <w:proofErr w:type="spellStart"/>
            <w:r>
              <w:rPr>
                <w:rFonts w:ascii="Calibri" w:hAnsi="Calibri" w:cs="Calibri"/>
                <w:color w:val="FF0000"/>
                <w:sz w:val="20"/>
              </w:rPr>
              <w:t>No</w:t>
            </w:r>
            <w:proofErr w:type="spellEnd"/>
          </w:p>
        </w:tc>
        <w:tc>
          <w:tcPr>
            <w:tcW w:w="2409" w:type="dxa"/>
          </w:tcPr>
          <w:p w14:paraId="76208FF6" w14:textId="77777777" w:rsidR="00BD74F5" w:rsidRPr="00FF3E57" w:rsidRDefault="00BD74F5" w:rsidP="00FC424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FF0000"/>
                <w:sz w:val="20"/>
              </w:rPr>
            </w:pPr>
            <w:proofErr w:type="spellStart"/>
            <w:r>
              <w:rPr>
                <w:rFonts w:ascii="Calibri" w:hAnsi="Calibri" w:cs="Calibri"/>
                <w:color w:val="FF0000"/>
                <w:sz w:val="20"/>
              </w:rPr>
              <w:t>No</w:t>
            </w:r>
            <w:proofErr w:type="spellEnd"/>
          </w:p>
        </w:tc>
      </w:tr>
      <w:tr w:rsidR="00BD74F5" w:rsidRPr="00F2169F" w14:paraId="47BD816E" w14:textId="77777777" w:rsidTr="00FC4243">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196" w:type="dxa"/>
            <w:vAlign w:val="bottom"/>
          </w:tcPr>
          <w:p w14:paraId="5CA18940" w14:textId="77777777" w:rsidR="00BD74F5" w:rsidRPr="003059D3" w:rsidRDefault="00BD74F5" w:rsidP="00FC4243">
            <w:pPr>
              <w:jc w:val="center"/>
              <w:rPr>
                <w:rFonts w:cstheme="minorHAnsi"/>
                <w:sz w:val="20"/>
                <w:szCs w:val="20"/>
                <w:lang w:val="en-US"/>
              </w:rPr>
            </w:pPr>
            <w:r>
              <w:rPr>
                <w:rFonts w:ascii="Calibri" w:hAnsi="Calibri" w:cs="Calibri"/>
                <w:color w:val="000000"/>
              </w:rPr>
              <w:t>FDAC</w:t>
            </w:r>
          </w:p>
        </w:tc>
        <w:tc>
          <w:tcPr>
            <w:tcW w:w="1781" w:type="dxa"/>
            <w:vAlign w:val="bottom"/>
          </w:tcPr>
          <w:p w14:paraId="3C1B4AD8" w14:textId="4A6522EA" w:rsidR="00BD74F5" w:rsidRPr="00C42DC1" w:rsidRDefault="00BD74F5" w:rsidP="00FC4243">
            <w:pPr>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C42DC1">
              <w:rPr>
                <w:rFonts w:ascii="Calibri" w:hAnsi="Calibri" w:cs="Calibri"/>
                <w:color w:val="000000"/>
                <w:sz w:val="20"/>
              </w:rPr>
              <w:t>106</w:t>
            </w:r>
            <w:r w:rsidR="005E1A1C">
              <w:rPr>
                <w:rFonts w:ascii="Calibri" w:hAnsi="Calibri" w:cs="Calibri"/>
                <w:color w:val="000000"/>
                <w:sz w:val="20"/>
              </w:rPr>
              <w:t>.</w:t>
            </w:r>
            <w:r w:rsidRPr="00C42DC1">
              <w:rPr>
                <w:rFonts w:ascii="Calibri" w:hAnsi="Calibri" w:cs="Calibri"/>
                <w:color w:val="000000"/>
                <w:sz w:val="20"/>
              </w:rPr>
              <w:t>64%</w:t>
            </w:r>
          </w:p>
        </w:tc>
        <w:tc>
          <w:tcPr>
            <w:tcW w:w="1843" w:type="dxa"/>
            <w:vAlign w:val="bottom"/>
          </w:tcPr>
          <w:p w14:paraId="7E131E33" w14:textId="09856E00" w:rsidR="00BD74F5" w:rsidRPr="00C42DC1"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FF3E57">
              <w:rPr>
                <w:rFonts w:ascii="Calibri" w:hAnsi="Calibri" w:cs="Calibri"/>
                <w:color w:val="FF0000"/>
                <w:sz w:val="20"/>
              </w:rPr>
              <w:t>113</w:t>
            </w:r>
            <w:r w:rsidR="005E1A1C">
              <w:rPr>
                <w:rFonts w:ascii="Calibri" w:hAnsi="Calibri" w:cs="Calibri"/>
                <w:color w:val="FF0000"/>
                <w:sz w:val="20"/>
              </w:rPr>
              <w:t>.</w:t>
            </w:r>
            <w:r w:rsidRPr="00FF3E57">
              <w:rPr>
                <w:rFonts w:ascii="Calibri" w:hAnsi="Calibri" w:cs="Calibri"/>
                <w:color w:val="FF0000"/>
                <w:sz w:val="20"/>
              </w:rPr>
              <w:t>64%</w:t>
            </w:r>
          </w:p>
        </w:tc>
        <w:tc>
          <w:tcPr>
            <w:tcW w:w="1843" w:type="dxa"/>
          </w:tcPr>
          <w:p w14:paraId="3E7A93A6" w14:textId="77777777" w:rsidR="00BD74F5" w:rsidRPr="00FF3E57"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sz w:val="20"/>
              </w:rPr>
            </w:pPr>
            <w:proofErr w:type="spellStart"/>
            <w:r>
              <w:rPr>
                <w:rFonts w:ascii="Calibri" w:hAnsi="Calibri" w:cs="Calibri"/>
                <w:color w:val="FF0000"/>
                <w:sz w:val="20"/>
              </w:rPr>
              <w:t>No</w:t>
            </w:r>
            <w:proofErr w:type="spellEnd"/>
          </w:p>
        </w:tc>
        <w:tc>
          <w:tcPr>
            <w:tcW w:w="2409" w:type="dxa"/>
          </w:tcPr>
          <w:p w14:paraId="7F7F0A5D" w14:textId="77777777" w:rsidR="00BD74F5" w:rsidRPr="00FF3E57" w:rsidRDefault="00BD74F5" w:rsidP="00FC4243">
            <w:pPr>
              <w:keepNex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sz w:val="20"/>
              </w:rPr>
            </w:pPr>
            <w:proofErr w:type="spellStart"/>
            <w:r>
              <w:rPr>
                <w:rFonts w:ascii="Calibri" w:hAnsi="Calibri" w:cs="Calibri"/>
                <w:color w:val="FF0000"/>
                <w:sz w:val="20"/>
              </w:rPr>
              <w:t>No</w:t>
            </w:r>
            <w:commentRangeEnd w:id="21"/>
            <w:proofErr w:type="spellEnd"/>
            <w:r>
              <w:rPr>
                <w:rStyle w:val="Kommentarzeichen"/>
              </w:rPr>
              <w:commentReference w:id="21"/>
            </w:r>
          </w:p>
        </w:tc>
      </w:tr>
    </w:tbl>
    <w:p w14:paraId="4C1B2550" w14:textId="18376F61" w:rsidR="00BD74F5" w:rsidRPr="00FF3E57" w:rsidRDefault="00BD74F5" w:rsidP="00BD74F5">
      <w:pPr>
        <w:pStyle w:val="Beschriftung"/>
        <w:framePr w:h="676" w:hRule="exact" w:hSpace="180" w:wrap="around" w:vAnchor="text" w:hAnchor="page" w:x="1396" w:y="3566"/>
        <w:jc w:val="center"/>
        <w:rPr>
          <w:lang w:val="en-US"/>
        </w:rPr>
      </w:pPr>
      <w:bookmarkStart w:id="22" w:name="_Ref173323464"/>
      <w:r w:rsidRPr="00FF3E57">
        <w:rPr>
          <w:lang w:val="en-US"/>
        </w:rPr>
        <w:t>Tab</w:t>
      </w:r>
      <w:r w:rsidR="00E86CD0">
        <w:rPr>
          <w:lang w:val="en-US"/>
        </w:rPr>
        <w:t>.S</w:t>
      </w:r>
      <w:bookmarkEnd w:id="22"/>
      <w:r w:rsidR="00E86CD0">
        <w:rPr>
          <w:lang w:val="en-US"/>
        </w:rPr>
        <w:t>7</w:t>
      </w:r>
      <w:r w:rsidRPr="00FF3E57">
        <w:rPr>
          <w:lang w:val="en-US"/>
        </w:rPr>
        <w:t xml:space="preserve">: </w:t>
      </w:r>
      <w:r w:rsidRPr="002519D1">
        <w:rPr>
          <w:lang w:val="en-US"/>
        </w:rPr>
        <w:t>Relative values of t</w:t>
      </w:r>
      <w:r>
        <w:rPr>
          <w:lang w:val="en-US"/>
        </w:rPr>
        <w:t xml:space="preserve">he used techniques for embolization treatment of the </w:t>
      </w:r>
      <w:r w:rsidRPr="009F7833">
        <w:rPr>
          <w:rFonts w:cstheme="minorHAnsi"/>
          <w:szCs w:val="20"/>
          <w:lang w:val="en-US"/>
        </w:rPr>
        <w:t xml:space="preserve">Vertebral artery </w:t>
      </w:r>
      <w:r>
        <w:rPr>
          <w:lang w:val="en-US"/>
        </w:rPr>
        <w:t>with saccular and fusiform aneurysm types. Values in green: Saving potential as a percentage of CEs’ baseline value. This accounts vice versa for the red values.</w:t>
      </w:r>
    </w:p>
    <w:p w14:paraId="4EF6A119" w14:textId="77777777" w:rsidR="007F55E0" w:rsidRDefault="007F55E0"/>
    <w:sectPr w:rsidR="007F55E0">
      <w:pgSz w:w="11906" w:h="16838"/>
      <w:pgMar w:top="1417" w:right="1417" w:bottom="1134"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8" w:author="Schareck, Constantin" w:date="2025-08-28T11:12:00Z" w:initials="SC">
    <w:p w14:paraId="4424A3B3" w14:textId="77777777" w:rsidR="0084270F" w:rsidRDefault="0084270F" w:rsidP="00BD74F5">
      <w:pPr>
        <w:pStyle w:val="Kommentartext"/>
        <w:rPr>
          <w:rFonts w:cstheme="minorHAnsi"/>
          <w:lang w:val="en-US"/>
        </w:rPr>
      </w:pPr>
      <w:r>
        <w:rPr>
          <w:rStyle w:val="Kommentarzeichen"/>
        </w:rPr>
        <w:annotationRef/>
      </w:r>
      <w:r w:rsidRPr="005F6A76">
        <w:rPr>
          <w:lang w:val="en-US"/>
        </w:rPr>
        <w:t xml:space="preserve">Deleted </w:t>
      </w:r>
      <w:proofErr w:type="spellStart"/>
      <w:proofErr w:type="gramStart"/>
      <w:r>
        <w:rPr>
          <w:lang w:val="en-US"/>
        </w:rPr>
        <w:t>Colum“</w:t>
      </w:r>
      <w:proofErr w:type="gramEnd"/>
      <w:r w:rsidRPr="00667501">
        <w:rPr>
          <w:rFonts w:cstheme="minorHAnsi"/>
          <w:lang w:val="en-US"/>
        </w:rPr>
        <w:t>Relative</w:t>
      </w:r>
      <w:proofErr w:type="spellEnd"/>
      <w:r w:rsidRPr="00667501">
        <w:rPr>
          <w:rFonts w:cstheme="minorHAnsi"/>
          <w:lang w:val="en-US"/>
        </w:rPr>
        <w:t xml:space="preserve"> </w:t>
      </w:r>
      <w:proofErr w:type="spellStart"/>
      <w:r w:rsidRPr="00667501">
        <w:rPr>
          <w:rFonts w:cstheme="minorHAnsi"/>
          <w:lang w:val="en-US"/>
        </w:rPr>
        <w:t>Recordnumber</w:t>
      </w:r>
      <w:proofErr w:type="spellEnd"/>
      <w:r w:rsidRPr="00667501">
        <w:rPr>
          <w:rFonts w:cstheme="minorHAnsi"/>
          <w:lang w:val="en-US"/>
        </w:rPr>
        <w:t xml:space="preserve"> compared to the absolute record number for each technique</w:t>
      </w:r>
      <w:r>
        <w:rPr>
          <w:rFonts w:cstheme="minorHAnsi"/>
          <w:lang w:val="en-US"/>
        </w:rPr>
        <w:t xml:space="preserve">” and </w:t>
      </w:r>
      <w:r w:rsidRPr="00DC20FA">
        <w:rPr>
          <w:rFonts w:cstheme="minorHAnsi"/>
          <w:lang w:val="en-US"/>
        </w:rPr>
        <w:t xml:space="preserve">Relative Recordnumber compared to the </w:t>
      </w:r>
      <w:r w:rsidRPr="00F9410D">
        <w:rPr>
          <w:rFonts w:cstheme="minorHAnsi"/>
          <w:lang w:val="en-US"/>
        </w:rPr>
        <w:t>absolute Number of Records for a datasubset</w:t>
      </w:r>
    </w:p>
    <w:p w14:paraId="4CA8E6D4" w14:textId="77777777" w:rsidR="0084270F" w:rsidRPr="000D4A76" w:rsidRDefault="0084270F" w:rsidP="00BD74F5">
      <w:pPr>
        <w:pStyle w:val="Kommentartext"/>
        <w:rPr>
          <w:lang w:val="en-US"/>
        </w:rPr>
      </w:pPr>
      <w:r>
        <w:rPr>
          <w:lang w:val="en-US"/>
        </w:rPr>
        <w:t>Changed order to be similar to the order introduced in the first table of the overall technique overview</w:t>
      </w:r>
    </w:p>
  </w:comment>
  <w:comment w:id="13" w:author="Schareck, Constantin" w:date="2025-08-28T12:02:00Z" w:initials="SC">
    <w:p w14:paraId="06AC23B8" w14:textId="77777777" w:rsidR="0084270F" w:rsidRDefault="0084270F" w:rsidP="00BD74F5">
      <w:pPr>
        <w:pStyle w:val="Kommentartext"/>
        <w:rPr>
          <w:rFonts w:cstheme="minorHAnsi"/>
          <w:lang w:val="en-US"/>
        </w:rPr>
      </w:pPr>
      <w:r>
        <w:rPr>
          <w:rStyle w:val="Kommentarzeichen"/>
        </w:rPr>
        <w:annotationRef/>
      </w:r>
      <w:r w:rsidRPr="005F6A76">
        <w:rPr>
          <w:lang w:val="en-US"/>
        </w:rPr>
        <w:t xml:space="preserve">Deleted </w:t>
      </w:r>
      <w:proofErr w:type="spellStart"/>
      <w:proofErr w:type="gramStart"/>
      <w:r>
        <w:rPr>
          <w:lang w:val="en-US"/>
        </w:rPr>
        <w:t>Colum“</w:t>
      </w:r>
      <w:proofErr w:type="gramEnd"/>
      <w:r w:rsidRPr="00667501">
        <w:rPr>
          <w:rFonts w:cstheme="minorHAnsi"/>
          <w:lang w:val="en-US"/>
        </w:rPr>
        <w:t>Relative</w:t>
      </w:r>
      <w:proofErr w:type="spellEnd"/>
      <w:r w:rsidRPr="00667501">
        <w:rPr>
          <w:rFonts w:cstheme="minorHAnsi"/>
          <w:lang w:val="en-US"/>
        </w:rPr>
        <w:t xml:space="preserve"> </w:t>
      </w:r>
      <w:proofErr w:type="spellStart"/>
      <w:r w:rsidRPr="00667501">
        <w:rPr>
          <w:rFonts w:cstheme="minorHAnsi"/>
          <w:lang w:val="en-US"/>
        </w:rPr>
        <w:t>Recordnumber</w:t>
      </w:r>
      <w:proofErr w:type="spellEnd"/>
      <w:r w:rsidRPr="00667501">
        <w:rPr>
          <w:rFonts w:cstheme="minorHAnsi"/>
          <w:lang w:val="en-US"/>
        </w:rPr>
        <w:t xml:space="preserve"> compared to the absolute record number for each technique</w:t>
      </w:r>
      <w:r>
        <w:rPr>
          <w:rFonts w:cstheme="minorHAnsi"/>
          <w:lang w:val="en-US"/>
        </w:rPr>
        <w:t xml:space="preserve">” and </w:t>
      </w:r>
      <w:r w:rsidRPr="00DC20FA">
        <w:rPr>
          <w:rFonts w:cstheme="minorHAnsi"/>
          <w:lang w:val="en-US"/>
        </w:rPr>
        <w:t xml:space="preserve">Relative Recordnumber compared to the </w:t>
      </w:r>
      <w:r w:rsidRPr="00F9410D">
        <w:rPr>
          <w:rFonts w:cstheme="minorHAnsi"/>
          <w:lang w:val="en-US"/>
        </w:rPr>
        <w:t>absolute Number of Records for a datasubset</w:t>
      </w:r>
    </w:p>
    <w:p w14:paraId="14E2EF03" w14:textId="77777777" w:rsidR="0084270F" w:rsidRPr="00527A94" w:rsidRDefault="0084270F" w:rsidP="00BD74F5">
      <w:pPr>
        <w:pStyle w:val="Kommentartext"/>
        <w:rPr>
          <w:lang w:val="en-US"/>
        </w:rPr>
      </w:pPr>
      <w:r>
        <w:rPr>
          <w:lang w:val="en-US"/>
        </w:rPr>
        <w:t>Changed order to be similar to the order introduced in the first table of the overall technique overview</w:t>
      </w:r>
    </w:p>
  </w:comment>
  <w:comment w:id="17" w:author="Schareck, Constantin" w:date="2025-08-28T12:15:00Z" w:initials="SC">
    <w:p w14:paraId="60F7FD29" w14:textId="77777777" w:rsidR="0084270F" w:rsidRDefault="0084270F" w:rsidP="00BD74F5">
      <w:pPr>
        <w:pStyle w:val="Kommentartext"/>
        <w:rPr>
          <w:rFonts w:cstheme="minorHAnsi"/>
          <w:lang w:val="en-US"/>
        </w:rPr>
      </w:pPr>
      <w:r>
        <w:rPr>
          <w:rStyle w:val="Kommentarzeichen"/>
        </w:rPr>
        <w:annotationRef/>
      </w:r>
      <w:r w:rsidRPr="005F6A76">
        <w:rPr>
          <w:lang w:val="en-US"/>
        </w:rPr>
        <w:t xml:space="preserve">Deleted </w:t>
      </w:r>
      <w:proofErr w:type="spellStart"/>
      <w:proofErr w:type="gramStart"/>
      <w:r>
        <w:rPr>
          <w:lang w:val="en-US"/>
        </w:rPr>
        <w:t>Colum“</w:t>
      </w:r>
      <w:proofErr w:type="gramEnd"/>
      <w:r w:rsidRPr="00667501">
        <w:rPr>
          <w:rFonts w:cstheme="minorHAnsi"/>
          <w:lang w:val="en-US"/>
        </w:rPr>
        <w:t>Relative</w:t>
      </w:r>
      <w:proofErr w:type="spellEnd"/>
      <w:r w:rsidRPr="00667501">
        <w:rPr>
          <w:rFonts w:cstheme="minorHAnsi"/>
          <w:lang w:val="en-US"/>
        </w:rPr>
        <w:t xml:space="preserve"> </w:t>
      </w:r>
      <w:proofErr w:type="spellStart"/>
      <w:r w:rsidRPr="00667501">
        <w:rPr>
          <w:rFonts w:cstheme="minorHAnsi"/>
          <w:lang w:val="en-US"/>
        </w:rPr>
        <w:t>Recordnumber</w:t>
      </w:r>
      <w:proofErr w:type="spellEnd"/>
      <w:r w:rsidRPr="00667501">
        <w:rPr>
          <w:rFonts w:cstheme="minorHAnsi"/>
          <w:lang w:val="en-US"/>
        </w:rPr>
        <w:t xml:space="preserve"> compared to the absolute record number for each technique</w:t>
      </w:r>
      <w:r>
        <w:rPr>
          <w:rFonts w:cstheme="minorHAnsi"/>
          <w:lang w:val="en-US"/>
        </w:rPr>
        <w:t xml:space="preserve">” and </w:t>
      </w:r>
      <w:r w:rsidRPr="00DC20FA">
        <w:rPr>
          <w:rFonts w:cstheme="minorHAnsi"/>
          <w:lang w:val="en-US"/>
        </w:rPr>
        <w:t xml:space="preserve">Relative Recordnumber compared to the </w:t>
      </w:r>
      <w:r w:rsidRPr="00F9410D">
        <w:rPr>
          <w:rFonts w:cstheme="minorHAnsi"/>
          <w:lang w:val="en-US"/>
        </w:rPr>
        <w:t>absolute Number of Records for a datasubset</w:t>
      </w:r>
    </w:p>
    <w:p w14:paraId="24B7FB24" w14:textId="77777777" w:rsidR="0084270F" w:rsidRPr="00FB224F" w:rsidRDefault="0084270F" w:rsidP="00BD74F5">
      <w:pPr>
        <w:pStyle w:val="Kommentartext"/>
        <w:rPr>
          <w:lang w:val="en-US"/>
        </w:rPr>
      </w:pPr>
      <w:r>
        <w:rPr>
          <w:lang w:val="en-US"/>
        </w:rPr>
        <w:t>Changed order to be similar to the order introduced in the first table of the overall technique overview</w:t>
      </w:r>
    </w:p>
  </w:comment>
  <w:comment w:id="21" w:author="Schareck, Constantin" w:date="2025-08-28T13:18:00Z" w:initials="SC">
    <w:p w14:paraId="412A6779" w14:textId="77777777" w:rsidR="0084270F" w:rsidRDefault="0084270F" w:rsidP="00BD74F5">
      <w:pPr>
        <w:pStyle w:val="Kommentartext"/>
        <w:rPr>
          <w:rFonts w:cstheme="minorHAnsi"/>
          <w:lang w:val="en-US"/>
        </w:rPr>
      </w:pPr>
      <w:r>
        <w:rPr>
          <w:rStyle w:val="Kommentarzeichen"/>
        </w:rPr>
        <w:annotationRef/>
      </w:r>
      <w:r w:rsidRPr="005F6A76">
        <w:rPr>
          <w:lang w:val="en-US"/>
        </w:rPr>
        <w:t xml:space="preserve">Deleted </w:t>
      </w:r>
      <w:proofErr w:type="spellStart"/>
      <w:proofErr w:type="gramStart"/>
      <w:r>
        <w:rPr>
          <w:lang w:val="en-US"/>
        </w:rPr>
        <w:t>Colum“</w:t>
      </w:r>
      <w:proofErr w:type="gramEnd"/>
      <w:r w:rsidRPr="00667501">
        <w:rPr>
          <w:rFonts w:cstheme="minorHAnsi"/>
          <w:lang w:val="en-US"/>
        </w:rPr>
        <w:t>Relative</w:t>
      </w:r>
      <w:proofErr w:type="spellEnd"/>
      <w:r w:rsidRPr="00667501">
        <w:rPr>
          <w:rFonts w:cstheme="minorHAnsi"/>
          <w:lang w:val="en-US"/>
        </w:rPr>
        <w:t xml:space="preserve"> </w:t>
      </w:r>
      <w:proofErr w:type="spellStart"/>
      <w:r w:rsidRPr="00667501">
        <w:rPr>
          <w:rFonts w:cstheme="minorHAnsi"/>
          <w:lang w:val="en-US"/>
        </w:rPr>
        <w:t>Recordnumber</w:t>
      </w:r>
      <w:proofErr w:type="spellEnd"/>
      <w:r w:rsidRPr="00667501">
        <w:rPr>
          <w:rFonts w:cstheme="minorHAnsi"/>
          <w:lang w:val="en-US"/>
        </w:rPr>
        <w:t xml:space="preserve"> compared to the absolute record number for each technique</w:t>
      </w:r>
      <w:r>
        <w:rPr>
          <w:rFonts w:cstheme="minorHAnsi"/>
          <w:lang w:val="en-US"/>
        </w:rPr>
        <w:t xml:space="preserve">” and </w:t>
      </w:r>
      <w:r w:rsidRPr="00DC20FA">
        <w:rPr>
          <w:rFonts w:cstheme="minorHAnsi"/>
          <w:lang w:val="en-US"/>
        </w:rPr>
        <w:t xml:space="preserve">Relative Recordnumber compared to the </w:t>
      </w:r>
      <w:r w:rsidRPr="00F9410D">
        <w:rPr>
          <w:rFonts w:cstheme="minorHAnsi"/>
          <w:lang w:val="en-US"/>
        </w:rPr>
        <w:t>absolute Number of Records for a datasubset</w:t>
      </w:r>
    </w:p>
    <w:p w14:paraId="12D06D2B" w14:textId="77777777" w:rsidR="0084270F" w:rsidRPr="00456855" w:rsidRDefault="0084270F" w:rsidP="00BD74F5">
      <w:pPr>
        <w:pStyle w:val="Kommentartext"/>
        <w:rPr>
          <w:lang w:val="en-US"/>
        </w:rPr>
      </w:pPr>
      <w:r>
        <w:rPr>
          <w:lang w:val="en-US"/>
        </w:rPr>
        <w:t>Changed order to be similar to the order introduced in the first table of the overall technique overview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CA8E6D4" w15:done="0"/>
  <w15:commentEx w15:paraId="14E2EF03" w15:done="0"/>
  <w15:commentEx w15:paraId="24B7FB24" w15:done="0"/>
  <w15:commentEx w15:paraId="12D06D2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CA8E6D4" w16cid:durableId="2C5AB829"/>
  <w16cid:commentId w16cid:paraId="14E2EF03" w16cid:durableId="2C5AC3BA"/>
  <w16cid:commentId w16cid:paraId="24B7FB24" w16cid:durableId="2C5AC6D9"/>
  <w16cid:commentId w16cid:paraId="12D06D2B" w16cid:durableId="2C5AD5A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250F5"/>
    <w:multiLevelType w:val="hybridMultilevel"/>
    <w:tmpl w:val="E1DC5C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3F4E00"/>
    <w:multiLevelType w:val="hybridMultilevel"/>
    <w:tmpl w:val="78E80192"/>
    <w:lvl w:ilvl="0" w:tplc="CA5479A0">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5E577B"/>
    <w:multiLevelType w:val="hybridMultilevel"/>
    <w:tmpl w:val="CD26A7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743064"/>
    <w:multiLevelType w:val="hybridMultilevel"/>
    <w:tmpl w:val="C84CAF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35742F4"/>
    <w:multiLevelType w:val="multilevel"/>
    <w:tmpl w:val="7C7E7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3"/>
  </w:num>
  <w:num w:numId="4">
    <w:abstractNumId w:val="2"/>
  </w:num>
  <w:num w:numId="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chareck, Constantin">
    <w15:presenceInfo w15:providerId="AD" w15:userId="S-1-5-21-141337351-842245563-3214328492-920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BC4"/>
    <w:rsid w:val="003C3804"/>
    <w:rsid w:val="0044424F"/>
    <w:rsid w:val="00452DD2"/>
    <w:rsid w:val="004655AA"/>
    <w:rsid w:val="005E1A1C"/>
    <w:rsid w:val="006E1136"/>
    <w:rsid w:val="006E5028"/>
    <w:rsid w:val="006F296C"/>
    <w:rsid w:val="007D0D28"/>
    <w:rsid w:val="007F55E0"/>
    <w:rsid w:val="0084270F"/>
    <w:rsid w:val="008E1BC4"/>
    <w:rsid w:val="00BD74F5"/>
    <w:rsid w:val="00C67574"/>
    <w:rsid w:val="00D81FAC"/>
    <w:rsid w:val="00E86CD0"/>
    <w:rsid w:val="00E937F9"/>
    <w:rsid w:val="00FC424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C27B4"/>
  <w15:chartTrackingRefBased/>
  <w15:docId w15:val="{2F559592-E341-47B0-8331-FC83B69C3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BD74F5"/>
    <w:pPr>
      <w:spacing w:after="80" w:line="240"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Endnotentext">
    <w:name w:val="endnote text"/>
    <w:basedOn w:val="Standard"/>
    <w:link w:val="EndnotentextZchn"/>
    <w:uiPriority w:val="99"/>
    <w:semiHidden/>
    <w:unhideWhenUsed/>
    <w:rsid w:val="00BD74F5"/>
    <w:pPr>
      <w:spacing w:after="0"/>
    </w:pPr>
    <w:rPr>
      <w:sz w:val="20"/>
      <w:szCs w:val="20"/>
    </w:rPr>
  </w:style>
  <w:style w:type="character" w:customStyle="1" w:styleId="EndnotentextZchn">
    <w:name w:val="Endnotentext Zchn"/>
    <w:basedOn w:val="Absatz-Standardschriftart"/>
    <w:link w:val="Endnotentext"/>
    <w:uiPriority w:val="99"/>
    <w:semiHidden/>
    <w:rsid w:val="00BD74F5"/>
    <w:rPr>
      <w:sz w:val="20"/>
      <w:szCs w:val="20"/>
    </w:rPr>
  </w:style>
  <w:style w:type="character" w:styleId="Endnotenzeichen">
    <w:name w:val="endnote reference"/>
    <w:basedOn w:val="Absatz-Standardschriftart"/>
    <w:uiPriority w:val="99"/>
    <w:semiHidden/>
    <w:unhideWhenUsed/>
    <w:rsid w:val="00BD74F5"/>
    <w:rPr>
      <w:vertAlign w:val="superscript"/>
    </w:rPr>
  </w:style>
  <w:style w:type="paragraph" w:styleId="Funotentext">
    <w:name w:val="footnote text"/>
    <w:basedOn w:val="Standard"/>
    <w:link w:val="FunotentextZchn"/>
    <w:uiPriority w:val="99"/>
    <w:semiHidden/>
    <w:unhideWhenUsed/>
    <w:rsid w:val="00BD74F5"/>
    <w:pPr>
      <w:spacing w:after="0"/>
    </w:pPr>
    <w:rPr>
      <w:sz w:val="20"/>
      <w:szCs w:val="20"/>
    </w:rPr>
  </w:style>
  <w:style w:type="character" w:customStyle="1" w:styleId="FunotentextZchn">
    <w:name w:val="Fußnotentext Zchn"/>
    <w:basedOn w:val="Absatz-Standardschriftart"/>
    <w:link w:val="Funotentext"/>
    <w:uiPriority w:val="99"/>
    <w:semiHidden/>
    <w:rsid w:val="00BD74F5"/>
    <w:rPr>
      <w:sz w:val="20"/>
      <w:szCs w:val="20"/>
    </w:rPr>
  </w:style>
  <w:style w:type="character" w:styleId="Funotenzeichen">
    <w:name w:val="footnote reference"/>
    <w:basedOn w:val="Absatz-Standardschriftart"/>
    <w:uiPriority w:val="99"/>
    <w:semiHidden/>
    <w:unhideWhenUsed/>
    <w:rsid w:val="00BD74F5"/>
    <w:rPr>
      <w:vertAlign w:val="superscript"/>
    </w:rPr>
  </w:style>
  <w:style w:type="paragraph" w:styleId="Kopfzeile">
    <w:name w:val="header"/>
    <w:basedOn w:val="Standard"/>
    <w:link w:val="KopfzeileZchn"/>
    <w:uiPriority w:val="99"/>
    <w:unhideWhenUsed/>
    <w:rsid w:val="00BD74F5"/>
    <w:pPr>
      <w:tabs>
        <w:tab w:val="center" w:pos="4536"/>
        <w:tab w:val="right" w:pos="9072"/>
      </w:tabs>
      <w:spacing w:after="0"/>
    </w:pPr>
  </w:style>
  <w:style w:type="character" w:customStyle="1" w:styleId="KopfzeileZchn">
    <w:name w:val="Kopfzeile Zchn"/>
    <w:basedOn w:val="Absatz-Standardschriftart"/>
    <w:link w:val="Kopfzeile"/>
    <w:uiPriority w:val="99"/>
    <w:rsid w:val="00BD74F5"/>
  </w:style>
  <w:style w:type="paragraph" w:styleId="Fuzeile">
    <w:name w:val="footer"/>
    <w:basedOn w:val="Standard"/>
    <w:link w:val="FuzeileZchn"/>
    <w:uiPriority w:val="99"/>
    <w:unhideWhenUsed/>
    <w:rsid w:val="00BD74F5"/>
    <w:pPr>
      <w:tabs>
        <w:tab w:val="center" w:pos="4536"/>
        <w:tab w:val="right" w:pos="9072"/>
      </w:tabs>
      <w:spacing w:after="0"/>
    </w:pPr>
  </w:style>
  <w:style w:type="character" w:customStyle="1" w:styleId="FuzeileZchn">
    <w:name w:val="Fußzeile Zchn"/>
    <w:basedOn w:val="Absatz-Standardschriftart"/>
    <w:link w:val="Fuzeile"/>
    <w:uiPriority w:val="99"/>
    <w:rsid w:val="00BD74F5"/>
  </w:style>
  <w:style w:type="character" w:styleId="Hyperlink">
    <w:name w:val="Hyperlink"/>
    <w:basedOn w:val="Absatz-Standardschriftart"/>
    <w:uiPriority w:val="99"/>
    <w:unhideWhenUsed/>
    <w:rsid w:val="00BD74F5"/>
    <w:rPr>
      <w:color w:val="0563C1" w:themeColor="hyperlink"/>
      <w:u w:val="single"/>
    </w:rPr>
  </w:style>
  <w:style w:type="character" w:customStyle="1" w:styleId="NichtaufgelsteErwhnung1">
    <w:name w:val="Nicht aufgelöste Erwähnung1"/>
    <w:basedOn w:val="Absatz-Standardschriftart"/>
    <w:uiPriority w:val="99"/>
    <w:semiHidden/>
    <w:unhideWhenUsed/>
    <w:rsid w:val="00BD74F5"/>
    <w:rPr>
      <w:color w:val="605E5C"/>
      <w:shd w:val="clear" w:color="auto" w:fill="E1DFDD"/>
    </w:rPr>
  </w:style>
  <w:style w:type="character" w:styleId="Platzhaltertext">
    <w:name w:val="Placeholder Text"/>
    <w:basedOn w:val="Absatz-Standardschriftart"/>
    <w:uiPriority w:val="99"/>
    <w:semiHidden/>
    <w:rsid w:val="00BD74F5"/>
    <w:rPr>
      <w:color w:val="808080"/>
    </w:rPr>
  </w:style>
  <w:style w:type="paragraph" w:customStyle="1" w:styleId="EndNoteBibliographyTitle">
    <w:name w:val="EndNote Bibliography Title"/>
    <w:basedOn w:val="Standard"/>
    <w:link w:val="EndNoteBibliographyTitleZchn"/>
    <w:rsid w:val="00BD74F5"/>
    <w:pPr>
      <w:spacing w:after="0"/>
      <w:jc w:val="center"/>
    </w:pPr>
    <w:rPr>
      <w:rFonts w:ascii="Calibri" w:hAnsi="Calibri" w:cs="Calibri"/>
      <w:noProof/>
      <w:lang w:val="en-US"/>
    </w:rPr>
  </w:style>
  <w:style w:type="character" w:customStyle="1" w:styleId="EndNoteBibliographyTitleZchn">
    <w:name w:val="EndNote Bibliography Title Zchn"/>
    <w:basedOn w:val="Absatz-Standardschriftart"/>
    <w:link w:val="EndNoteBibliographyTitle"/>
    <w:rsid w:val="00BD74F5"/>
    <w:rPr>
      <w:rFonts w:ascii="Calibri" w:hAnsi="Calibri" w:cs="Calibri"/>
      <w:noProof/>
      <w:lang w:val="en-US"/>
    </w:rPr>
  </w:style>
  <w:style w:type="paragraph" w:customStyle="1" w:styleId="EndNoteBibliography">
    <w:name w:val="EndNote Bibliography"/>
    <w:basedOn w:val="Standard"/>
    <w:link w:val="EndNoteBibliographyZchn"/>
    <w:rsid w:val="00BD74F5"/>
    <w:rPr>
      <w:rFonts w:ascii="Calibri" w:hAnsi="Calibri" w:cs="Calibri"/>
      <w:noProof/>
      <w:lang w:val="en-US"/>
    </w:rPr>
  </w:style>
  <w:style w:type="character" w:customStyle="1" w:styleId="EndNoteBibliographyZchn">
    <w:name w:val="EndNote Bibliography Zchn"/>
    <w:basedOn w:val="Absatz-Standardschriftart"/>
    <w:link w:val="EndNoteBibliography"/>
    <w:rsid w:val="00BD74F5"/>
    <w:rPr>
      <w:rFonts w:ascii="Calibri" w:hAnsi="Calibri" w:cs="Calibri"/>
      <w:noProof/>
      <w:lang w:val="en-US"/>
    </w:rPr>
  </w:style>
  <w:style w:type="paragraph" w:customStyle="1" w:styleId="Default">
    <w:name w:val="Default"/>
    <w:rsid w:val="00BD74F5"/>
    <w:pPr>
      <w:autoSpaceDE w:val="0"/>
      <w:autoSpaceDN w:val="0"/>
      <w:adjustRightInd w:val="0"/>
      <w:spacing w:after="0" w:line="240" w:lineRule="auto"/>
    </w:pPr>
    <w:rPr>
      <w:rFonts w:ascii="Calibri" w:hAnsi="Calibri" w:cs="Calibri"/>
      <w:color w:val="000000"/>
      <w:sz w:val="24"/>
      <w:szCs w:val="24"/>
      <w:lang w:val="en-US"/>
    </w:rPr>
  </w:style>
  <w:style w:type="table" w:styleId="Tabellenraster">
    <w:name w:val="Table Grid"/>
    <w:basedOn w:val="NormaleTabelle"/>
    <w:uiPriority w:val="39"/>
    <w:rsid w:val="00BD74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EinfacheTabelle5">
    <w:name w:val="Plain Table 5"/>
    <w:basedOn w:val="NormaleTabelle"/>
    <w:uiPriority w:val="45"/>
    <w:rsid w:val="00BD74F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emithellemGitternetz">
    <w:name w:val="Grid Table Light"/>
    <w:basedOn w:val="NormaleTabelle"/>
    <w:uiPriority w:val="40"/>
    <w:rsid w:val="00BD74F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EinfacheTabelle3">
    <w:name w:val="Plain Table 3"/>
    <w:basedOn w:val="NormaleTabelle"/>
    <w:uiPriority w:val="43"/>
    <w:rsid w:val="00BD74F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Beschriftung">
    <w:name w:val="caption"/>
    <w:basedOn w:val="Standard"/>
    <w:next w:val="Standard"/>
    <w:uiPriority w:val="35"/>
    <w:unhideWhenUsed/>
    <w:qFormat/>
    <w:rsid w:val="00BD74F5"/>
    <w:pPr>
      <w:spacing w:after="200"/>
    </w:pPr>
    <w:rPr>
      <w:i/>
      <w:iCs/>
      <w:color w:val="44546A" w:themeColor="text2"/>
      <w:sz w:val="18"/>
      <w:szCs w:val="18"/>
    </w:rPr>
  </w:style>
  <w:style w:type="paragraph" w:styleId="Sprechblasentext">
    <w:name w:val="Balloon Text"/>
    <w:basedOn w:val="Standard"/>
    <w:link w:val="SprechblasentextZchn"/>
    <w:uiPriority w:val="99"/>
    <w:semiHidden/>
    <w:unhideWhenUsed/>
    <w:rsid w:val="00BD74F5"/>
    <w:pPr>
      <w:spacing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D74F5"/>
    <w:rPr>
      <w:rFonts w:ascii="Segoe UI" w:hAnsi="Segoe UI" w:cs="Segoe UI"/>
      <w:sz w:val="18"/>
      <w:szCs w:val="18"/>
    </w:rPr>
  </w:style>
  <w:style w:type="character" w:styleId="Kommentarzeichen">
    <w:name w:val="annotation reference"/>
    <w:basedOn w:val="Absatz-Standardschriftart"/>
    <w:uiPriority w:val="99"/>
    <w:semiHidden/>
    <w:unhideWhenUsed/>
    <w:rsid w:val="00BD74F5"/>
    <w:rPr>
      <w:sz w:val="16"/>
      <w:szCs w:val="16"/>
    </w:rPr>
  </w:style>
  <w:style w:type="paragraph" w:styleId="Kommentartext">
    <w:name w:val="annotation text"/>
    <w:basedOn w:val="Standard"/>
    <w:link w:val="KommentartextZchn"/>
    <w:uiPriority w:val="99"/>
    <w:semiHidden/>
    <w:unhideWhenUsed/>
    <w:rsid w:val="00BD74F5"/>
    <w:rPr>
      <w:sz w:val="20"/>
      <w:szCs w:val="20"/>
    </w:rPr>
  </w:style>
  <w:style w:type="character" w:customStyle="1" w:styleId="KommentartextZchn">
    <w:name w:val="Kommentartext Zchn"/>
    <w:basedOn w:val="Absatz-Standardschriftart"/>
    <w:link w:val="Kommentartext"/>
    <w:uiPriority w:val="99"/>
    <w:semiHidden/>
    <w:rsid w:val="00BD74F5"/>
    <w:rPr>
      <w:sz w:val="20"/>
      <w:szCs w:val="20"/>
    </w:rPr>
  </w:style>
  <w:style w:type="paragraph" w:styleId="Kommentarthema">
    <w:name w:val="annotation subject"/>
    <w:basedOn w:val="Kommentartext"/>
    <w:next w:val="Kommentartext"/>
    <w:link w:val="KommentarthemaZchn"/>
    <w:uiPriority w:val="99"/>
    <w:semiHidden/>
    <w:unhideWhenUsed/>
    <w:rsid w:val="00BD74F5"/>
    <w:rPr>
      <w:b/>
      <w:bCs/>
    </w:rPr>
  </w:style>
  <w:style w:type="character" w:customStyle="1" w:styleId="KommentarthemaZchn">
    <w:name w:val="Kommentarthema Zchn"/>
    <w:basedOn w:val="KommentartextZchn"/>
    <w:link w:val="Kommentarthema"/>
    <w:uiPriority w:val="99"/>
    <w:semiHidden/>
    <w:rsid w:val="00BD74F5"/>
    <w:rPr>
      <w:b/>
      <w:bCs/>
      <w:sz w:val="20"/>
      <w:szCs w:val="20"/>
    </w:rPr>
  </w:style>
  <w:style w:type="paragraph" w:styleId="berarbeitung">
    <w:name w:val="Revision"/>
    <w:hidden/>
    <w:uiPriority w:val="99"/>
    <w:semiHidden/>
    <w:rsid w:val="00BD74F5"/>
    <w:pPr>
      <w:spacing w:after="0" w:line="240" w:lineRule="auto"/>
    </w:pPr>
  </w:style>
  <w:style w:type="paragraph" w:styleId="Listenabsatz">
    <w:name w:val="List Paragraph"/>
    <w:basedOn w:val="Standard"/>
    <w:uiPriority w:val="34"/>
    <w:qFormat/>
    <w:rsid w:val="00BD74F5"/>
    <w:pPr>
      <w:ind w:left="720"/>
      <w:contextualSpacing/>
    </w:pPr>
  </w:style>
  <w:style w:type="character" w:customStyle="1" w:styleId="NichtaufgelsteErwhnung2">
    <w:name w:val="Nicht aufgelöste Erwähnung2"/>
    <w:basedOn w:val="Absatz-Standardschriftart"/>
    <w:uiPriority w:val="99"/>
    <w:semiHidden/>
    <w:unhideWhenUsed/>
    <w:rsid w:val="00BD74F5"/>
    <w:rPr>
      <w:color w:val="605E5C"/>
      <w:shd w:val="clear" w:color="auto" w:fill="E1DFDD"/>
    </w:rPr>
  </w:style>
  <w:style w:type="paragraph" w:styleId="NurText">
    <w:name w:val="Plain Text"/>
    <w:basedOn w:val="Standard"/>
    <w:link w:val="NurTextZchn"/>
    <w:uiPriority w:val="99"/>
    <w:unhideWhenUsed/>
    <w:rsid w:val="00BD74F5"/>
    <w:pPr>
      <w:spacing w:after="0"/>
    </w:pPr>
    <w:rPr>
      <w:rFonts w:ascii="Calibri" w:eastAsia="Times New Roman" w:hAnsi="Calibri" w:cs="Calibri"/>
      <w:szCs w:val="21"/>
      <w:lang w:val="en-US"/>
    </w:rPr>
  </w:style>
  <w:style w:type="character" w:customStyle="1" w:styleId="NurTextZchn">
    <w:name w:val="Nur Text Zchn"/>
    <w:basedOn w:val="Absatz-Standardschriftart"/>
    <w:link w:val="NurText"/>
    <w:uiPriority w:val="99"/>
    <w:rsid w:val="00BD74F5"/>
    <w:rPr>
      <w:rFonts w:ascii="Calibri" w:eastAsia="Times New Roman" w:hAnsi="Calibri" w:cs="Calibri"/>
      <w:szCs w:val="21"/>
      <w:lang w:val="en-US"/>
    </w:rPr>
  </w:style>
  <w:style w:type="character" w:styleId="NichtaufgelsteErwhnung">
    <w:name w:val="Unresolved Mention"/>
    <w:basedOn w:val="Absatz-Standardschriftart"/>
    <w:uiPriority w:val="99"/>
    <w:semiHidden/>
    <w:unhideWhenUsed/>
    <w:rsid w:val="00BD74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microsoft.com/office/2016/09/relationships/commentsIds" Target="commentsIds.xml"/><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comments" Target="comments.xm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6.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CA32D124-559F-45B3-8A4E-46A066703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2307</Words>
  <Characters>13151</Characters>
  <Application>Microsoft Office Word</Application>
  <DocSecurity>0</DocSecurity>
  <Lines>109</Lines>
  <Paragraphs>30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Schareck, Constantin</dc:creator>
  <cp:keywords/>
  <dc:description/>
  <cp:lastModifiedBy>Schareck, Constantin</cp:lastModifiedBy>
  <cp:revision>7</cp:revision>
  <dcterms:created xsi:type="dcterms:W3CDTF">2025-11-04T06:19:00Z</dcterms:created>
  <dcterms:modified xsi:type="dcterms:W3CDTF">2025-11-04T06:49:00Z</dcterms:modified>
</cp:coreProperties>
</file>