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2AF95" w14:textId="77777777" w:rsidR="005C607F" w:rsidRPr="002C41CB" w:rsidRDefault="005C607F" w:rsidP="005C607F">
      <w:pPr>
        <w:pStyle w:val="a3"/>
      </w:pPr>
      <w:r w:rsidRPr="002C41CB">
        <w:t>Supplemental Materials</w:t>
      </w:r>
    </w:p>
    <w:p w14:paraId="5DC6BBDF" w14:textId="77777777" w:rsidR="005C607F" w:rsidRPr="002C41CB" w:rsidRDefault="005C607F" w:rsidP="005C607F">
      <w:pPr>
        <w:pStyle w:val="2"/>
      </w:pPr>
      <w:r w:rsidRPr="002C41CB">
        <w:t>Data Analysis</w:t>
      </w:r>
    </w:p>
    <w:p w14:paraId="2C224490" w14:textId="77777777" w:rsidR="005C607F" w:rsidRPr="002C41CB" w:rsidRDefault="005C607F" w:rsidP="005C607F">
      <w:r w:rsidRPr="002C41CB">
        <w:t>For Dataset 1, for each metric of each fMRI type, intraclass correlation coefficients (ICCs) were computed as another reliability index, ICCs were calculated using a single-measurement, absolute-agreement, two-way mixed-effects model as follows:</w:t>
      </w:r>
    </w:p>
    <w:p w14:paraId="39AD0707" w14:textId="77777777" w:rsidR="005C607F" w:rsidRPr="002C41CB" w:rsidRDefault="005C607F" w:rsidP="005C607F">
      <w:pPr>
        <w:ind w:firstLine="720"/>
        <w:jc w:val="center"/>
      </w:pPr>
    </w:p>
    <w:p w14:paraId="3DF372A8" w14:textId="77777777" w:rsidR="005C607F" w:rsidRPr="002C41CB" w:rsidRDefault="005C607F" w:rsidP="005C607F">
      <w:pPr>
        <w:jc w:val="center"/>
      </w:pPr>
      <m:oMathPara>
        <m:oMath>
          <m:r>
            <w:rPr>
              <w:rFonts w:ascii="Cambria Math" w:eastAsia="Cambria Math" w:hAnsi="Cambria Math"/>
            </w:rPr>
            <m:t xml:space="preserve">ICC = </m:t>
          </m:r>
          <m:f>
            <m:fPr>
              <m:ctrlPr>
                <w:rPr>
                  <w:rFonts w:ascii="Cambria Math" w:eastAsia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eastAsia="Cambria Math" w:hAnsi="Cambria Math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MS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R</m:t>
                  </m:r>
                </m:sub>
              </m:sSub>
              <m:r>
                <w:rPr>
                  <w:rFonts w:ascii="Cambria Math" w:eastAsia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eastAsia="Cambria Math" w:hAnsi="Cambria Math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MS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E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ambria Math" w:hAnsi="Cambria Math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MS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R</m:t>
                  </m:r>
                </m:sub>
              </m:sSub>
              <m:r>
                <w:rPr>
                  <w:rFonts w:ascii="Cambria Math" w:eastAsia="Cambria Math" w:hAnsi="Cambria Math"/>
                </w:rPr>
                <m:t>+(k-1)</m:t>
              </m:r>
              <m:sSub>
                <m:sSubPr>
                  <m:ctrlPr>
                    <w:rPr>
                      <w:rFonts w:ascii="Cambria Math" w:eastAsia="Cambria Math" w:hAnsi="Cambria Math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MS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E</m:t>
                  </m:r>
                </m:sub>
              </m:sSub>
              <m:r>
                <w:rPr>
                  <w:rFonts w:ascii="Cambria Math" w:eastAsia="Cambria Math" w:hAnsi="Cambria Math"/>
                </w:rPr>
                <m:t>+</m:t>
              </m:r>
              <m:f>
                <m:fPr>
                  <m:ctrlPr>
                    <w:rPr>
                      <w:rFonts w:ascii="Cambria Math" w:eastAsia="Cambria Math" w:hAnsi="Cambria Math"/>
                    </w:rPr>
                  </m:ctrlPr>
                </m:fPr>
                <m:num>
                  <m:r>
                    <w:rPr>
                      <w:rFonts w:ascii="Cambria Math" w:eastAsia="Cambria Math" w:hAnsi="Cambria Math"/>
                    </w:rPr>
                    <m:t>k</m:t>
                  </m:r>
                </m:num>
                <m:den>
                  <m:r>
                    <w:rPr>
                      <w:rFonts w:ascii="Cambria Math" w:eastAsia="Cambria Math" w:hAnsi="Cambria Math"/>
                    </w:rPr>
                    <m:t>n</m:t>
                  </m:r>
                </m:den>
              </m:f>
              <m:r>
                <w:rPr>
                  <w:rFonts w:ascii="Cambria Math" w:eastAsia="Cambria Math" w:hAnsi="Cambria Math"/>
                </w:rPr>
                <m:t>(</m:t>
              </m:r>
              <m:sSub>
                <m:sSubPr>
                  <m:ctrlPr>
                    <w:rPr>
                      <w:rFonts w:ascii="Cambria Math" w:eastAsia="Cambria Math" w:hAnsi="Cambria Math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MS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C</m:t>
                  </m:r>
                </m:sub>
              </m:sSub>
              <m:r>
                <w:rPr>
                  <w:rFonts w:ascii="Cambria Math" w:eastAsia="Cambria Math" w:hAnsi="Cambria Math"/>
                </w:rPr>
                <m:t xml:space="preserve"> - </m:t>
              </m:r>
              <m:sSub>
                <m:sSubPr>
                  <m:ctrlPr>
                    <w:rPr>
                      <w:rFonts w:ascii="Cambria Math" w:eastAsia="Cambria Math" w:hAnsi="Cambria Math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</w:rPr>
                    <m:t>MS</m:t>
                  </m:r>
                </m:e>
                <m:sub>
                  <m:r>
                    <w:rPr>
                      <w:rFonts w:ascii="Cambria Math" w:eastAsia="Cambria Math" w:hAnsi="Cambria Math"/>
                    </w:rPr>
                    <m:t>E</m:t>
                  </m:r>
                </m:sub>
              </m:sSub>
              <m:r>
                <w:rPr>
                  <w:rFonts w:ascii="Cambria Math" w:eastAsia="Cambria Math" w:hAnsi="Cambria Math"/>
                </w:rPr>
                <m:t>)</m:t>
              </m:r>
            </m:den>
          </m:f>
          <m:r>
            <w:rPr>
              <w:rFonts w:ascii="Cambria Math" w:hAnsi="Cambria Math"/>
            </w:rPr>
            <m:t xml:space="preserve">                                      (1)</m:t>
          </m:r>
        </m:oMath>
      </m:oMathPara>
    </w:p>
    <w:p w14:paraId="3F826C13" w14:textId="77777777" w:rsidR="005C607F" w:rsidRPr="002C41CB" w:rsidRDefault="005C607F" w:rsidP="005C607F">
      <w:pPr>
        <w:jc w:val="center"/>
      </w:pPr>
    </w:p>
    <w:p w14:paraId="0978F4F7" w14:textId="46AABAC3" w:rsidR="005C607F" w:rsidRDefault="005C607F" w:rsidP="005C607F">
      <w:pPr>
        <w:rPr>
          <w:shd w:val="clear" w:color="auto" w:fill="FFFFFF"/>
        </w:rPr>
      </w:pPr>
      <w:r w:rsidRPr="002C41CB">
        <w:t xml:space="preserve">where </w:t>
      </w:r>
      <m:oMath>
        <m:sSub>
          <m:sSubPr>
            <m:ctrlPr>
              <w:rPr>
                <w:rFonts w:ascii="Cambria Math" w:eastAsia="Cambria Math" w:hAnsi="Cambria Math"/>
              </w:rPr>
            </m:ctrlPr>
          </m:sSubPr>
          <m:e>
            <m:r>
              <w:rPr>
                <w:rFonts w:ascii="Cambria Math" w:eastAsia="Cambria Math" w:hAnsi="Cambria Math"/>
              </w:rPr>
              <m:t>MS</m:t>
            </m:r>
          </m:e>
          <m:sub>
            <m:r>
              <w:rPr>
                <w:rFonts w:ascii="Cambria Math" w:eastAsia="Cambria Math" w:hAnsi="Cambria Math"/>
              </w:rPr>
              <m:t>R</m:t>
            </m:r>
          </m:sub>
        </m:sSub>
      </m:oMath>
      <w:r w:rsidRPr="002C41CB">
        <w:t xml:space="preserve"> is the mean square for rows (between-subjects mean square), </w:t>
      </w:r>
      <m:oMath>
        <m:sSub>
          <m:sSubPr>
            <m:ctrlPr>
              <w:rPr>
                <w:rFonts w:ascii="Cambria Math" w:eastAsia="Cambria Math" w:hAnsi="Cambria Math"/>
              </w:rPr>
            </m:ctrlPr>
          </m:sSubPr>
          <m:e>
            <m:r>
              <w:rPr>
                <w:rFonts w:ascii="Cambria Math" w:eastAsia="Cambria Math" w:hAnsi="Cambria Math"/>
              </w:rPr>
              <m:t>MS</m:t>
            </m:r>
          </m:e>
          <m:sub>
            <m:r>
              <w:rPr>
                <w:rFonts w:ascii="Cambria Math" w:eastAsia="Cambria Math" w:hAnsi="Cambria Math"/>
              </w:rPr>
              <m:t>E</m:t>
            </m:r>
          </m:sub>
        </m:sSub>
      </m:oMath>
      <w:r w:rsidRPr="002C41CB">
        <w:t xml:space="preserve"> is the mean square for error, </w:t>
      </w:r>
      <m:oMath>
        <m:sSub>
          <m:sSubPr>
            <m:ctrlPr>
              <w:rPr>
                <w:rFonts w:ascii="Cambria Math" w:eastAsia="Cambria Math" w:hAnsi="Cambria Math"/>
              </w:rPr>
            </m:ctrlPr>
          </m:sSubPr>
          <m:e>
            <m:r>
              <w:rPr>
                <w:rFonts w:ascii="Cambria Math" w:eastAsia="Cambria Math" w:hAnsi="Cambria Math"/>
              </w:rPr>
              <m:t>MS</m:t>
            </m:r>
          </m:e>
          <m:sub>
            <m:r>
              <w:rPr>
                <w:rFonts w:ascii="Cambria Math" w:eastAsia="Cambria Math" w:hAnsi="Cambria Math"/>
              </w:rPr>
              <m:t>C</m:t>
            </m:r>
          </m:sub>
        </m:sSub>
      </m:oMath>
      <w:r w:rsidRPr="002C41CB">
        <w:t xml:space="preserve"> is the mean square for columns (within-subjects mean square), </w:t>
      </w:r>
      <m:oMath>
        <m:r>
          <w:rPr>
            <w:rFonts w:ascii="Cambria Math" w:eastAsia="Cambria Math" w:hAnsi="Cambria Math"/>
          </w:rPr>
          <m:t>n</m:t>
        </m:r>
      </m:oMath>
      <w:r w:rsidRPr="002C41CB">
        <w:t xml:space="preserve"> is the number of subjects, and </w:t>
      </w:r>
      <m:oMath>
        <m:r>
          <w:rPr>
            <w:rFonts w:ascii="Cambria Math" w:eastAsia="Cambria Math" w:hAnsi="Cambria Math"/>
          </w:rPr>
          <m:t>k</m:t>
        </m:r>
      </m:oMath>
      <w:r w:rsidRPr="002C41CB">
        <w:t xml:space="preserve"> is the number of repeated measurements</w:t>
      </w:r>
      <w:r w:rsidRPr="002C41CB">
        <w:rPr>
          <w:shd w:val="clear" w:color="auto" w:fill="FFFFFF"/>
        </w:rPr>
        <w:t>.</w:t>
      </w:r>
    </w:p>
    <w:p w14:paraId="005A55F7" w14:textId="77777777" w:rsidR="005C607F" w:rsidRPr="002C41CB" w:rsidRDefault="005C607F" w:rsidP="005C607F"/>
    <w:sdt>
      <w:sdtPr>
        <w:rPr>
          <w:rFonts w:ascii="Arial" w:hAnsi="Arial"/>
        </w:rPr>
        <w:tag w:val="EndNote.ReferenceList"/>
        <w:id w:val="1057053914"/>
        <w:placeholder>
          <w:docPart w:val="EE8511051CFC47B69899A9BC5C48033B"/>
        </w:placeholder>
      </w:sdtPr>
      <w:sdtContent>
        <w:p w14:paraId="24A09AFB" w14:textId="77777777" w:rsidR="005C607F" w:rsidRPr="00075133" w:rsidRDefault="005C607F" w:rsidP="005C607F">
          <w:pPr>
            <w:pStyle w:val="EndNoteBibliography"/>
            <w:rPr>
              <w:rFonts w:ascii="Arial" w:hAnsi="Arial"/>
            </w:rPr>
          </w:pPr>
          <w:r w:rsidRPr="002C41CB">
            <w:rPr>
              <w:rFonts w:ascii="Arial" w:hAnsi="Arial"/>
            </w:rPr>
            <w:t>1. Shrout PE, Fleiss JL. Intraclass correlations: uses in assessing rater reliability. Psychol Bull. 1979;86:420-428. doi: 10.1037//0033-2909.86.2.420</w:t>
          </w:r>
        </w:p>
      </w:sdtContent>
    </w:sdt>
    <w:p w14:paraId="2F98EE47" w14:textId="515230AD" w:rsidR="0020053E" w:rsidRPr="00C40815" w:rsidRDefault="00712038" w:rsidP="005C607F">
      <w:pPr>
        <w:pStyle w:val="2"/>
      </w:pPr>
      <w:r w:rsidRPr="00C40815">
        <w:lastRenderedPageBreak/>
        <w:t xml:space="preserve">Supplemental </w:t>
      </w:r>
      <w:r w:rsidR="00C86D45">
        <w:rPr>
          <w:rFonts w:hint="eastAsia"/>
        </w:rPr>
        <w:t>Figures</w:t>
      </w:r>
      <w:r w:rsidR="001F395B"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anchorId="6B4F5F8D" wp14:editId="4914EEE2">
            <wp:simplePos x="0" y="0"/>
            <wp:positionH relativeFrom="column">
              <wp:posOffset>6350</wp:posOffset>
            </wp:positionH>
            <wp:positionV relativeFrom="paragraph">
              <wp:posOffset>293370</wp:posOffset>
            </wp:positionV>
            <wp:extent cx="6632575" cy="6264275"/>
            <wp:effectExtent l="0" t="0" r="0" b="0"/>
            <wp:wrapSquare wrapText="bothSides"/>
            <wp:docPr id="12598297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575" cy="626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460AB0" w14:textId="77777777" w:rsidR="001F395B" w:rsidRDefault="001F395B" w:rsidP="00C86D45">
      <w:pPr>
        <w:pStyle w:val="1"/>
      </w:pPr>
    </w:p>
    <w:p w14:paraId="2367E9E7" w14:textId="2E8CF90A" w:rsidR="00793133" w:rsidRPr="009F3C83" w:rsidRDefault="00C86D45" w:rsidP="00C86D45">
      <w:pPr>
        <w:pStyle w:val="1"/>
        <w:rPr>
          <w:b w:val="0"/>
          <w:bCs w:val="0"/>
          <w:sz w:val="22"/>
          <w:szCs w:val="22"/>
        </w:rPr>
      </w:pPr>
      <w:r w:rsidRPr="009F3C83">
        <w:rPr>
          <w:rFonts w:hint="eastAsia"/>
          <w:sz w:val="22"/>
          <w:szCs w:val="22"/>
        </w:rPr>
        <w:t>Figure S1</w:t>
      </w:r>
      <w:r w:rsidR="002B6947" w:rsidRPr="009F3C83">
        <w:rPr>
          <w:rFonts w:hint="eastAsia"/>
          <w:sz w:val="22"/>
          <w:szCs w:val="22"/>
        </w:rPr>
        <w:t xml:space="preserve"> </w:t>
      </w:r>
      <w:r w:rsidR="0010490E" w:rsidRPr="009F3C83">
        <w:rPr>
          <w:b w:val="0"/>
          <w:bCs w:val="0"/>
          <w:sz w:val="22"/>
          <w:szCs w:val="22"/>
        </w:rPr>
        <w:t xml:space="preserve">Difference Maps for </w:t>
      </w:r>
      <w:r w:rsidR="00C55C98" w:rsidRPr="009F3C83">
        <w:rPr>
          <w:b w:val="0"/>
          <w:bCs w:val="0"/>
          <w:sz w:val="22"/>
          <w:szCs w:val="22"/>
        </w:rPr>
        <w:t>amplitude of low-frequency fluctuations (ALFF)</w:t>
      </w:r>
      <w:r w:rsidR="00C55C98" w:rsidRPr="009F3C83">
        <w:rPr>
          <w:rFonts w:hint="eastAsia"/>
          <w:b w:val="0"/>
          <w:bCs w:val="0"/>
          <w:sz w:val="22"/>
          <w:szCs w:val="22"/>
        </w:rPr>
        <w:t xml:space="preserve"> and </w:t>
      </w:r>
      <w:r w:rsidR="00C55C98" w:rsidRPr="009F3C83">
        <w:rPr>
          <w:b w:val="0"/>
          <w:bCs w:val="0"/>
          <w:sz w:val="22"/>
          <w:szCs w:val="22"/>
        </w:rPr>
        <w:t>global signal time delay (GSTD)</w:t>
      </w:r>
      <w:r w:rsidR="0010490E" w:rsidRPr="009F3C83">
        <w:rPr>
          <w:b w:val="0"/>
          <w:bCs w:val="0"/>
          <w:sz w:val="22"/>
          <w:szCs w:val="22"/>
        </w:rPr>
        <w:t xml:space="preserve"> (Dataset 1). Maps were generated by subtracting the group average task/rest maps from the reference Rest 1 map (all 284 frames, see Fig 2). (Top Row) Rest 1 - Motor; (Middle Row) Rest 1 - Language; (Bottom Row) Rest 1 - Rest 2 (test-retest). As noted in the main text, deviations are widespread. </w:t>
      </w:r>
      <w:r w:rsidR="002C1B28" w:rsidRPr="00A01F5A">
        <w:rPr>
          <w:sz w:val="22"/>
          <w:szCs w:val="22"/>
        </w:rPr>
        <w:t>Note:</w:t>
      </w:r>
      <w:r w:rsidR="002C1B28" w:rsidRPr="002C1B28">
        <w:rPr>
          <w:b w:val="0"/>
          <w:bCs w:val="0"/>
          <w:sz w:val="22"/>
          <w:szCs w:val="22"/>
        </w:rPr>
        <w:t xml:space="preserve"> Subtraction maps can reflect signal-dependent noise, where regions with higher values exhibit larger absolute differences between scans. Notably, the largest absolute differences (yellow/green) coincide with regions of higher mean values. Consequently, we recommend interpreting differences primarily through the ICC maps (Figs 2–5), which normalize for these signal-magnitude biases.</w:t>
      </w:r>
    </w:p>
    <w:p w14:paraId="0D765947" w14:textId="77777777" w:rsidR="00793133" w:rsidRDefault="00793133">
      <w:pPr>
        <w:widowControl/>
        <w:jc w:val="left"/>
        <w:rPr>
          <w:sz w:val="24"/>
        </w:rPr>
      </w:pPr>
      <w:r>
        <w:rPr>
          <w:b/>
          <w:bCs/>
        </w:rPr>
        <w:br w:type="page"/>
      </w:r>
    </w:p>
    <w:p w14:paraId="7D8ABDD1" w14:textId="57AF9C02" w:rsidR="00C86D45" w:rsidRPr="00C40815" w:rsidRDefault="007378BC" w:rsidP="00C86D45">
      <w:pPr>
        <w:pStyle w:val="1"/>
      </w:pPr>
      <w:r>
        <w:rPr>
          <w:rFonts w:hint="eastAsia"/>
          <w:noProof/>
        </w:rPr>
        <w:lastRenderedPageBreak/>
        <w:drawing>
          <wp:inline distT="0" distB="0" distL="0" distR="0" wp14:anchorId="15B4B5DA" wp14:editId="0700F017">
            <wp:extent cx="6634480" cy="6262370"/>
            <wp:effectExtent l="0" t="0" r="0" b="0"/>
            <wp:docPr id="137531596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480" cy="626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D32FD" w14:textId="4DF7C253" w:rsidR="0020053E" w:rsidRPr="009F3C83" w:rsidRDefault="00793133" w:rsidP="00793133">
      <w:pPr>
        <w:pStyle w:val="1"/>
        <w:rPr>
          <w:rFonts w:hint="eastAsia"/>
          <w:b w:val="0"/>
          <w:bCs w:val="0"/>
          <w:sz w:val="22"/>
          <w:szCs w:val="22"/>
        </w:rPr>
      </w:pPr>
      <w:r w:rsidRPr="009F3C83">
        <w:rPr>
          <w:rFonts w:hint="eastAsia"/>
          <w:sz w:val="22"/>
          <w:szCs w:val="22"/>
        </w:rPr>
        <w:t xml:space="preserve">Figure S2 </w:t>
      </w:r>
      <w:r w:rsidRPr="009F3C83">
        <w:rPr>
          <w:b w:val="0"/>
          <w:bCs w:val="0"/>
          <w:sz w:val="22"/>
          <w:szCs w:val="22"/>
        </w:rPr>
        <w:t xml:space="preserve">Difference Maps for </w:t>
      </w:r>
      <w:r w:rsidR="002F3F62" w:rsidRPr="009F3C83">
        <w:rPr>
          <w:b w:val="0"/>
          <w:bCs w:val="0"/>
          <w:sz w:val="22"/>
          <w:szCs w:val="22"/>
        </w:rPr>
        <w:t xml:space="preserve">global signal correlation (GSC) </w:t>
      </w:r>
      <w:r w:rsidR="002F3F62" w:rsidRPr="009F3C83">
        <w:rPr>
          <w:rFonts w:hint="eastAsia"/>
          <w:b w:val="0"/>
          <w:bCs w:val="0"/>
          <w:sz w:val="22"/>
          <w:szCs w:val="22"/>
        </w:rPr>
        <w:t>and</w:t>
      </w:r>
      <w:r w:rsidRPr="009F3C83">
        <w:rPr>
          <w:b w:val="0"/>
          <w:bCs w:val="0"/>
          <w:sz w:val="22"/>
          <w:szCs w:val="22"/>
        </w:rPr>
        <w:t xml:space="preserve"> </w:t>
      </w:r>
      <w:r w:rsidR="002F3F62" w:rsidRPr="009F3C83">
        <w:rPr>
          <w:b w:val="0"/>
          <w:bCs w:val="0"/>
          <w:sz w:val="22"/>
          <w:szCs w:val="22"/>
        </w:rPr>
        <w:t xml:space="preserve">global signal cross-correlation (GSXC) </w:t>
      </w:r>
      <w:r w:rsidRPr="009F3C83">
        <w:rPr>
          <w:b w:val="0"/>
          <w:bCs w:val="0"/>
          <w:sz w:val="22"/>
          <w:szCs w:val="22"/>
        </w:rPr>
        <w:t>(Dataset 1). Maps were generated by subtracting the group average task/rest maps from the reference Rest 1 map (all 284 frames, see Fig 3). (Top Row) Rest 1 - Motor; (Middle Row) Rest 1 - Language; (Bottom Row) Rest 1 - Rest 2 (test-retest). Similar to F</w:t>
      </w:r>
      <w:r w:rsidR="008353A9" w:rsidRPr="009F3C83">
        <w:rPr>
          <w:rFonts w:hint="eastAsia"/>
          <w:b w:val="0"/>
          <w:bCs w:val="0"/>
          <w:sz w:val="22"/>
          <w:szCs w:val="22"/>
        </w:rPr>
        <w:t>igure S1</w:t>
      </w:r>
      <w:r w:rsidRPr="009F3C83">
        <w:rPr>
          <w:b w:val="0"/>
          <w:bCs w:val="0"/>
          <w:sz w:val="22"/>
          <w:szCs w:val="22"/>
        </w:rPr>
        <w:t>, deviations are widespread</w:t>
      </w:r>
      <w:r w:rsidR="005D49DE" w:rsidRPr="009F3C83">
        <w:rPr>
          <w:b w:val="0"/>
          <w:bCs w:val="0"/>
          <w:sz w:val="22"/>
          <w:szCs w:val="22"/>
        </w:rPr>
        <w:t xml:space="preserve"> and are not strictly localized to task-specific</w:t>
      </w:r>
      <w:r w:rsidR="005D49DE" w:rsidRPr="009F3C83">
        <w:rPr>
          <w:rFonts w:hint="eastAsia"/>
          <w:b w:val="0"/>
          <w:bCs w:val="0"/>
          <w:sz w:val="22"/>
          <w:szCs w:val="22"/>
        </w:rPr>
        <w:t xml:space="preserve"> regions</w:t>
      </w:r>
      <w:r w:rsidR="005D49DE" w:rsidRPr="009F3C83">
        <w:rPr>
          <w:b w:val="0"/>
          <w:bCs w:val="0"/>
          <w:sz w:val="22"/>
          <w:szCs w:val="22"/>
        </w:rPr>
        <w:t>, suggesting a complex, non-localized change in the spatial pattern during the task state.</w:t>
      </w:r>
      <w:r w:rsidR="00A01F5A">
        <w:rPr>
          <w:rFonts w:hint="eastAsia"/>
          <w:b w:val="0"/>
          <w:bCs w:val="0"/>
          <w:sz w:val="22"/>
          <w:szCs w:val="22"/>
        </w:rPr>
        <w:t xml:space="preserve"> </w:t>
      </w:r>
      <w:r w:rsidR="00A01F5A" w:rsidRPr="00A01F5A">
        <w:rPr>
          <w:sz w:val="22"/>
          <w:szCs w:val="22"/>
        </w:rPr>
        <w:t>Note:</w:t>
      </w:r>
      <w:r w:rsidR="00A01F5A" w:rsidRPr="00A01F5A">
        <w:rPr>
          <w:b w:val="0"/>
          <w:bCs w:val="0"/>
          <w:sz w:val="22"/>
          <w:szCs w:val="22"/>
        </w:rPr>
        <w:t xml:space="preserve"> Similar signal-dependent noise patterns apply here (see Figure S1 legend). We recommend interpreting </w:t>
      </w:r>
      <w:r w:rsidR="00A01F5A">
        <w:rPr>
          <w:rFonts w:hint="eastAsia"/>
          <w:b w:val="0"/>
          <w:bCs w:val="0"/>
          <w:sz w:val="22"/>
          <w:szCs w:val="22"/>
        </w:rPr>
        <w:t>differences</w:t>
      </w:r>
      <w:r w:rsidR="00A01F5A" w:rsidRPr="00A01F5A">
        <w:rPr>
          <w:b w:val="0"/>
          <w:bCs w:val="0"/>
          <w:sz w:val="22"/>
          <w:szCs w:val="22"/>
        </w:rPr>
        <w:t xml:space="preserve"> primarily through the normalized ICC maps.</w:t>
      </w:r>
    </w:p>
    <w:sectPr w:rsidR="0020053E" w:rsidRPr="009F3C83" w:rsidSect="00871EB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2F358" w14:textId="77777777" w:rsidR="006E146E" w:rsidRDefault="006E146E" w:rsidP="00C40815">
      <w:r>
        <w:separator/>
      </w:r>
    </w:p>
  </w:endnote>
  <w:endnote w:type="continuationSeparator" w:id="0">
    <w:p w14:paraId="75C71EE8" w14:textId="77777777" w:rsidR="006E146E" w:rsidRDefault="006E146E" w:rsidP="00C40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EEBEB" w14:textId="77777777" w:rsidR="006E146E" w:rsidRDefault="006E146E" w:rsidP="00C40815">
      <w:r>
        <w:separator/>
      </w:r>
    </w:p>
  </w:footnote>
  <w:footnote w:type="continuationSeparator" w:id="0">
    <w:p w14:paraId="3DA57506" w14:textId="77777777" w:rsidR="006E146E" w:rsidRDefault="006E146E" w:rsidP="00C40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Q1MDQ2MjU2NzIxMzBV0lEKTi0uzszPAykwqQUAvvchDCwAAAA="/>
    <w:docVar w:name="EN.Layout" w:val="&lt;ENLayout&gt;&lt;Style&gt;Radiology Copy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712038"/>
    <w:rsid w:val="00075133"/>
    <w:rsid w:val="0009198C"/>
    <w:rsid w:val="0010490E"/>
    <w:rsid w:val="001B27F8"/>
    <w:rsid w:val="001F395B"/>
    <w:rsid w:val="0020053E"/>
    <w:rsid w:val="002B6947"/>
    <w:rsid w:val="002C1B28"/>
    <w:rsid w:val="002C41CB"/>
    <w:rsid w:val="002F3F62"/>
    <w:rsid w:val="0041678D"/>
    <w:rsid w:val="004D0585"/>
    <w:rsid w:val="004E5D54"/>
    <w:rsid w:val="00515B1D"/>
    <w:rsid w:val="00586D5F"/>
    <w:rsid w:val="005C607F"/>
    <w:rsid w:val="005D49DE"/>
    <w:rsid w:val="005E479E"/>
    <w:rsid w:val="006C1C61"/>
    <w:rsid w:val="006E146E"/>
    <w:rsid w:val="00712038"/>
    <w:rsid w:val="007378BC"/>
    <w:rsid w:val="00781149"/>
    <w:rsid w:val="00793133"/>
    <w:rsid w:val="008353A9"/>
    <w:rsid w:val="00871EBA"/>
    <w:rsid w:val="008A01B8"/>
    <w:rsid w:val="008C6AFB"/>
    <w:rsid w:val="009F3C83"/>
    <w:rsid w:val="00A01F5A"/>
    <w:rsid w:val="00A6108D"/>
    <w:rsid w:val="00A72780"/>
    <w:rsid w:val="00AA725A"/>
    <w:rsid w:val="00AF3CD6"/>
    <w:rsid w:val="00B53218"/>
    <w:rsid w:val="00B966CC"/>
    <w:rsid w:val="00BE596F"/>
    <w:rsid w:val="00C40815"/>
    <w:rsid w:val="00C55C98"/>
    <w:rsid w:val="00C86D45"/>
    <w:rsid w:val="00CD6FF5"/>
    <w:rsid w:val="00CE7AF1"/>
    <w:rsid w:val="00DB09AE"/>
    <w:rsid w:val="00DB65BB"/>
    <w:rsid w:val="00E94441"/>
    <w:rsid w:val="00EE4025"/>
    <w:rsid w:val="00F64978"/>
    <w:rsid w:val="00F8135B"/>
    <w:rsid w:val="00F9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AE2DC"/>
  <w15:chartTrackingRefBased/>
  <w15:docId w15:val="{E46DEF20-E415-4A3C-92A5-D0F965E8A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815"/>
    <w:pPr>
      <w:widowControl w:val="0"/>
      <w:jc w:val="both"/>
    </w:pPr>
    <w:rPr>
      <w:rFonts w:ascii="Arial" w:hAnsi="Arial" w:cs="Arial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C40815"/>
    <w:pPr>
      <w:spacing w:after="240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0053E"/>
    <w:pPr>
      <w:spacing w:before="240" w:line="360" w:lineRule="auto"/>
      <w:outlineLvl w:val="1"/>
    </w:pPr>
    <w:rPr>
      <w:b/>
      <w:bCs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20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20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20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20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20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20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20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0815"/>
    <w:rPr>
      <w:rFonts w:ascii="Arial" w:hAnsi="Arial" w:cs="Arial"/>
      <w:b/>
      <w:bCs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20053E"/>
    <w:rPr>
      <w:rFonts w:ascii="Arial" w:hAnsi="Arial" w:cs="Arial"/>
      <w:b/>
      <w:bCs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rsid w:val="007120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71203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712038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7120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712038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7120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7120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1"/>
    <w:next w:val="a"/>
    <w:link w:val="a4"/>
    <w:uiPriority w:val="10"/>
    <w:qFormat/>
    <w:rsid w:val="0020053E"/>
    <w:rPr>
      <w:sz w:val="28"/>
      <w:szCs w:val="28"/>
    </w:rPr>
  </w:style>
  <w:style w:type="character" w:customStyle="1" w:styleId="a4">
    <w:name w:val="表題 (文字)"/>
    <w:basedOn w:val="a0"/>
    <w:link w:val="a3"/>
    <w:uiPriority w:val="10"/>
    <w:rsid w:val="0020053E"/>
    <w:rPr>
      <w:rFonts w:ascii="Arial" w:hAnsi="Arial" w:cs="Arial"/>
      <w:b/>
      <w:bCs/>
      <w:sz w:val="28"/>
      <w:szCs w:val="28"/>
    </w:rPr>
  </w:style>
  <w:style w:type="paragraph" w:styleId="a5">
    <w:name w:val="Subtitle"/>
    <w:basedOn w:val="a"/>
    <w:next w:val="a"/>
    <w:link w:val="a6"/>
    <w:uiPriority w:val="11"/>
    <w:qFormat/>
    <w:rsid w:val="0071203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12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20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120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203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1203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120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1203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12038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a"/>
    <w:link w:val="EndNoteBibliographyTitle0"/>
    <w:rsid w:val="002C41CB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2C41CB"/>
    <w:rPr>
      <w:rFonts w:ascii="游明朝" w:eastAsia="游明朝" w:hAnsi="游明朝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2C41CB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2C41CB"/>
    <w:rPr>
      <w:rFonts w:ascii="游明朝" w:eastAsia="游明朝" w:hAnsi="游明朝"/>
      <w:noProof/>
      <w:sz w:val="20"/>
    </w:rPr>
  </w:style>
  <w:style w:type="character" w:styleId="aa">
    <w:name w:val="Placeholder Text"/>
    <w:basedOn w:val="a0"/>
    <w:uiPriority w:val="99"/>
    <w:semiHidden/>
    <w:rsid w:val="002C41CB"/>
    <w:rPr>
      <w:color w:val="666666"/>
    </w:rPr>
  </w:style>
  <w:style w:type="paragraph" w:styleId="ab">
    <w:name w:val="header"/>
    <w:basedOn w:val="a"/>
    <w:link w:val="ac"/>
    <w:uiPriority w:val="99"/>
    <w:unhideWhenUsed/>
    <w:rsid w:val="00CE7AF1"/>
    <w:pPr>
      <w:tabs>
        <w:tab w:val="center" w:pos="4252"/>
        <w:tab w:val="right" w:pos="8504"/>
      </w:tabs>
    </w:pPr>
  </w:style>
  <w:style w:type="character" w:customStyle="1" w:styleId="ac">
    <w:name w:val="ヘッダー (文字)"/>
    <w:basedOn w:val="a0"/>
    <w:link w:val="ab"/>
    <w:uiPriority w:val="99"/>
    <w:rsid w:val="00CE7AF1"/>
  </w:style>
  <w:style w:type="paragraph" w:styleId="ad">
    <w:name w:val="footer"/>
    <w:basedOn w:val="a"/>
    <w:link w:val="ae"/>
    <w:uiPriority w:val="99"/>
    <w:unhideWhenUsed/>
    <w:rsid w:val="00CE7AF1"/>
    <w:pPr>
      <w:tabs>
        <w:tab w:val="center" w:pos="4252"/>
        <w:tab w:val="right" w:pos="8504"/>
      </w:tabs>
    </w:pPr>
  </w:style>
  <w:style w:type="character" w:customStyle="1" w:styleId="ae">
    <w:name w:val="フッター (文字)"/>
    <w:basedOn w:val="a0"/>
    <w:link w:val="ad"/>
    <w:uiPriority w:val="99"/>
    <w:rsid w:val="00CE7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8511051CFC47B69899A9BC5C48033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1FBF90B-CBCF-4622-AA88-F25F36AFE625}"/>
      </w:docPartPr>
      <w:docPartBody>
        <w:p w:rsidR="004F61D5" w:rsidRDefault="00154D13" w:rsidP="00154D13">
          <w:pPr>
            <w:pStyle w:val="EE8511051CFC47B69899A9BC5C48033B"/>
          </w:pPr>
          <w:r w:rsidRPr="008A6797">
            <w:rPr>
              <w:rStyle w:val="a3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13"/>
    <w:rsid w:val="00154D13"/>
    <w:rsid w:val="004F61D5"/>
    <w:rsid w:val="00706667"/>
    <w:rsid w:val="00854C73"/>
    <w:rsid w:val="00A72780"/>
    <w:rsid w:val="00B45C29"/>
    <w:rsid w:val="00EE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4D13"/>
    <w:rPr>
      <w:color w:val="666666"/>
    </w:rPr>
  </w:style>
  <w:style w:type="paragraph" w:customStyle="1" w:styleId="EE8511051CFC47B69899A9BC5C48033B">
    <w:name w:val="EE8511051CFC47B69899A9BC5C48033B"/>
    <w:rsid w:val="00154D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1499</TotalTime>
  <Pages>3</Pages>
  <Words>337</Words>
  <Characters>2026</Characters>
  <Application>Microsoft Office Word</Application>
  <DocSecurity>0</DocSecurity>
  <Lines>36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SA</cp:lastModifiedBy>
  <cp:revision>30</cp:revision>
  <cp:lastPrinted>2025-11-05T08:13:00Z</cp:lastPrinted>
  <dcterms:created xsi:type="dcterms:W3CDTF">2025-01-16T11:15:00Z</dcterms:created>
  <dcterms:modified xsi:type="dcterms:W3CDTF">2025-11-26T04:53:00Z</dcterms:modified>
</cp:coreProperties>
</file>