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D4E" w:rsidRPr="00CC15A9" w:rsidRDefault="00283D4E" w:rsidP="00283D4E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Supplemental </w:t>
      </w:r>
      <w:r w:rsidR="004E3DE7">
        <w:rPr>
          <w:rFonts w:ascii="Arial" w:hAnsi="Arial" w:cs="Arial"/>
          <w:b/>
          <w:lang w:val="en-GB"/>
        </w:rPr>
        <w:t>T</w:t>
      </w:r>
      <w:bookmarkStart w:id="0" w:name="_GoBack"/>
      <w:bookmarkEnd w:id="0"/>
      <w:r>
        <w:rPr>
          <w:rFonts w:ascii="Arial" w:hAnsi="Arial" w:cs="Arial"/>
          <w:b/>
          <w:lang w:val="en-GB"/>
        </w:rPr>
        <w:t>able 1:</w:t>
      </w:r>
      <w:r w:rsidRPr="000A1399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Univariate analysis of f</w:t>
      </w:r>
      <w:r w:rsidRPr="000A1399">
        <w:rPr>
          <w:rFonts w:ascii="Arial" w:hAnsi="Arial" w:cs="Arial"/>
          <w:lang w:val="en-GB"/>
        </w:rPr>
        <w:t xml:space="preserve">actors associated with biochemical recurrence free survival after </w:t>
      </w:r>
      <w:r w:rsidRPr="003563C3">
        <w:rPr>
          <w:rFonts w:ascii="Arial" w:hAnsi="Arial" w:cs="Arial"/>
          <w:lang w:val="en-GB"/>
        </w:rPr>
        <w:t>salvage lymph node dissection</w:t>
      </w:r>
      <w:r>
        <w:rPr>
          <w:rFonts w:ascii="Arial" w:hAnsi="Arial" w:cs="Arial"/>
          <w:lang w:val="en-GB"/>
        </w:rPr>
        <w:t>/</w:t>
      </w:r>
      <w:r w:rsidRPr="003563C3">
        <w:rPr>
          <w:rFonts w:ascii="Arial" w:hAnsi="Arial" w:cs="Arial"/>
          <w:lang w:val="en-GB"/>
        </w:rPr>
        <w:t>salvage lymph node radiotherapy</w:t>
      </w:r>
      <w:r>
        <w:rPr>
          <w:rFonts w:ascii="Arial" w:hAnsi="Arial" w:cs="Arial"/>
          <w:lang w:val="en-GB"/>
        </w:rPr>
        <w:t>.</w:t>
      </w:r>
      <w:r w:rsidRPr="000A1399">
        <w:rPr>
          <w:rFonts w:ascii="Arial" w:hAnsi="Arial" w:cs="Arial"/>
          <w:lang w:val="en-GB"/>
        </w:rPr>
        <w:t xml:space="preserve"> </w:t>
      </w:r>
    </w:p>
    <w:tbl>
      <w:tblPr>
        <w:tblStyle w:val="Tabellenraster"/>
        <w:tblW w:w="75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2584"/>
      </w:tblGrid>
      <w:tr w:rsidR="00283D4E" w:rsidRPr="001643C2" w:rsidTr="00826FF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3D4E" w:rsidRPr="006D4FE6" w:rsidRDefault="00283D4E" w:rsidP="00826FFE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Association with </w:t>
            </w:r>
            <w:r w:rsidRPr="001643C2">
              <w:rPr>
                <w:rFonts w:ascii="Arial" w:hAnsi="Arial" w:cs="Arial"/>
                <w:lang w:val="en-GB"/>
              </w:rPr>
              <w:t>BRFS (&lt;0.2ng/mL)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3D4E" w:rsidRPr="001643C2" w:rsidRDefault="00283D4E" w:rsidP="00826FF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p-Value</w:t>
            </w:r>
            <w:r w:rsidRPr="001643C2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</w:tr>
      <w:tr w:rsidR="00283D4E" w:rsidRPr="006D4FE6" w:rsidTr="00826FFE"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83D4E" w:rsidRPr="005660A6" w:rsidRDefault="00283D4E" w:rsidP="00826FFE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bookmarkStart w:id="1" w:name="_Hlk16606305"/>
            <w:r w:rsidRPr="003563C3">
              <w:rPr>
                <w:rFonts w:ascii="Arial" w:hAnsi="Arial" w:cs="Arial"/>
                <w:lang w:val="en-GB"/>
              </w:rPr>
              <w:t>SLND</w:t>
            </w:r>
            <w:r>
              <w:rPr>
                <w:rFonts w:ascii="Arial" w:hAnsi="Arial" w:cs="Arial"/>
                <w:lang w:val="en-GB"/>
              </w:rPr>
              <w:t xml:space="preserve"> vs.</w:t>
            </w:r>
            <w:r w:rsidRPr="003563C3">
              <w:rPr>
                <w:rFonts w:ascii="Arial" w:hAnsi="Arial" w:cs="Arial"/>
                <w:lang w:val="en-GB"/>
              </w:rPr>
              <w:t xml:space="preserve"> SLNRT</w:t>
            </w:r>
          </w:p>
        </w:tc>
        <w:tc>
          <w:tcPr>
            <w:tcW w:w="230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283D4E" w:rsidRPr="005660A6" w:rsidRDefault="00283D4E" w:rsidP="00826FF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0.001</w:t>
            </w:r>
          </w:p>
        </w:tc>
      </w:tr>
      <w:bookmarkEnd w:id="1"/>
      <w:tr w:rsidR="00283D4E" w:rsidRPr="006D4FE6" w:rsidTr="00826FF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83D4E" w:rsidRPr="006D4FE6" w:rsidRDefault="00283D4E" w:rsidP="00826FFE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GS </w:t>
            </w:r>
            <w:r w:rsidRPr="008E4021">
              <w:rPr>
                <w:rFonts w:ascii="Arial" w:hAnsi="Arial" w:cs="Arial"/>
                <w:lang w:val="en-GB"/>
              </w:rPr>
              <w:t>≤6-7</w:t>
            </w:r>
            <w:r>
              <w:rPr>
                <w:rFonts w:ascii="Arial" w:hAnsi="Arial" w:cs="Arial"/>
                <w:lang w:val="en-GB"/>
              </w:rPr>
              <w:t xml:space="preserve"> vs. GS </w:t>
            </w:r>
            <w:r w:rsidRPr="008E4021">
              <w:rPr>
                <w:rFonts w:ascii="Arial" w:hAnsi="Arial" w:cs="Arial"/>
                <w:lang w:val="en-GB"/>
              </w:rPr>
              <w:t>8-9</w:t>
            </w:r>
          </w:p>
        </w:tc>
        <w:tc>
          <w:tcPr>
            <w:tcW w:w="230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83D4E" w:rsidRPr="006D4FE6" w:rsidRDefault="00283D4E" w:rsidP="00826FF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0.025</w:t>
            </w:r>
          </w:p>
        </w:tc>
      </w:tr>
      <w:tr w:rsidR="00283D4E" w:rsidRPr="001407E3" w:rsidTr="00826FF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83D4E" w:rsidRPr="006D4FE6" w:rsidRDefault="00283D4E" w:rsidP="00826FFE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3C407F">
              <w:rPr>
                <w:rFonts w:ascii="Arial" w:hAnsi="Arial" w:cs="Arial"/>
                <w:lang w:val="en-GB"/>
              </w:rPr>
              <w:t>T2</w:t>
            </w:r>
            <w:r>
              <w:rPr>
                <w:rFonts w:ascii="Arial" w:hAnsi="Arial" w:cs="Arial"/>
                <w:lang w:val="en-GB"/>
              </w:rPr>
              <w:t xml:space="preserve"> vs. </w:t>
            </w:r>
            <w:r w:rsidRPr="003C407F">
              <w:rPr>
                <w:rFonts w:ascii="Arial" w:hAnsi="Arial" w:cs="Arial"/>
                <w:lang w:val="en-GB"/>
              </w:rPr>
              <w:t>T3-4</w:t>
            </w:r>
          </w:p>
        </w:tc>
        <w:tc>
          <w:tcPr>
            <w:tcW w:w="230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83D4E" w:rsidRPr="006D4FE6" w:rsidRDefault="00283D4E" w:rsidP="00826FF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0.633</w:t>
            </w:r>
          </w:p>
        </w:tc>
      </w:tr>
      <w:tr w:rsidR="00283D4E" w:rsidRPr="006D4FE6" w:rsidTr="00826FF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83D4E" w:rsidRPr="006D4FE6" w:rsidRDefault="00283D4E" w:rsidP="00826FFE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3C407F">
              <w:rPr>
                <w:rFonts w:ascii="Arial" w:hAnsi="Arial" w:cs="Arial"/>
                <w:lang w:val="en-GB"/>
              </w:rPr>
              <w:t>N0</w:t>
            </w:r>
            <w:r>
              <w:rPr>
                <w:rFonts w:ascii="Arial" w:hAnsi="Arial" w:cs="Arial"/>
                <w:lang w:val="en-GB"/>
              </w:rPr>
              <w:t xml:space="preserve">/Nx vs. </w:t>
            </w:r>
            <w:r w:rsidRPr="003C407F">
              <w:rPr>
                <w:rFonts w:ascii="Arial" w:hAnsi="Arial" w:cs="Arial"/>
                <w:lang w:val="en-GB"/>
              </w:rPr>
              <w:t>N1</w:t>
            </w:r>
          </w:p>
        </w:tc>
        <w:tc>
          <w:tcPr>
            <w:tcW w:w="230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83D4E" w:rsidRPr="006D4FE6" w:rsidRDefault="00283D4E" w:rsidP="00826FF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0.834</w:t>
            </w:r>
          </w:p>
        </w:tc>
      </w:tr>
      <w:tr w:rsidR="00283D4E" w:rsidRPr="006D4FE6" w:rsidTr="00826FF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83D4E" w:rsidRPr="006D4FE6" w:rsidRDefault="00283D4E" w:rsidP="00826FFE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  <w:r w:rsidRPr="000D4C78">
              <w:rPr>
                <w:rFonts w:ascii="Arial" w:hAnsi="Arial" w:cs="Arial"/>
                <w:lang w:val="en-GB"/>
              </w:rPr>
              <w:t>ow</w:t>
            </w:r>
            <w:r>
              <w:rPr>
                <w:rFonts w:ascii="Arial" w:hAnsi="Arial" w:cs="Arial"/>
                <w:lang w:val="en-GB"/>
              </w:rPr>
              <w:t>/</w:t>
            </w:r>
            <w:r w:rsidRPr="000D4C78">
              <w:rPr>
                <w:rFonts w:ascii="Arial" w:hAnsi="Arial" w:cs="Arial"/>
                <w:lang w:val="en-GB"/>
              </w:rPr>
              <w:t>intermediate</w:t>
            </w:r>
            <w:r>
              <w:rPr>
                <w:rFonts w:ascii="Arial" w:hAnsi="Arial" w:cs="Arial"/>
                <w:lang w:val="en-GB"/>
              </w:rPr>
              <w:t xml:space="preserve"> vs. </w:t>
            </w:r>
            <w:r w:rsidRPr="000D4C78">
              <w:rPr>
                <w:rFonts w:ascii="Arial" w:hAnsi="Arial" w:cs="Arial"/>
                <w:lang w:val="en-GB"/>
              </w:rPr>
              <w:t>high</w:t>
            </w:r>
            <w:r>
              <w:rPr>
                <w:rFonts w:ascii="Arial" w:hAnsi="Arial" w:cs="Arial"/>
                <w:lang w:val="en-GB"/>
              </w:rPr>
              <w:t xml:space="preserve"> D’Amico </w:t>
            </w:r>
          </w:p>
        </w:tc>
        <w:tc>
          <w:tcPr>
            <w:tcW w:w="230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83D4E" w:rsidRPr="006D4FE6" w:rsidRDefault="00283D4E" w:rsidP="00826FF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0.515</w:t>
            </w:r>
          </w:p>
        </w:tc>
      </w:tr>
      <w:tr w:rsidR="00283D4E" w:rsidRPr="00C122F5" w:rsidTr="00826FF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83D4E" w:rsidRPr="00C122F5" w:rsidRDefault="00283D4E" w:rsidP="00826FFE">
            <w:pPr>
              <w:spacing w:line="360" w:lineRule="auto"/>
              <w:jc w:val="both"/>
              <w:rPr>
                <w:rFonts w:ascii="Arial" w:hAnsi="Arial" w:cs="Arial"/>
                <w:color w:val="FF0000"/>
                <w:lang w:val="en-GB"/>
              </w:rPr>
            </w:pPr>
            <w:r w:rsidRPr="00C122F5">
              <w:rPr>
                <w:rFonts w:ascii="Arial" w:hAnsi="Arial" w:cs="Arial"/>
                <w:color w:val="FF0000"/>
                <w:lang w:val="en-GB"/>
              </w:rPr>
              <w:t>PSA at salvage therapy [ng/ml]</w:t>
            </w:r>
          </w:p>
        </w:tc>
        <w:tc>
          <w:tcPr>
            <w:tcW w:w="230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83D4E" w:rsidRPr="00C122F5" w:rsidRDefault="00283D4E" w:rsidP="00826FFE">
            <w:pPr>
              <w:spacing w:line="360" w:lineRule="auto"/>
              <w:jc w:val="center"/>
              <w:rPr>
                <w:rFonts w:ascii="Arial" w:hAnsi="Arial" w:cs="Arial"/>
                <w:color w:val="FF0000"/>
                <w:lang w:val="en-GB"/>
              </w:rPr>
            </w:pPr>
            <w:r w:rsidRPr="00C122F5">
              <w:rPr>
                <w:rFonts w:ascii="Arial" w:hAnsi="Arial" w:cs="Arial"/>
                <w:color w:val="FF0000"/>
                <w:lang w:val="en-GB"/>
              </w:rPr>
              <w:t>0.0</w:t>
            </w:r>
            <w:r>
              <w:rPr>
                <w:rFonts w:ascii="Arial" w:hAnsi="Arial" w:cs="Arial"/>
                <w:color w:val="FF0000"/>
                <w:lang w:val="en-GB"/>
              </w:rPr>
              <w:t>01</w:t>
            </w:r>
          </w:p>
        </w:tc>
      </w:tr>
      <w:tr w:rsidR="00283D4E" w:rsidRPr="006D4FE6" w:rsidTr="00826FF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83D4E" w:rsidRPr="006D4FE6" w:rsidRDefault="00283D4E" w:rsidP="00826FFE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0D4C78">
              <w:rPr>
                <w:rFonts w:ascii="Arial" w:hAnsi="Arial" w:cs="Arial"/>
                <w:lang w:val="en-GB"/>
              </w:rPr>
              <w:t xml:space="preserve">PSA </w:t>
            </w:r>
            <w:r>
              <w:rPr>
                <w:rFonts w:ascii="Arial" w:hAnsi="Arial" w:cs="Arial"/>
                <w:lang w:val="en-GB"/>
              </w:rPr>
              <w:t>p</w:t>
            </w:r>
            <w:r w:rsidRPr="000D4C78">
              <w:rPr>
                <w:rFonts w:ascii="Arial" w:hAnsi="Arial" w:cs="Arial"/>
                <w:lang w:val="en-GB"/>
              </w:rPr>
              <w:t>ersistence</w:t>
            </w:r>
            <w:r>
              <w:rPr>
                <w:rFonts w:ascii="Arial" w:hAnsi="Arial" w:cs="Arial"/>
                <w:lang w:val="en-GB"/>
              </w:rPr>
              <w:t xml:space="preserve"> vs. PSA r</w:t>
            </w:r>
            <w:r w:rsidRPr="000D4C78">
              <w:rPr>
                <w:rFonts w:ascii="Arial" w:hAnsi="Arial" w:cs="Arial"/>
                <w:lang w:val="en-GB"/>
              </w:rPr>
              <w:t>ecurrence</w:t>
            </w:r>
          </w:p>
        </w:tc>
        <w:tc>
          <w:tcPr>
            <w:tcW w:w="230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83D4E" w:rsidRDefault="00283D4E" w:rsidP="00826FF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0.100</w:t>
            </w:r>
          </w:p>
        </w:tc>
      </w:tr>
      <w:tr w:rsidR="00283D4E" w:rsidRPr="006D4FE6" w:rsidTr="00826FFE"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83D4E" w:rsidRPr="006D4FE6" w:rsidRDefault="00283D4E" w:rsidP="00826FFE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6D4FE6">
              <w:rPr>
                <w:rFonts w:ascii="Arial" w:hAnsi="Arial" w:cs="Arial"/>
                <w:lang w:val="en-GB"/>
              </w:rPr>
              <w:t xml:space="preserve">PET-pos. LN </w:t>
            </w:r>
            <w:r w:rsidRPr="000D4C78">
              <w:rPr>
                <w:rFonts w:ascii="Arial" w:hAnsi="Arial" w:cs="Arial"/>
                <w:lang w:val="en-GB"/>
              </w:rPr>
              <w:t>pelvic</w:t>
            </w:r>
            <w:r>
              <w:rPr>
                <w:rFonts w:ascii="Arial" w:hAnsi="Arial" w:cs="Arial"/>
                <w:lang w:val="en-GB"/>
              </w:rPr>
              <w:t xml:space="preserve"> vs. </w:t>
            </w:r>
            <w:r w:rsidRPr="000D4C78">
              <w:rPr>
                <w:rFonts w:ascii="Arial" w:hAnsi="Arial" w:cs="Arial"/>
                <w:lang w:val="en-GB"/>
              </w:rPr>
              <w:t>retroperitoneal</w:t>
            </w:r>
            <w:r>
              <w:rPr>
                <w:rFonts w:ascii="Arial" w:hAnsi="Arial" w:cs="Arial"/>
                <w:lang w:val="en-GB"/>
              </w:rPr>
              <w:t>/</w:t>
            </w:r>
            <w:r w:rsidRPr="000D4C78">
              <w:rPr>
                <w:rFonts w:ascii="Arial" w:hAnsi="Arial" w:cs="Arial"/>
                <w:lang w:val="en-GB"/>
              </w:rPr>
              <w:t>both</w:t>
            </w:r>
          </w:p>
        </w:tc>
        <w:tc>
          <w:tcPr>
            <w:tcW w:w="230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283D4E" w:rsidRPr="006D4FE6" w:rsidRDefault="00283D4E" w:rsidP="00826FF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0.217</w:t>
            </w:r>
          </w:p>
        </w:tc>
      </w:tr>
      <w:tr w:rsidR="00283D4E" w:rsidRPr="000C3BF2" w:rsidTr="00826FFE">
        <w:tc>
          <w:tcPr>
            <w:tcW w:w="753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3D4E" w:rsidRPr="006D4FE6" w:rsidRDefault="00283D4E" w:rsidP="00826FFE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C321E4">
              <w:rPr>
                <w:rFonts w:ascii="Arial" w:hAnsi="Arial" w:cs="Arial"/>
                <w:sz w:val="18"/>
                <w:szCs w:val="18"/>
                <w:lang w:val="en-GB"/>
              </w:rPr>
              <w:t>ᵃ</w:t>
            </w:r>
            <w:r w:rsidRPr="00ED6B0C">
              <w:rPr>
                <w:lang w:val="en-US"/>
              </w:rPr>
              <w:t xml:space="preserve"> </w:t>
            </w:r>
            <w:r w:rsidRPr="00ED6B0C">
              <w:rPr>
                <w:rFonts w:ascii="Arial" w:hAnsi="Arial" w:cs="Arial"/>
                <w:sz w:val="18"/>
                <w:szCs w:val="18"/>
                <w:lang w:val="en-GB"/>
              </w:rPr>
              <w:t>chi-square test</w:t>
            </w:r>
            <w:r w:rsidRPr="00C321E4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97786C">
              <w:rPr>
                <w:rFonts w:ascii="Arial" w:hAnsi="Arial" w:cs="Arial"/>
                <w:sz w:val="18"/>
                <w:szCs w:val="18"/>
                <w:lang w:val="en-GB"/>
              </w:rPr>
              <w:t>and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Mann-Whitney U test,</w:t>
            </w:r>
            <w:r w:rsidRPr="003563C3">
              <w:rPr>
                <w:lang w:val="en-US"/>
              </w:rPr>
              <w:t xml:space="preserve"> </w:t>
            </w:r>
            <w:r w:rsidRPr="003563C3">
              <w:rPr>
                <w:rFonts w:ascii="Arial" w:hAnsi="Arial" w:cs="Arial"/>
                <w:sz w:val="18"/>
                <w:szCs w:val="18"/>
                <w:lang w:val="en-GB"/>
              </w:rPr>
              <w:t>SLND: salvage lymph node dissection, SLNRT: salvage lymph node radiotherapy,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6D4FE6">
              <w:rPr>
                <w:rFonts w:ascii="Arial" w:hAnsi="Arial" w:cs="Arial"/>
                <w:sz w:val="18"/>
                <w:szCs w:val="18"/>
                <w:lang w:val="en-GB"/>
              </w:rPr>
              <w:t>BRFS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  <w:r w:rsidRPr="006D4FE6">
              <w:rPr>
                <w:rFonts w:ascii="Arial" w:hAnsi="Arial" w:cs="Arial"/>
                <w:sz w:val="18"/>
                <w:szCs w:val="18"/>
                <w:lang w:val="en-GB"/>
              </w:rPr>
              <w:t xml:space="preserve"> biochemical recurrence free survival,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GS: Gleason Score; T: Tumor stage, N: Nodal stage, PSA: prostate specific antigen, LN: lymph node </w:t>
            </w:r>
          </w:p>
        </w:tc>
      </w:tr>
    </w:tbl>
    <w:p w:rsidR="00283D4E" w:rsidRPr="00C23E25" w:rsidRDefault="00283D4E" w:rsidP="00283D4E">
      <w:pPr>
        <w:spacing w:after="160" w:line="360" w:lineRule="auto"/>
        <w:jc w:val="both"/>
        <w:rPr>
          <w:lang w:val="en-US"/>
        </w:rPr>
      </w:pPr>
    </w:p>
    <w:p w:rsidR="00EF6E53" w:rsidRPr="00283D4E" w:rsidRDefault="00EF6E53">
      <w:pPr>
        <w:rPr>
          <w:lang w:val="en-US"/>
        </w:rPr>
      </w:pPr>
    </w:p>
    <w:sectPr w:rsidR="00EF6E53" w:rsidRPr="00283D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D4E"/>
    <w:rsid w:val="00283D4E"/>
    <w:rsid w:val="004E3DE7"/>
    <w:rsid w:val="006A6F99"/>
    <w:rsid w:val="00E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8B1A"/>
  <w15:chartTrackingRefBased/>
  <w15:docId w15:val="{8DFB67CA-3AB6-4F4F-A363-8021BD048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3D4E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8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644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Nina-Sophie Schmidt-Hegemann</dc:creator>
  <cp:keywords/>
  <dc:description/>
  <cp:lastModifiedBy>Nina-Sophie Schmidt-Hegemann</cp:lastModifiedBy>
  <cp:revision>2</cp:revision>
  <dcterms:created xsi:type="dcterms:W3CDTF">2020-02-18T20:27:00Z</dcterms:created>
  <dcterms:modified xsi:type="dcterms:W3CDTF">2020-02-18T20:40:00Z</dcterms:modified>
</cp:coreProperties>
</file>