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C29EF" w14:textId="3D356D6A" w:rsidR="006B1CFC" w:rsidRDefault="00000000">
      <w:pPr>
        <w:pStyle w:val="Default"/>
        <w:spacing w:line="360" w:lineRule="auto"/>
        <w:jc w:val="both"/>
        <w:rPr>
          <w:rFonts w:ascii="Times New Roman" w:hAnsi="Times New Roman" w:cs="Times New Roman"/>
          <w:b/>
          <w:bCs/>
          <w:color w:val="auto"/>
          <w:sz w:val="20"/>
          <w:szCs w:val="20"/>
        </w:rPr>
      </w:pPr>
      <w:r w:rsidRPr="002254A0">
        <w:rPr>
          <w:rFonts w:ascii="Times New Roman" w:hAnsi="Times New Roman" w:cs="Times New Roman"/>
          <w:b/>
          <w:bCs/>
          <w:color w:val="auto"/>
          <w:sz w:val="20"/>
          <w:szCs w:val="20"/>
        </w:rPr>
        <w:t xml:space="preserve">Supplementary 2 Immunofluorescence staining protocol </w:t>
      </w:r>
    </w:p>
    <w:p w14:paraId="7643166A" w14:textId="77777777" w:rsidR="00B563A4" w:rsidRPr="002254A0" w:rsidRDefault="00B563A4">
      <w:pPr>
        <w:pStyle w:val="Default"/>
        <w:spacing w:line="360" w:lineRule="auto"/>
        <w:jc w:val="both"/>
        <w:rPr>
          <w:rFonts w:ascii="Times New Roman" w:hAnsi="Times New Roman" w:cs="Times New Roman"/>
          <w:b/>
          <w:bCs/>
          <w:color w:val="auto"/>
          <w:sz w:val="20"/>
          <w:szCs w:val="20"/>
        </w:rPr>
      </w:pPr>
    </w:p>
    <w:p w14:paraId="10B1B355" w14:textId="7109BD93" w:rsidR="006B1CFC" w:rsidRPr="002254A0" w:rsidRDefault="00000000">
      <w:pPr>
        <w:pStyle w:val="Default"/>
        <w:spacing w:line="360" w:lineRule="auto"/>
        <w:jc w:val="both"/>
        <w:rPr>
          <w:rFonts w:ascii="Times New Roman" w:hAnsi="Times New Roman" w:cs="Times New Roman"/>
          <w:sz w:val="20"/>
          <w:szCs w:val="20"/>
        </w:rPr>
      </w:pPr>
      <w:r w:rsidRPr="002254A0">
        <w:rPr>
          <w:rFonts w:ascii="Times New Roman" w:hAnsi="Times New Roman" w:cs="Times New Roman"/>
          <w:sz w:val="20"/>
          <w:szCs w:val="20"/>
        </w:rPr>
        <w:t xml:space="preserve">Tyramide-signal amplification (TSA)-based Opal multiplex </w:t>
      </w:r>
      <w:r w:rsidR="00656EAC" w:rsidRPr="002254A0">
        <w:rPr>
          <w:rFonts w:ascii="Times New Roman" w:hAnsi="Times New Roman" w:cs="Times New Roman"/>
          <w:sz w:val="20"/>
          <w:szCs w:val="20"/>
        </w:rPr>
        <w:t>immunohistochemistry</w:t>
      </w:r>
      <w:r w:rsidRPr="002254A0">
        <w:rPr>
          <w:rFonts w:ascii="Times New Roman" w:hAnsi="Times New Roman" w:cs="Times New Roman"/>
          <w:sz w:val="20"/>
          <w:szCs w:val="20"/>
        </w:rPr>
        <w:t xml:space="preserve"> </w:t>
      </w:r>
      <w:r w:rsidR="00656EAC" w:rsidRPr="002254A0">
        <w:rPr>
          <w:rFonts w:ascii="Times New Roman" w:hAnsi="Times New Roman" w:cs="Times New Roman"/>
          <w:sz w:val="20"/>
          <w:szCs w:val="20"/>
        </w:rPr>
        <w:t xml:space="preserve">which </w:t>
      </w:r>
      <w:r w:rsidRPr="002254A0">
        <w:rPr>
          <w:rStyle w:val="cf01"/>
          <w:rFonts w:ascii="Times New Roman" w:hAnsi="Times New Roman" w:cs="Times New Roman"/>
          <w:sz w:val="20"/>
          <w:szCs w:val="20"/>
        </w:rPr>
        <w:t xml:space="preserve">can detect up to six co-localized epitopes (markers) on a single tissue section and </w:t>
      </w:r>
      <w:r w:rsidRPr="002254A0">
        <w:rPr>
          <w:rFonts w:ascii="Times New Roman" w:hAnsi="Times New Roman" w:cs="Times New Roman"/>
          <w:sz w:val="20"/>
          <w:szCs w:val="20"/>
        </w:rPr>
        <w:t>emerged as an advanced technique for investigating the TME [19,42].</w:t>
      </w:r>
      <w:r w:rsidRPr="002254A0">
        <w:rPr>
          <w:rStyle w:val="cf01"/>
          <w:rFonts w:ascii="Times New Roman" w:hAnsi="Times New Roman" w:cs="Times New Roman"/>
          <w:sz w:val="20"/>
          <w:szCs w:val="20"/>
        </w:rPr>
        <w:t xml:space="preserve"> Here, we established and used a six-marker staining protocol (plus DAPI) to detect </w:t>
      </w:r>
      <w:r w:rsidRPr="002254A0">
        <w:rPr>
          <w:rFonts w:ascii="Times New Roman" w:hAnsi="Times New Roman" w:cs="Times New Roman"/>
          <w:sz w:val="20"/>
          <w:szCs w:val="20"/>
        </w:rPr>
        <w:t>FAK, ILK, CD44,</w:t>
      </w:r>
      <w:r w:rsidRPr="002254A0">
        <w:rPr>
          <w:rFonts w:ascii="Times New Roman" w:hAnsi="Times New Roman" w:cs="Times New Roman"/>
          <w:sz w:val="20"/>
          <w:szCs w:val="20"/>
          <w:lang w:eastAsia="en-GB"/>
        </w:rPr>
        <w:t xml:space="preserve"> HIF-1</w:t>
      </w:r>
      <w:r w:rsidRPr="002254A0">
        <w:rPr>
          <w:rStyle w:val="st"/>
          <w:rFonts w:ascii="Times New Roman" w:hAnsi="Times New Roman" w:cs="Times New Roman"/>
          <w:sz w:val="20"/>
          <w:szCs w:val="20"/>
        </w:rPr>
        <w:t>α</w:t>
      </w:r>
      <w:r w:rsidRPr="002254A0">
        <w:rPr>
          <w:rFonts w:ascii="Times New Roman" w:hAnsi="Times New Roman" w:cs="Times New Roman"/>
          <w:sz w:val="20"/>
          <w:szCs w:val="20"/>
          <w:vertAlign w:val="superscript"/>
        </w:rPr>
        <w:t xml:space="preserve"> </w:t>
      </w:r>
      <w:r w:rsidRPr="002254A0">
        <w:rPr>
          <w:rFonts w:ascii="Times New Roman" w:hAnsi="Times New Roman" w:cs="Times New Roman"/>
          <w:sz w:val="20"/>
          <w:szCs w:val="20"/>
          <w:lang w:eastAsia="en-GB"/>
        </w:rPr>
        <w:t>and Ki67</w:t>
      </w:r>
      <w:r w:rsidRPr="002254A0">
        <w:rPr>
          <w:rFonts w:ascii="Times New Roman" w:hAnsi="Times New Roman" w:cs="Times New Roman"/>
          <w:sz w:val="20"/>
          <w:szCs w:val="20"/>
        </w:rPr>
        <w:t xml:space="preserve"> </w:t>
      </w:r>
      <w:r w:rsidRPr="002254A0">
        <w:rPr>
          <w:rStyle w:val="cf01"/>
          <w:rFonts w:ascii="Times New Roman" w:hAnsi="Times New Roman" w:cs="Times New Roman"/>
          <w:sz w:val="20"/>
          <w:szCs w:val="20"/>
        </w:rPr>
        <w:t>expressing cells</w:t>
      </w:r>
      <w:r w:rsidRPr="002254A0">
        <w:rPr>
          <w:rFonts w:ascii="Times New Roman" w:eastAsia="Times New Roman" w:hAnsi="Times New Roman" w:cs="Times New Roman"/>
          <w:sz w:val="20"/>
          <w:szCs w:val="20"/>
        </w:rPr>
        <w:t xml:space="preserve">. </w:t>
      </w:r>
    </w:p>
    <w:p w14:paraId="0C3980F3" w14:textId="77777777" w:rsidR="006B1CFC" w:rsidRPr="002254A0" w:rsidRDefault="00000000">
      <w:pPr>
        <w:autoSpaceDE w:val="0"/>
        <w:spacing w:before="240" w:after="0" w:line="360" w:lineRule="auto"/>
        <w:jc w:val="both"/>
        <w:rPr>
          <w:rFonts w:ascii="Times New Roman" w:hAnsi="Times New Roman"/>
          <w:sz w:val="20"/>
          <w:szCs w:val="20"/>
          <w:lang w:val="en-US"/>
        </w:rPr>
      </w:pPr>
      <w:r w:rsidRPr="002254A0">
        <w:rPr>
          <w:rFonts w:ascii="Times New Roman" w:hAnsi="Times New Roman"/>
          <w:sz w:val="20"/>
          <w:szCs w:val="20"/>
          <w:lang w:val="en-US" w:eastAsia="en-GB"/>
        </w:rPr>
        <w:t>FFPE tumor blocks from patients with EC were obtained from the BioBank Dresden</w:t>
      </w:r>
      <w:r w:rsidRPr="002254A0">
        <w:rPr>
          <w:rFonts w:ascii="Times New Roman" w:hAnsi="Times New Roman"/>
          <w:sz w:val="20"/>
          <w:szCs w:val="20"/>
          <w:lang w:val="en-US"/>
        </w:rPr>
        <w:t>, of the UKD</w:t>
      </w:r>
      <w:r w:rsidRPr="002254A0">
        <w:rPr>
          <w:rFonts w:ascii="Times New Roman" w:hAnsi="Times New Roman"/>
          <w:sz w:val="20"/>
          <w:szCs w:val="20"/>
          <w:lang w:val="en-US" w:eastAsia="en-GB"/>
        </w:rPr>
        <w:t xml:space="preserve">. </w:t>
      </w:r>
      <w:r w:rsidRPr="002254A0">
        <w:rPr>
          <w:rStyle w:val="markedcontent"/>
          <w:rFonts w:ascii="Times New Roman" w:hAnsi="Times New Roman"/>
          <w:sz w:val="20"/>
          <w:szCs w:val="20"/>
          <w:lang w:val="en-US"/>
        </w:rPr>
        <w:t xml:space="preserve">The FFPE tumor tissues were sectioned </w:t>
      </w:r>
      <w:r w:rsidRPr="002254A0">
        <w:rPr>
          <w:rFonts w:ascii="Times New Roman" w:hAnsi="Times New Roman"/>
          <w:sz w:val="20"/>
          <w:szCs w:val="20"/>
          <w:lang w:val="en-US" w:eastAsia="en-GB"/>
        </w:rPr>
        <w:t>at 3 µm thickness</w:t>
      </w:r>
      <w:r w:rsidRPr="002254A0">
        <w:rPr>
          <w:rFonts w:ascii="Times New Roman" w:hAnsi="Times New Roman"/>
          <w:sz w:val="20"/>
          <w:szCs w:val="20"/>
          <w:lang w:val="en-US"/>
        </w:rPr>
        <w:t xml:space="preserve">. For each patient, </w:t>
      </w:r>
      <w:r w:rsidRPr="002254A0">
        <w:rPr>
          <w:rFonts w:ascii="Times New Roman" w:hAnsi="Times New Roman"/>
          <w:color w:val="000000"/>
          <w:sz w:val="20"/>
          <w:szCs w:val="20"/>
          <w:lang w:val="en-US"/>
        </w:rPr>
        <w:t>multiplex immunofluorescence staining</w:t>
      </w:r>
      <w:r w:rsidRPr="002254A0">
        <w:rPr>
          <w:rFonts w:ascii="Times New Roman" w:hAnsi="Times New Roman"/>
          <w:sz w:val="20"/>
          <w:szCs w:val="20"/>
          <w:lang w:val="en-US"/>
        </w:rPr>
        <w:t xml:space="preserve"> and analyses of all the markers presented here was performed on all FFPE blocks that were confirmed with primary tumor from histological diagnosis on </w:t>
      </w:r>
      <w:r w:rsidRPr="002254A0">
        <w:rPr>
          <w:rStyle w:val="markedcontent"/>
          <w:rFonts w:ascii="Times New Roman" w:hAnsi="Times New Roman"/>
          <w:sz w:val="20"/>
          <w:szCs w:val="20"/>
          <w:lang w:val="en-US"/>
        </w:rPr>
        <w:t>Hematoxylin (Polyscience, Inc. Warrington) and Eosin (Sigma-Aldrich) staining for 40 and 30 minutes respectively.</w:t>
      </w:r>
      <w:r w:rsidRPr="002254A0">
        <w:rPr>
          <w:rFonts w:ascii="Times New Roman" w:hAnsi="Times New Roman"/>
          <w:sz w:val="20"/>
          <w:szCs w:val="20"/>
          <w:lang w:val="en-US"/>
        </w:rPr>
        <w:t xml:space="preserve"> </w:t>
      </w:r>
      <w:r w:rsidRPr="002254A0">
        <w:rPr>
          <w:rFonts w:ascii="Times New Roman" w:hAnsi="Times New Roman"/>
          <w:color w:val="000000"/>
          <w:sz w:val="20"/>
          <w:szCs w:val="20"/>
          <w:lang w:val="en-US"/>
        </w:rPr>
        <w:t>The automated Ventana Instrument (Discovery Ultra-</w:t>
      </w:r>
      <w:r w:rsidRPr="002254A0">
        <w:rPr>
          <w:rFonts w:ascii="Times New Roman" w:hAnsi="Times New Roman"/>
          <w:sz w:val="20"/>
          <w:szCs w:val="20"/>
          <w:lang w:val="en-US"/>
        </w:rPr>
        <w:t>0598775000</w:t>
      </w:r>
      <w:r w:rsidRPr="002254A0">
        <w:rPr>
          <w:rFonts w:ascii="Times New Roman" w:hAnsi="Times New Roman"/>
          <w:color w:val="000000"/>
          <w:sz w:val="20"/>
          <w:szCs w:val="20"/>
          <w:lang w:val="en-US"/>
        </w:rPr>
        <w:t>, Roche, Basel, Switzerland) was used for performing the staining. After deparaffinization, antigen retrieval was performed in the cell conditioning 1 solution (Ventana Medical Systems, Tucson, AZ). Incubation of the primary antibody followed for 32 min at 36°C. Then, the appropriate secondary antibody (OmniMap anti-</w:t>
      </w:r>
      <w:r w:rsidRPr="002254A0">
        <w:rPr>
          <w:rFonts w:ascii="Times New Roman" w:hAnsi="Times New Roman"/>
          <w:sz w:val="20"/>
          <w:szCs w:val="20"/>
          <w:lang w:val="en-US"/>
        </w:rPr>
        <w:t xml:space="preserve">mouse or anti-rabbit </w:t>
      </w:r>
      <w:r w:rsidRPr="002254A0">
        <w:rPr>
          <w:rFonts w:ascii="Times New Roman" w:hAnsi="Times New Roman"/>
          <w:color w:val="000000"/>
          <w:sz w:val="20"/>
          <w:szCs w:val="20"/>
          <w:lang w:val="en-US"/>
        </w:rPr>
        <w:t xml:space="preserve">ready-to-use (Ventana Medical Systems)) was applied for 12 min. Finally, one of the TSA fluorophores </w:t>
      </w:r>
      <w:r w:rsidRPr="002254A0">
        <w:rPr>
          <w:rFonts w:ascii="Times New Roman" w:hAnsi="Times New Roman"/>
          <w:sz w:val="20"/>
          <w:szCs w:val="20"/>
          <w:lang w:val="en-US"/>
        </w:rPr>
        <w:t>(Akoya Biosciences) was added to the tissue slides for</w:t>
      </w:r>
      <w:r w:rsidRPr="002254A0">
        <w:rPr>
          <w:rFonts w:ascii="Times New Roman" w:hAnsi="Times New Roman"/>
          <w:color w:val="000000"/>
          <w:sz w:val="20"/>
          <w:szCs w:val="20"/>
          <w:lang w:val="en-US"/>
        </w:rPr>
        <w:t xml:space="preserve"> </w:t>
      </w:r>
      <w:r w:rsidRPr="002254A0">
        <w:rPr>
          <w:rFonts w:ascii="Times New Roman" w:hAnsi="Times New Roman"/>
          <w:sz w:val="20"/>
          <w:szCs w:val="20"/>
          <w:lang w:val="en-US"/>
        </w:rPr>
        <w:t>8 min. The primary and secondary antibodies were stripped off by heating the slides at 100°C in the cell conditioning 2 solution (Ventana Medical Systems) for 24 min. All steps except deparaffinization and antigen</w:t>
      </w:r>
      <w:r w:rsidRPr="002254A0">
        <w:rPr>
          <w:rFonts w:ascii="Times New Roman" w:hAnsi="Times New Roman"/>
          <w:color w:val="000000"/>
          <w:sz w:val="20"/>
          <w:szCs w:val="20"/>
          <w:lang w:val="en-US"/>
        </w:rPr>
        <w:t xml:space="preserve"> </w:t>
      </w:r>
      <w:r w:rsidRPr="002254A0">
        <w:rPr>
          <w:rFonts w:ascii="Times New Roman" w:hAnsi="Times New Roman"/>
          <w:sz w:val="20"/>
          <w:szCs w:val="20"/>
          <w:lang w:val="en-US"/>
        </w:rPr>
        <w:t xml:space="preserve">retrieval were repeated for each marker </w:t>
      </w:r>
      <w:r w:rsidRPr="002254A0">
        <w:rPr>
          <w:rStyle w:val="cf01"/>
          <w:rFonts w:ascii="Times New Roman" w:hAnsi="Times New Roman" w:cs="Times New Roman"/>
          <w:sz w:val="20"/>
          <w:szCs w:val="20"/>
          <w:lang w:val="en-US"/>
        </w:rPr>
        <w:t>using a different TSA fluorophore for each primary antibody</w:t>
      </w:r>
      <w:r w:rsidRPr="002254A0">
        <w:rPr>
          <w:rFonts w:ascii="Times New Roman" w:hAnsi="Times New Roman"/>
          <w:sz w:val="20"/>
          <w:szCs w:val="20"/>
          <w:lang w:val="en-US"/>
        </w:rPr>
        <w:t>. Finally, tissue slides were counterstained with DAPI (Sigma Aldrich) and coverslipped with fluoromount medium (Southern Biotech, Birmingham, AL). The antibodies and other reagents used for the staining are summarized (see Supplementary Table 2)</w:t>
      </w:r>
      <w:r w:rsidRPr="002254A0">
        <w:rPr>
          <w:rFonts w:ascii="Times New Roman" w:hAnsi="Times New Roman"/>
          <w:b/>
          <w:sz w:val="20"/>
          <w:szCs w:val="20"/>
          <w:lang w:val="en-US"/>
        </w:rPr>
        <w:t>.</w:t>
      </w:r>
      <w:r w:rsidRPr="002254A0">
        <w:rPr>
          <w:rFonts w:ascii="Times New Roman" w:hAnsi="Times New Roman"/>
          <w:sz w:val="20"/>
          <w:szCs w:val="20"/>
          <w:lang w:val="en-US"/>
        </w:rPr>
        <w:t xml:space="preserve"> </w:t>
      </w:r>
    </w:p>
    <w:p w14:paraId="15149F2E" w14:textId="77777777" w:rsidR="006B1CFC" w:rsidRPr="002254A0" w:rsidRDefault="006B1CFC">
      <w:pPr>
        <w:rPr>
          <w:rFonts w:ascii="Times New Roman" w:hAnsi="Times New Roman"/>
          <w:sz w:val="20"/>
          <w:szCs w:val="20"/>
          <w:lang w:val="en-US"/>
        </w:rPr>
      </w:pPr>
    </w:p>
    <w:sectPr w:rsidR="006B1CFC" w:rsidRPr="002254A0">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AEC14" w14:textId="77777777" w:rsidR="00891006" w:rsidRDefault="00891006">
      <w:pPr>
        <w:spacing w:after="0" w:line="240" w:lineRule="auto"/>
      </w:pPr>
      <w:r>
        <w:separator/>
      </w:r>
    </w:p>
  </w:endnote>
  <w:endnote w:type="continuationSeparator" w:id="0">
    <w:p w14:paraId="55370178" w14:textId="77777777" w:rsidR="00891006" w:rsidRDefault="00891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mbusSanL-Bold">
    <w:altName w:val="Yu Gothic"/>
    <w:charset w:val="00"/>
    <w:family w:val="auto"/>
    <w:pitch w:val="default"/>
  </w:font>
  <w:font w:name="Calibri Light">
    <w:panose1 w:val="020F0302020204030204"/>
    <w:charset w:val="00"/>
    <w:family w:val="swiss"/>
    <w:pitch w:val="variable"/>
    <w:sig w:usb0="E4002EFF" w:usb1="C200247B" w:usb2="00000009" w:usb3="00000000" w:csb0="000001FF" w:csb1="00000000"/>
  </w:font>
  <w:font w:name="FrutigerLTStd-Light">
    <w:altName w:val="Yu Gothic"/>
    <w:charset w:val="00"/>
    <w:family w:val="swiss"/>
    <w:pitch w:val="default"/>
  </w:font>
  <w:font w:name="JLFDK K+ Adv O T 5fa 4e 291">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FB5AA" w14:textId="77777777" w:rsidR="00891006" w:rsidRDefault="00891006">
      <w:pPr>
        <w:spacing w:after="0" w:line="240" w:lineRule="auto"/>
      </w:pPr>
      <w:r>
        <w:rPr>
          <w:color w:val="000000"/>
        </w:rPr>
        <w:separator/>
      </w:r>
    </w:p>
  </w:footnote>
  <w:footnote w:type="continuationSeparator" w:id="0">
    <w:p w14:paraId="5A61CB75" w14:textId="77777777" w:rsidR="00891006" w:rsidRDefault="008910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819F9"/>
    <w:multiLevelType w:val="multilevel"/>
    <w:tmpl w:val="5414F73E"/>
    <w:styleLink w:val="WWOutlineListStyle"/>
    <w:lvl w:ilvl="0">
      <w:start w:val="1"/>
      <w:numFmt w:val="decimal"/>
      <w:pStyle w:val="Heading1"/>
      <w:lvlText w:val="%1."/>
      <w:lvlJc w:val="left"/>
      <w:pPr>
        <w:ind w:left="720" w:hanging="720"/>
      </w:pPr>
    </w:lvl>
    <w:lvl w:ilvl="1">
      <w:start w:val="1"/>
      <w:numFmt w:val="none"/>
      <w:lvlText w:val="%2"/>
      <w:lvlJc w:val="left"/>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1426028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CFC"/>
    <w:rsid w:val="002254A0"/>
    <w:rsid w:val="002513D6"/>
    <w:rsid w:val="005C472E"/>
    <w:rsid w:val="00656EAC"/>
    <w:rsid w:val="006B1CFC"/>
    <w:rsid w:val="00891006"/>
    <w:rsid w:val="00895524"/>
    <w:rsid w:val="00946D0C"/>
    <w:rsid w:val="00B563A4"/>
    <w:rsid w:val="00CD17FE"/>
    <w:rsid w:val="00E04C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D1FF"/>
  <w15:docId w15:val="{8E86394D-1949-4061-AA10-9DF7757F9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de-DE"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numPr>
        <w:numId w:val="1"/>
      </w:numPr>
      <w:tabs>
        <w:tab w:val="left" w:pos="720"/>
      </w:tabs>
      <w:spacing w:before="1080" w:after="480" w:line="240" w:lineRule="auto"/>
      <w:outlineLvl w:val="0"/>
    </w:pPr>
    <w:rPr>
      <w:rFonts w:eastAsia="Times New Roman"/>
      <w:b/>
      <w:color w:val="000000"/>
      <w:sz w:val="32"/>
      <w:szCs w:val="32"/>
    </w:rPr>
  </w:style>
  <w:style w:type="paragraph" w:styleId="Heading2">
    <w:name w:val="heading 2"/>
    <w:basedOn w:val="Normal"/>
    <w:next w:val="Normal"/>
    <w:uiPriority w:val="9"/>
    <w:semiHidden/>
    <w:unhideWhenUsed/>
    <w:qFormat/>
    <w:pPr>
      <w:keepNext/>
      <w:keepLines/>
      <w:spacing w:after="360" w:line="240" w:lineRule="auto"/>
      <w:outlineLvl w:val="1"/>
    </w:pPr>
    <w:rPr>
      <w:rFonts w:eastAsia="NimbusSanL-Bold" w:cs="Calibri"/>
      <w:b/>
      <w:color w:val="000000"/>
      <w:sz w:val="28"/>
      <w:szCs w:val="28"/>
      <w:lang w:val="en"/>
    </w:rPr>
  </w:style>
  <w:style w:type="paragraph" w:styleId="Heading3">
    <w:name w:val="heading 3"/>
    <w:basedOn w:val="Normal"/>
    <w:next w:val="Normal"/>
    <w:uiPriority w:val="9"/>
    <w:semiHidden/>
    <w:unhideWhenUsed/>
    <w:qFormat/>
    <w:pPr>
      <w:keepNext/>
      <w:keepLines/>
      <w:spacing w:before="360" w:after="240" w:line="240" w:lineRule="auto"/>
      <w:outlineLvl w:val="2"/>
    </w:pPr>
    <w:rPr>
      <w:rFonts w:eastAsia="Times New Roman"/>
      <w:b/>
      <w:color w:val="000000"/>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character" w:customStyle="1" w:styleId="Heading1Char">
    <w:name w:val="Heading 1 Char"/>
    <w:basedOn w:val="DefaultParagraphFont"/>
    <w:rPr>
      <w:rFonts w:ascii="Calibri" w:eastAsia="Times New Roman" w:hAnsi="Calibri" w:cs="Times New Roman"/>
      <w:b/>
      <w:color w:val="000000"/>
      <w:sz w:val="32"/>
      <w:szCs w:val="32"/>
    </w:rPr>
  </w:style>
  <w:style w:type="character" w:customStyle="1" w:styleId="Heading2Char">
    <w:name w:val="Heading 2 Char"/>
    <w:basedOn w:val="DefaultParagraphFont"/>
    <w:rPr>
      <w:rFonts w:eastAsia="NimbusSanL-Bold" w:cs="Calibri"/>
      <w:b/>
      <w:color w:val="000000"/>
      <w:sz w:val="28"/>
      <w:szCs w:val="28"/>
      <w:lang w:val="en"/>
    </w:rPr>
  </w:style>
  <w:style w:type="paragraph" w:customStyle="1" w:styleId="Tableofcontent1">
    <w:name w:val="Table of content 1"/>
    <w:basedOn w:val="TOCHeading"/>
    <w:autoRedefine/>
    <w:pPr>
      <w:tabs>
        <w:tab w:val="clear" w:pos="720"/>
        <w:tab w:val="left" w:pos="3615"/>
      </w:tabs>
      <w:spacing w:before="40" w:line="480" w:lineRule="auto"/>
      <w:ind w:left="360" w:hanging="360"/>
    </w:pPr>
    <w:rPr>
      <w:rFonts w:ascii="Calibri" w:hAnsi="Calibri"/>
      <w:color w:val="000000"/>
      <w:sz w:val="36"/>
      <w:szCs w:val="36"/>
    </w:rPr>
  </w:style>
  <w:style w:type="character" w:customStyle="1" w:styleId="Tableofcontent1Char">
    <w:name w:val="Table of content 1 Char"/>
    <w:basedOn w:val="DefaultParagraphFont"/>
    <w:rPr>
      <w:rFonts w:ascii="Calibri" w:eastAsia="Times New Roman" w:hAnsi="Calibri" w:cs="Times New Roman"/>
      <w:color w:val="000000"/>
      <w:sz w:val="36"/>
      <w:szCs w:val="36"/>
    </w:rPr>
  </w:style>
  <w:style w:type="paragraph" w:styleId="TOCHeading">
    <w:name w:val="TOC Heading"/>
    <w:basedOn w:val="Heading1"/>
    <w:next w:val="Normal"/>
    <w:pPr>
      <w:spacing w:before="240" w:after="0" w:line="256" w:lineRule="auto"/>
    </w:pPr>
    <w:rPr>
      <w:rFonts w:ascii="Calibri Light" w:hAnsi="Calibri Light"/>
      <w:b w:val="0"/>
      <w:color w:val="2F5496"/>
    </w:rPr>
  </w:style>
  <w:style w:type="paragraph" w:customStyle="1" w:styleId="Content2">
    <w:name w:val="Content 2"/>
    <w:basedOn w:val="TOC2"/>
    <w:autoRedefine/>
    <w:pPr>
      <w:spacing w:after="0" w:line="480" w:lineRule="auto"/>
      <w:ind w:left="0"/>
      <w:jc w:val="both"/>
    </w:pPr>
    <w:rPr>
      <w:rFonts w:eastAsia="FrutigerLTStd-Light" w:cs="Calibri"/>
      <w:bCs/>
      <w:color w:val="000000"/>
    </w:rPr>
  </w:style>
  <w:style w:type="character" w:customStyle="1" w:styleId="Content2Char">
    <w:name w:val="Content 2 Char"/>
    <w:basedOn w:val="DefaultParagraphFont"/>
    <w:rPr>
      <w:rFonts w:eastAsia="FrutigerLTStd-Light" w:cs="Calibri"/>
      <w:bCs/>
      <w:color w:val="000000"/>
    </w:rPr>
  </w:style>
  <w:style w:type="paragraph" w:styleId="TOC2">
    <w:name w:val="toc 2"/>
    <w:basedOn w:val="Normal"/>
    <w:next w:val="Normal"/>
    <w:autoRedefine/>
    <w:pPr>
      <w:spacing w:after="100"/>
      <w:ind w:left="220"/>
    </w:pPr>
  </w:style>
  <w:style w:type="character" w:customStyle="1" w:styleId="Heading3Char">
    <w:name w:val="Heading 3 Char"/>
    <w:basedOn w:val="DefaultParagraphFont"/>
    <w:rPr>
      <w:rFonts w:eastAsia="Times New Roman" w:cs="Times New Roman"/>
      <w:b/>
      <w:color w:val="000000"/>
      <w:sz w:val="24"/>
      <w:szCs w:val="28"/>
    </w:rPr>
  </w:style>
  <w:style w:type="character" w:customStyle="1" w:styleId="st">
    <w:name w:val="st"/>
    <w:basedOn w:val="DefaultParagraphFont"/>
  </w:style>
  <w:style w:type="paragraph" w:customStyle="1" w:styleId="Default">
    <w:name w:val="Default"/>
    <w:pPr>
      <w:suppressAutoHyphens/>
      <w:autoSpaceDE w:val="0"/>
      <w:spacing w:after="0" w:line="240" w:lineRule="auto"/>
    </w:pPr>
    <w:rPr>
      <w:rFonts w:ascii="JLFDK K+ Adv O T 5fa 4e 291" w:hAnsi="JLFDK K+ Adv O T 5fa 4e 291" w:cs="JLFDK K+ Adv O T 5fa 4e 291"/>
      <w:color w:val="000000"/>
      <w:kern w:val="0"/>
      <w:sz w:val="24"/>
      <w:szCs w:val="24"/>
      <w:lang w:val="en-US"/>
    </w:rPr>
  </w:style>
  <w:style w:type="character" w:customStyle="1" w:styleId="markedcontent">
    <w:name w:val="markedcontent"/>
    <w:basedOn w:val="DefaultParagraphFont"/>
  </w:style>
  <w:style w:type="character" w:customStyle="1" w:styleId="cf01">
    <w:name w:val="cf01"/>
    <w:basedOn w:val="DefaultParagraphFon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1737</Characters>
  <Application>Microsoft Office Word</Application>
  <DocSecurity>0</DocSecurity>
  <Lines>14</Lines>
  <Paragraphs>4</Paragraphs>
  <ScaleCrop>false</ScaleCrop>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Igbo</dc:creator>
  <dc:description/>
  <cp:lastModifiedBy>Benjamin Igbo</cp:lastModifiedBy>
  <cp:revision>6</cp:revision>
  <dcterms:created xsi:type="dcterms:W3CDTF">2023-11-27T12:29:00Z</dcterms:created>
  <dcterms:modified xsi:type="dcterms:W3CDTF">2023-12-01T21:01:00Z</dcterms:modified>
</cp:coreProperties>
</file>