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tblpY="49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B5848" w14:paraId="58F0E7BA" w14:textId="77777777" w:rsidTr="00711DBA">
        <w:tc>
          <w:tcPr>
            <w:tcW w:w="9062" w:type="dxa"/>
          </w:tcPr>
          <w:p w14:paraId="374E7BD2" w14:textId="1423B9E7" w:rsidR="00FB5848" w:rsidRDefault="00FB5848" w:rsidP="002B5D57">
            <w:r>
              <w:rPr>
                <w:noProof/>
              </w:rPr>
              <w:drawing>
                <wp:inline distT="0" distB="0" distL="0" distR="0" wp14:anchorId="399F9C80" wp14:editId="77B9EF5F">
                  <wp:extent cx="5586991" cy="234315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479" cy="2345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E60" w:rsidRPr="00D1459E" w14:paraId="77E8D481" w14:textId="77777777" w:rsidTr="00711DBA">
        <w:tc>
          <w:tcPr>
            <w:tcW w:w="9062" w:type="dxa"/>
          </w:tcPr>
          <w:p w14:paraId="5F7BE274" w14:textId="6771A7F3" w:rsidR="00B66E60" w:rsidRPr="007436B4" w:rsidRDefault="0041436F" w:rsidP="00AF0407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7436B4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Supplementary Figure S1:</w:t>
            </w:r>
            <w:r w:rsidRPr="007436B4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="00B66E60" w:rsidRPr="007436B4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Analysis of NK cell activation markers after co-cultivation with pre-treated HNSCC for 24 hours</w:t>
            </w:r>
            <w:r w:rsidRPr="007436B4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.</w:t>
            </w:r>
            <w:r w:rsidRPr="007436B4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T</w:t>
            </w:r>
            <w:r w:rsidR="00B66E60" w:rsidRPr="007436B4">
              <w:rPr>
                <w:rFonts w:ascii="Calibri" w:hAnsi="Calibri" w:cs="Calibri"/>
                <w:sz w:val="20"/>
                <w:szCs w:val="20"/>
                <w:lang w:val="en-GB"/>
              </w:rPr>
              <w:t xml:space="preserve">he HNSCC cell lines Cal33, HSC4, UM-SCC-47 and UD-SCC-2 were pretreated with either 1 µM of the ATM-inhibitor AZD0156, 0.1 µM of the ATR-inhibitor VE-822, RT of 2 x 5 Gy or a combination of smKI and RT and DMSO as a vehicle control. </w:t>
            </w:r>
          </w:p>
          <w:p w14:paraId="6B928BD9" w14:textId="77777777" w:rsidR="00B66E60" w:rsidRDefault="00B66E60" w:rsidP="002B5D5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8B46F4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Expression of CD69 and CD335 on the NK cell surface:</w:t>
            </w:r>
            <w:r w:rsidRPr="008B46F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expression was measured using multicolor flow-cytometry. Each value shows mean ± SD (</w:t>
            </w:r>
            <w:r w:rsidRPr="008B46F4">
              <w:rPr>
                <w:rFonts w:ascii="Calibri" w:hAnsi="Calibri" w:cs="Calibri"/>
                <w:sz w:val="20"/>
                <w:szCs w:val="20"/>
                <w:lang w:val="en-GB"/>
              </w:rPr>
              <w:t xml:space="preserve">Cal33, </w:t>
            </w:r>
            <w:r w:rsidRPr="008B46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n</w:t>
            </w:r>
            <w:r w:rsidRPr="008B46F4">
              <w:rPr>
                <w:rFonts w:ascii="Calibri" w:hAnsi="Calibri" w:cs="Calibri"/>
                <w:sz w:val="20"/>
                <w:szCs w:val="20"/>
                <w:lang w:val="en-GB"/>
              </w:rPr>
              <w:t> = 4; HSC4, </w:t>
            </w:r>
            <w:r w:rsidRPr="008B46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n</w:t>
            </w:r>
            <w:r w:rsidRPr="008B46F4">
              <w:rPr>
                <w:rFonts w:ascii="Calibri" w:hAnsi="Calibri" w:cs="Calibri"/>
                <w:sz w:val="20"/>
                <w:szCs w:val="20"/>
                <w:lang w:val="en-GB"/>
              </w:rPr>
              <w:t> = 5; UM-SCC-47, </w:t>
            </w:r>
            <w:r w:rsidRPr="008B46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n</w:t>
            </w:r>
            <w:r w:rsidRPr="008B46F4">
              <w:rPr>
                <w:rFonts w:ascii="Calibri" w:hAnsi="Calibri" w:cs="Calibri"/>
                <w:sz w:val="20"/>
                <w:szCs w:val="20"/>
                <w:lang w:val="en-GB"/>
              </w:rPr>
              <w:t> = 4; UD-SCC-2, </w:t>
            </w:r>
            <w:r w:rsidRPr="008B46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n</w:t>
            </w:r>
            <w:r w:rsidRPr="008B46F4">
              <w:rPr>
                <w:rFonts w:ascii="Calibri" w:hAnsi="Calibri" w:cs="Calibri"/>
                <w:sz w:val="20"/>
                <w:szCs w:val="20"/>
                <w:lang w:val="en-GB"/>
              </w:rPr>
              <w:t> = 4</w:t>
            </w:r>
            <w:r w:rsidRPr="008B46F4">
              <w:rPr>
                <w:rFonts w:ascii="Calibri" w:hAnsi="Calibri" w:cs="Calibri"/>
                <w:sz w:val="20"/>
                <w:szCs w:val="20"/>
                <w:lang w:val="en-US"/>
              </w:rPr>
              <w:t>).</w:t>
            </w:r>
          </w:p>
          <w:p w14:paraId="0E4493DA" w14:textId="693893D2" w:rsidR="00573387" w:rsidRPr="008B46F4" w:rsidRDefault="00573387" w:rsidP="002B5D57">
            <w:pPr>
              <w:rPr>
                <w:rFonts w:ascii="Calibri" w:hAnsi="Calibri" w:cs="Calibri"/>
                <w:lang w:val="en-US"/>
              </w:rPr>
            </w:pPr>
          </w:p>
        </w:tc>
      </w:tr>
    </w:tbl>
    <w:p w14:paraId="1088B5E6" w14:textId="20B9DC7F" w:rsidR="00FE56B2" w:rsidRPr="008B46F4" w:rsidRDefault="002B5D57">
      <w:pPr>
        <w:rPr>
          <w:b/>
          <w:bCs/>
          <w:lang w:val="en-GB"/>
        </w:rPr>
      </w:pPr>
      <w:r w:rsidRPr="008B46F4">
        <w:rPr>
          <w:b/>
          <w:bCs/>
          <w:lang w:val="en-GB"/>
        </w:rPr>
        <w:t>Supplementary material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7709A" w14:paraId="297C0E10" w14:textId="77777777" w:rsidTr="00711DBA">
        <w:tc>
          <w:tcPr>
            <w:tcW w:w="9072" w:type="dxa"/>
          </w:tcPr>
          <w:p w14:paraId="04C58B42" w14:textId="63AF513F" w:rsidR="0027709A" w:rsidRDefault="00FB5848">
            <w:pPr>
              <w:rPr>
                <w:lang w:val="en-GB"/>
              </w:rPr>
            </w:pPr>
            <w:r w:rsidRPr="008B46F4">
              <w:rPr>
                <w:noProof/>
                <w:lang w:val="en-GB"/>
              </w:rPr>
              <w:drawing>
                <wp:inline distT="0" distB="0" distL="0" distR="0" wp14:anchorId="57CCD58C" wp14:editId="0DB6C48C">
                  <wp:extent cx="5505022" cy="3486150"/>
                  <wp:effectExtent l="0" t="0" r="63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864" cy="3486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09A" w14:paraId="4C4C8C57" w14:textId="77777777" w:rsidTr="00711DBA">
        <w:tc>
          <w:tcPr>
            <w:tcW w:w="9072" w:type="dxa"/>
          </w:tcPr>
          <w:p w14:paraId="17344BCC" w14:textId="05218C57" w:rsidR="0027709A" w:rsidRDefault="001D2051">
            <w:pPr>
              <w:rPr>
                <w:lang w:val="en-GB"/>
              </w:rPr>
            </w:pPr>
            <w:r w:rsidRPr="00711DB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Supplementary Figure S2: Secretion of NK cell related molecules after co-cultivation with pre-treated HNSCC for 24 hours.</w:t>
            </w:r>
            <w:r w:rsidRPr="00711DB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T</w:t>
            </w:r>
            <w:r w:rsidRPr="001562A2">
              <w:rPr>
                <w:rFonts w:ascii="Calibri" w:hAnsi="Calibri" w:cs="Calibri"/>
                <w:sz w:val="20"/>
                <w:szCs w:val="20"/>
                <w:lang w:val="en-US"/>
              </w:rPr>
              <w:t>he HNSCC cell lines C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al</w:t>
            </w:r>
            <w:r w:rsidRPr="001562A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33, HSC4, UM-SCC-47 and UD-SCC-2 were pretreated with either 1 µM of the ATM-inhibitor AZD0156, 0.1 µM of the ATR-inhibitor VE-822, RT of 2 x 5 Gy or a combination of smKI and RT and DMSO as a vehicle control.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Secretion Granzyme A, IL-2, Perforin and TNF-α</w:t>
            </w:r>
            <w:r w:rsidRPr="00711DB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was </w:t>
            </w:r>
            <w:proofErr w:type="spellStart"/>
            <w:r w:rsidRPr="00711DBA">
              <w:rPr>
                <w:rFonts w:ascii="Calibri" w:hAnsi="Calibri" w:cs="Calibri"/>
                <w:sz w:val="20"/>
                <w:szCs w:val="20"/>
                <w:lang w:val="en-US"/>
              </w:rPr>
              <w:t>analysed</w:t>
            </w:r>
            <w:proofErr w:type="spellEnd"/>
            <w:r w:rsidRPr="00711DB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using a bead-based Multiplex Assay. </w:t>
            </w:r>
            <w:r w:rsidRPr="001562A2">
              <w:rPr>
                <w:rFonts w:ascii="Calibri" w:hAnsi="Calibri" w:cs="Calibri"/>
                <w:sz w:val="20"/>
                <w:szCs w:val="20"/>
                <w:lang w:val="en-US"/>
              </w:rPr>
              <w:t>Each v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al</w:t>
            </w:r>
            <w:r w:rsidRPr="001562A2">
              <w:rPr>
                <w:rFonts w:ascii="Calibri" w:hAnsi="Calibri" w:cs="Calibri"/>
                <w:sz w:val="20"/>
                <w:szCs w:val="20"/>
                <w:lang w:val="en-US"/>
              </w:rPr>
              <w:t>ue shows mean ± SD (</w:t>
            </w:r>
            <w:r w:rsidRPr="001562A2">
              <w:rPr>
                <w:rFonts w:ascii="Calibri" w:hAnsi="Calibri" w:cs="Calibri"/>
                <w:i/>
                <w:iCs/>
                <w:sz w:val="20"/>
                <w:szCs w:val="20"/>
              </w:rPr>
              <w:t>n</w:t>
            </w:r>
            <w:r w:rsidRPr="001562A2">
              <w:rPr>
                <w:rFonts w:ascii="Calibri" w:hAnsi="Calibri" w:cs="Calibri"/>
                <w:sz w:val="20"/>
                <w:szCs w:val="20"/>
              </w:rPr>
              <w:t xml:space="preserve"> = 3). </w:t>
            </w:r>
          </w:p>
        </w:tc>
      </w:tr>
      <w:tr w:rsidR="00711DBA" w14:paraId="727E30FF" w14:textId="77777777" w:rsidTr="00711DBA">
        <w:tc>
          <w:tcPr>
            <w:tcW w:w="9072" w:type="dxa"/>
          </w:tcPr>
          <w:p w14:paraId="532CA336" w14:textId="77777777" w:rsidR="00711DBA" w:rsidRPr="00711DBA" w:rsidRDefault="00711DBA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711DBA" w14:paraId="266C7F7E" w14:textId="77777777" w:rsidTr="00711DBA">
        <w:tc>
          <w:tcPr>
            <w:tcW w:w="9072" w:type="dxa"/>
          </w:tcPr>
          <w:p w14:paraId="4C424C0D" w14:textId="77777777" w:rsidR="00711DBA" w:rsidRPr="00711DBA" w:rsidRDefault="00711DBA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711DBA" w14:paraId="5E9108B9" w14:textId="77777777" w:rsidTr="00711DBA">
        <w:tc>
          <w:tcPr>
            <w:tcW w:w="9072" w:type="dxa"/>
          </w:tcPr>
          <w:p w14:paraId="343E8C16" w14:textId="77777777" w:rsidR="00711DBA" w:rsidRPr="00711DBA" w:rsidRDefault="00711DBA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711DBA" w14:paraId="1421CAAE" w14:textId="77777777" w:rsidTr="00711DBA">
        <w:tc>
          <w:tcPr>
            <w:tcW w:w="9072" w:type="dxa"/>
          </w:tcPr>
          <w:p w14:paraId="55901927" w14:textId="77777777" w:rsidR="00711DBA" w:rsidRPr="00711DBA" w:rsidRDefault="00711DBA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711DBA" w14:paraId="24817BC8" w14:textId="77777777" w:rsidTr="00711DBA">
        <w:tc>
          <w:tcPr>
            <w:tcW w:w="9072" w:type="dxa"/>
          </w:tcPr>
          <w:p w14:paraId="360CCF82" w14:textId="77777777" w:rsidR="00711DBA" w:rsidRPr="00711DBA" w:rsidRDefault="00711DBA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711DBA" w14:paraId="7575BE13" w14:textId="77777777" w:rsidTr="00711DBA">
        <w:tc>
          <w:tcPr>
            <w:tcW w:w="9072" w:type="dxa"/>
          </w:tcPr>
          <w:p w14:paraId="3A8AAF59" w14:textId="16D14DB8" w:rsidR="00711DBA" w:rsidRPr="00711DBA" w:rsidRDefault="00711DBA" w:rsidP="00E16DF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 wp14:anchorId="769F4B3B" wp14:editId="27DBE119">
                  <wp:extent cx="3811725" cy="306705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5313" cy="306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DBA" w:rsidRPr="00D1459E" w14:paraId="5A3D2C34" w14:textId="77777777" w:rsidTr="00711DBA">
        <w:tc>
          <w:tcPr>
            <w:tcW w:w="9072" w:type="dxa"/>
          </w:tcPr>
          <w:p w14:paraId="25C03850" w14:textId="5F9FB011" w:rsidR="00711DBA" w:rsidRPr="00711DBA" w:rsidRDefault="00616ABE" w:rsidP="00711DBA">
            <w:pPr>
              <w:rPr>
                <w:rFonts w:ascii="Calibri" w:hAnsi="Calibri" w:cs="Calibri"/>
                <w:b/>
                <w:bCs/>
                <w:noProof/>
                <w:sz w:val="20"/>
                <w:szCs w:val="20"/>
                <w:lang w:val="en-US"/>
              </w:rPr>
            </w:pPr>
            <w:r w:rsidRPr="00711DB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Supplementary </w:t>
            </w:r>
            <w:r w:rsidR="00711DBA" w:rsidRPr="00711DBA">
              <w:rPr>
                <w:rStyle w:val="Fett"/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Figure </w:t>
            </w:r>
            <w:r w:rsidR="00AB5DAE">
              <w:rPr>
                <w:rStyle w:val="Fett"/>
                <w:rFonts w:ascii="Calibri" w:eastAsia="Times New Roman" w:hAnsi="Calibri" w:cs="Calibri"/>
                <w:sz w:val="20"/>
                <w:szCs w:val="20"/>
                <w:lang w:val="en-US"/>
              </w:rPr>
              <w:t>S</w:t>
            </w:r>
            <w:r w:rsidR="00711DBA" w:rsidRPr="00711DBA">
              <w:rPr>
                <w:rStyle w:val="Fett"/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3: Effect of the immune-checkpoint-inhibitor </w:t>
            </w:r>
            <w:proofErr w:type="spellStart"/>
            <w:r w:rsidR="00711DBA" w:rsidRPr="00711DBA">
              <w:rPr>
                <w:rStyle w:val="Fett"/>
                <w:rFonts w:ascii="Calibri" w:eastAsia="Times New Roman" w:hAnsi="Calibri" w:cs="Calibri"/>
                <w:sz w:val="20"/>
                <w:szCs w:val="20"/>
                <w:lang w:val="en-US"/>
              </w:rPr>
              <w:t>Monalizumab</w:t>
            </w:r>
            <w:proofErr w:type="spellEnd"/>
            <w:r w:rsidR="00711DBA" w:rsidRPr="00711DBA">
              <w:rPr>
                <w:rStyle w:val="Fett"/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 on the co-culture of pre-treated UM-SCC-47 tumor cells and primary human NK cells:</w:t>
            </w:r>
            <w:r w:rsidR="00711DBA" w:rsidRPr="00711DBA">
              <w:rPr>
                <w:rStyle w:val="Fett"/>
                <w:rFonts w:ascii="Calibri" w:eastAsia="Times New Roman" w:hAnsi="Calibri" w:cs="Calibri"/>
                <w:lang w:val="en-US"/>
              </w:rPr>
              <w:t> </w:t>
            </w:r>
            <w:r w:rsidR="00711DBA" w:rsidRPr="00711DBA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the UM-SCC-47 tumor cells were pretreated with either 1 µM of the ATM-inhibitor AZD0156, 0.1 µM of the ATR-inhibitor VE-822, RT of 2 x 5 Gy or a combination. DMSO exposed cell cultures served as control (Co). Additionally</w:t>
            </w:r>
            <w:r w:rsidR="00D44B49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,</w:t>
            </w:r>
            <w:r w:rsidR="00711DBA" w:rsidRPr="00711DBA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 NKG2A-inhibitor </w:t>
            </w:r>
            <w:proofErr w:type="spellStart"/>
            <w:r w:rsidR="00711DBA" w:rsidRPr="00711DBA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Monalizumab</w:t>
            </w:r>
            <w:proofErr w:type="spellEnd"/>
            <w:r w:rsidR="00711DBA" w:rsidRPr="00711DBA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 (conc. 7.72 mg / mL) was added. Cell death rates were measured in each treatment group by using multicolor flow-cytometry as described in </w:t>
            </w:r>
            <w:r w:rsidR="00711DBA" w:rsidRPr="00711DBA">
              <w:rPr>
                <w:rStyle w:val="Fett"/>
                <w:rFonts w:ascii="Calibri" w:eastAsia="Times New Roman" w:hAnsi="Calibri" w:cs="Calibri"/>
                <w:sz w:val="20"/>
                <w:szCs w:val="20"/>
                <w:lang w:val="en-US"/>
              </w:rPr>
              <w:t>Figure 2A.</w:t>
            </w:r>
            <w:r w:rsidR="00711DBA" w:rsidRPr="00711DBA">
              <w:rPr>
                <w:rFonts w:ascii="Calibri" w:eastAsia="Times New Roman" w:hAnsi="Calibri" w:cs="Calibri"/>
                <w:lang w:val="en-US"/>
              </w:rPr>
              <w:t> </w:t>
            </w:r>
          </w:p>
        </w:tc>
      </w:tr>
    </w:tbl>
    <w:p w14:paraId="136677A2" w14:textId="08574E52" w:rsidR="0027709A" w:rsidRPr="00B66E60" w:rsidRDefault="0027709A">
      <w:pPr>
        <w:rPr>
          <w:lang w:val="en-GB"/>
        </w:rPr>
      </w:pPr>
    </w:p>
    <w:sectPr w:rsidR="0027709A" w:rsidRPr="00B66E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6B2"/>
    <w:rsid w:val="001D2051"/>
    <w:rsid w:val="0023153A"/>
    <w:rsid w:val="00270449"/>
    <w:rsid w:val="0027709A"/>
    <w:rsid w:val="002B5D57"/>
    <w:rsid w:val="002F1081"/>
    <w:rsid w:val="00313179"/>
    <w:rsid w:val="00343A10"/>
    <w:rsid w:val="0041436F"/>
    <w:rsid w:val="00442605"/>
    <w:rsid w:val="005026F9"/>
    <w:rsid w:val="00573387"/>
    <w:rsid w:val="00616ABE"/>
    <w:rsid w:val="00711DBA"/>
    <w:rsid w:val="007436B4"/>
    <w:rsid w:val="007635DD"/>
    <w:rsid w:val="00777644"/>
    <w:rsid w:val="00863EE3"/>
    <w:rsid w:val="008B46F4"/>
    <w:rsid w:val="00991ECA"/>
    <w:rsid w:val="00AB5DAE"/>
    <w:rsid w:val="00AD0E38"/>
    <w:rsid w:val="00AF0407"/>
    <w:rsid w:val="00B66E60"/>
    <w:rsid w:val="00D1459E"/>
    <w:rsid w:val="00D211E4"/>
    <w:rsid w:val="00D44B49"/>
    <w:rsid w:val="00E16DF0"/>
    <w:rsid w:val="00FB5848"/>
    <w:rsid w:val="00F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DE7A0"/>
  <w15:chartTrackingRefBased/>
  <w15:docId w15:val="{16B8C531-8F03-41E5-8035-28C7C67A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E5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E5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E5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E5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E5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E5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E5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E5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E5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E5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E5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E5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E56B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E56B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E56B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E56B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E56B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E56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E5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5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5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E5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E5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E56B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E56B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E56B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E5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56B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E56B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66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711DBA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B46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B46F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B46F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B46F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B46F4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F04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Steinsdörfer</dc:creator>
  <cp:keywords/>
  <dc:description/>
  <cp:lastModifiedBy>Jost, Tina</cp:lastModifiedBy>
  <cp:revision>8</cp:revision>
  <dcterms:created xsi:type="dcterms:W3CDTF">2025-12-02T09:20:00Z</dcterms:created>
  <dcterms:modified xsi:type="dcterms:W3CDTF">2025-12-08T12:17:00Z</dcterms:modified>
</cp:coreProperties>
</file>