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9CC64" w14:textId="5ABBB27A" w:rsidR="00CE55A9" w:rsidRPr="00CE55A9" w:rsidRDefault="00CE55A9" w:rsidP="00CE55A9">
      <w:pPr>
        <w:spacing w:before="240" w:after="240" w:line="480" w:lineRule="auto"/>
        <w:rPr>
          <w:rFonts w:asciiTheme="majorBidi" w:eastAsia="Times New Roman" w:hAnsiTheme="majorBidi" w:cstheme="majorBidi"/>
          <w:b/>
          <w:bCs/>
          <w:color w:val="000000" w:themeColor="text1"/>
          <w:sz w:val="24"/>
          <w:szCs w:val="24"/>
          <w:u w:val="single"/>
          <w:shd w:val="clear" w:color="auto" w:fill="FFFFFF"/>
        </w:rPr>
      </w:pPr>
      <w:r w:rsidRPr="00CE55A9">
        <w:rPr>
          <w:rFonts w:asciiTheme="majorBidi" w:eastAsia="Times New Roman" w:hAnsiTheme="majorBidi" w:cstheme="majorBidi"/>
          <w:b/>
          <w:bCs/>
          <w:color w:val="000000" w:themeColor="text1"/>
          <w:sz w:val="24"/>
          <w:szCs w:val="24"/>
          <w:u w:val="single"/>
          <w:shd w:val="clear" w:color="auto" w:fill="FFFFFF"/>
        </w:rPr>
        <w:t>Ordinal analysis of VAS</w:t>
      </w:r>
    </w:p>
    <w:p w14:paraId="18452764" w14:textId="412F082F" w:rsidR="00CE55A9" w:rsidRPr="003E0608" w:rsidRDefault="00CE55A9" w:rsidP="00CE55A9">
      <w:pPr>
        <w:spacing w:before="240" w:after="240" w:line="480" w:lineRule="auto"/>
        <w:rPr>
          <w:rFonts w:asciiTheme="majorBidi" w:eastAsia="Times New Roman" w:hAnsiTheme="majorBidi" w:cstheme="majorBidi"/>
          <w:sz w:val="24"/>
          <w:szCs w:val="24"/>
          <w:shd w:val="clear" w:color="auto" w:fill="FFFFFF"/>
        </w:rPr>
      </w:pPr>
      <w:r w:rsidRPr="003E0608">
        <w:rPr>
          <w:rFonts w:asciiTheme="majorBidi" w:eastAsia="Times New Roman" w:hAnsiTheme="majorBidi" w:cstheme="majorBidi"/>
          <w:sz w:val="24"/>
          <w:szCs w:val="24"/>
          <w:shd w:val="clear" w:color="auto" w:fill="FFFFFF"/>
        </w:rPr>
        <w:t>Mixed ordinal logistic regression (using logit link) was used to test for differences between the two techniques, between the three stages (baseline, injection, manipulation), as well as the interaction of the two main effects (Stage x Method) (Table 2). Mixed ordinal regression was used to take into account the ordinal nature of the VAS score and the correlation of VAS values obtained from each patient. Stage and method were included as main effects and patients were included as a random effect. Type II Wald test for Sum of Squares was used to test the statistical significance of the main effects and interaction.</w:t>
      </w:r>
    </w:p>
    <w:p w14:paraId="3004E4B2" w14:textId="77777777" w:rsidR="00CE55A9" w:rsidRPr="003E0608" w:rsidRDefault="00CE55A9" w:rsidP="00CE55A9">
      <w:pPr>
        <w:spacing w:before="240" w:after="240" w:line="480" w:lineRule="auto"/>
        <w:rPr>
          <w:rFonts w:asciiTheme="majorBidi" w:eastAsia="Times New Roman" w:hAnsiTheme="majorBidi" w:cstheme="majorBidi"/>
          <w:sz w:val="24"/>
          <w:szCs w:val="24"/>
        </w:rPr>
      </w:pPr>
      <w:r w:rsidRPr="003E0608">
        <w:rPr>
          <w:rFonts w:asciiTheme="majorBidi" w:eastAsia="Times New Roman" w:hAnsiTheme="majorBidi" w:cstheme="majorBidi"/>
          <w:sz w:val="24"/>
          <w:szCs w:val="24"/>
          <w:shd w:val="clear" w:color="auto" w:fill="FFFFFF"/>
        </w:rPr>
        <w:t>Post-hoc analysis for differences between the two groups at each stage employed Bonferroni’s multiple comparisons test. Post-hoc pairwise comparisons were performed on the log odds-ratio scale.</w:t>
      </w:r>
      <w:r w:rsidRPr="003E0608">
        <w:rPr>
          <w:rFonts w:asciiTheme="majorBidi" w:eastAsia="Times New Roman" w:hAnsiTheme="majorBidi" w:cstheme="majorBidi"/>
          <w:sz w:val="24"/>
          <w:szCs w:val="24"/>
        </w:rPr>
        <w:t xml:space="preserve"> </w:t>
      </w:r>
      <w:r w:rsidRPr="003E0608">
        <w:rPr>
          <w:rFonts w:asciiTheme="majorBidi" w:eastAsia="Times New Roman" w:hAnsiTheme="majorBidi" w:cstheme="majorBidi"/>
          <w:sz w:val="24"/>
          <w:szCs w:val="24"/>
          <w:shd w:val="clear" w:color="auto" w:fill="FFFFFF"/>
        </w:rPr>
        <w:t xml:space="preserve">Responses from the ordinal model (on the linear scale) were back transformed to estimates of the probability distribution of each rating and the average of these probability distributions </w:t>
      </w:r>
      <w:r>
        <w:rPr>
          <w:rFonts w:asciiTheme="majorBidi" w:eastAsia="Times New Roman" w:hAnsiTheme="majorBidi" w:cstheme="majorBidi"/>
          <w:sz w:val="24"/>
          <w:szCs w:val="24"/>
          <w:shd w:val="clear" w:color="auto" w:fill="FFFFFF"/>
        </w:rPr>
        <w:t xml:space="preserve">(mean class) </w:t>
      </w:r>
      <w:r w:rsidRPr="003E0608">
        <w:rPr>
          <w:rFonts w:asciiTheme="majorBidi" w:eastAsia="Times New Roman" w:hAnsiTheme="majorBidi" w:cstheme="majorBidi"/>
          <w:sz w:val="24"/>
          <w:szCs w:val="24"/>
          <w:shd w:val="clear" w:color="auto" w:fill="FFFFFF"/>
        </w:rPr>
        <w:t>was plotted</w:t>
      </w:r>
      <w:r>
        <w:rPr>
          <w:rFonts w:asciiTheme="majorBidi" w:eastAsia="Times New Roman" w:hAnsiTheme="majorBidi" w:cstheme="majorBidi"/>
          <w:sz w:val="24"/>
          <w:szCs w:val="24"/>
          <w:shd w:val="clear" w:color="auto" w:fill="FFFFFF"/>
        </w:rPr>
        <w:t xml:space="preserve"> along with the standard errors</w:t>
      </w:r>
      <w:r w:rsidRPr="003E0608">
        <w:rPr>
          <w:rFonts w:asciiTheme="majorBidi" w:eastAsia="Times New Roman" w:hAnsiTheme="majorBidi" w:cstheme="majorBidi"/>
          <w:sz w:val="24"/>
          <w:szCs w:val="24"/>
          <w:shd w:val="clear" w:color="auto" w:fill="FFFFFF"/>
        </w:rPr>
        <w:t xml:space="preserve"> (Figure 1). </w:t>
      </w:r>
    </w:p>
    <w:p w14:paraId="46C65170" w14:textId="77777777" w:rsidR="00CE55A9" w:rsidRDefault="00CE55A9" w:rsidP="00CE55A9">
      <w:pPr>
        <w:spacing w:before="240" w:after="240" w:line="480" w:lineRule="auto"/>
        <w:rPr>
          <w:rFonts w:asciiTheme="majorBidi" w:eastAsia="Times New Roman" w:hAnsiTheme="majorBidi" w:cstheme="majorBidi"/>
          <w:sz w:val="24"/>
          <w:szCs w:val="24"/>
        </w:rPr>
      </w:pPr>
      <w:r w:rsidRPr="003E0608">
        <w:rPr>
          <w:rFonts w:asciiTheme="majorBidi" w:eastAsia="Times New Roman" w:hAnsiTheme="majorBidi" w:cstheme="majorBidi"/>
          <w:sz w:val="24"/>
          <w:szCs w:val="24"/>
        </w:rPr>
        <w:t>In addition, a cumulative ordinal logistic regression analysis was carried out to assess the relationship of pain during manipulation as the dependent variable, with the independent variables of age, gender, and operator, baseline level of pain, fracture type and Frykman classification.</w:t>
      </w:r>
      <w:r>
        <w:rPr>
          <w:rFonts w:asciiTheme="majorBidi" w:eastAsia="Times New Roman" w:hAnsiTheme="majorBidi" w:cstheme="majorBidi"/>
          <w:sz w:val="24"/>
          <w:szCs w:val="24"/>
        </w:rPr>
        <w:t xml:space="preserve"> </w:t>
      </w:r>
      <w:r w:rsidRPr="00554E6B">
        <w:rPr>
          <w:rFonts w:asciiTheme="majorBidi" w:eastAsia="Times New Roman" w:hAnsiTheme="majorBidi" w:cstheme="majorBidi"/>
          <w:sz w:val="24"/>
          <w:szCs w:val="24"/>
        </w:rPr>
        <w:t>. The regression model (Table 3) yielded an R</w:t>
      </w:r>
      <w:r w:rsidRPr="00554E6B">
        <w:rPr>
          <w:rFonts w:asciiTheme="majorBidi" w:eastAsia="Times New Roman" w:hAnsiTheme="majorBidi" w:cstheme="majorBidi"/>
          <w:sz w:val="24"/>
          <w:szCs w:val="24"/>
          <w:vertAlign w:val="superscript"/>
        </w:rPr>
        <w:t>2</w:t>
      </w:r>
      <w:r w:rsidRPr="00554E6B">
        <w:rPr>
          <w:rFonts w:asciiTheme="majorBidi" w:eastAsia="Times New Roman" w:hAnsiTheme="majorBidi" w:cstheme="majorBidi"/>
          <w:sz w:val="24"/>
          <w:szCs w:val="24"/>
        </w:rPr>
        <w:t xml:space="preserve"> of </w:t>
      </w:r>
      <w:r>
        <w:rPr>
          <w:rFonts w:asciiTheme="majorBidi" w:eastAsia="Times New Roman" w:hAnsiTheme="majorBidi" w:cstheme="majorBidi"/>
          <w:sz w:val="24"/>
          <w:szCs w:val="24"/>
        </w:rPr>
        <w:t>46.4</w:t>
      </w:r>
      <w:r w:rsidRPr="00554E6B">
        <w:rPr>
          <w:rFonts w:asciiTheme="majorBidi" w:eastAsia="Times New Roman" w:hAnsiTheme="majorBidi" w:cstheme="majorBidi"/>
          <w:sz w:val="24"/>
          <w:szCs w:val="24"/>
        </w:rPr>
        <w:t xml:space="preserve">% for the overall regression. Individual p-values for each of the predictors along with the </w:t>
      </w:r>
      <w:r>
        <w:rPr>
          <w:rFonts w:asciiTheme="majorBidi" w:eastAsia="Times New Roman" w:hAnsiTheme="majorBidi" w:cstheme="majorBidi"/>
          <w:sz w:val="24"/>
          <w:szCs w:val="24"/>
        </w:rPr>
        <w:t>odds ratio</w:t>
      </w:r>
      <w:r w:rsidRPr="00554E6B">
        <w:rPr>
          <w:rFonts w:asciiTheme="majorBidi" w:eastAsia="Times New Roman" w:hAnsiTheme="majorBidi" w:cstheme="majorBidi"/>
          <w:sz w:val="24"/>
          <w:szCs w:val="24"/>
        </w:rPr>
        <w:t xml:space="preserve"> and 95% Confidence Intervals (95% CI) are reported in Table 3. </w:t>
      </w:r>
      <w:r>
        <w:rPr>
          <w:rFonts w:asciiTheme="majorBidi" w:eastAsia="Times New Roman" w:hAnsiTheme="majorBidi" w:cstheme="majorBidi"/>
          <w:sz w:val="24"/>
          <w:szCs w:val="24"/>
        </w:rPr>
        <w:t xml:space="preserve">Diagnostics </w:t>
      </w:r>
      <w:r w:rsidRPr="00554E6B">
        <w:rPr>
          <w:rFonts w:asciiTheme="majorBidi" w:eastAsia="Times New Roman" w:hAnsiTheme="majorBidi" w:cstheme="majorBidi"/>
          <w:sz w:val="24"/>
          <w:szCs w:val="24"/>
        </w:rPr>
        <w:t xml:space="preserve">confirmed </w:t>
      </w:r>
      <w:r>
        <w:rPr>
          <w:rFonts w:asciiTheme="majorBidi" w:eastAsia="Times New Roman" w:hAnsiTheme="majorBidi" w:cstheme="majorBidi"/>
          <w:sz w:val="24"/>
          <w:szCs w:val="24"/>
        </w:rPr>
        <w:t>the</w:t>
      </w:r>
      <w:r w:rsidRPr="00554E6B">
        <w:rPr>
          <w:rFonts w:asciiTheme="majorBidi" w:eastAsia="Times New Roman" w:hAnsiTheme="majorBidi" w:cstheme="majorBidi"/>
          <w:sz w:val="24"/>
          <w:szCs w:val="24"/>
        </w:rPr>
        <w:t xml:space="preserve"> lack of multicollinearity</w:t>
      </w:r>
      <w:r>
        <w:rPr>
          <w:rFonts w:asciiTheme="majorBidi" w:eastAsia="Times New Roman" w:hAnsiTheme="majorBidi" w:cstheme="majorBidi"/>
          <w:sz w:val="24"/>
          <w:szCs w:val="24"/>
        </w:rPr>
        <w:t xml:space="preserve"> </w:t>
      </w:r>
      <w:r w:rsidRPr="00554E6B">
        <w:rPr>
          <w:rFonts w:asciiTheme="majorBidi" w:eastAsia="Times New Roman" w:hAnsiTheme="majorBidi" w:cstheme="majorBidi"/>
          <w:sz w:val="24"/>
          <w:szCs w:val="24"/>
        </w:rPr>
        <w:t>using the Variance Inflation Factor (VIF). A p-value of less than 0.05 was considered to be statistically significant. </w:t>
      </w:r>
    </w:p>
    <w:p w14:paraId="179B3537" w14:textId="77777777" w:rsidR="003F1B49" w:rsidRDefault="003F1B49" w:rsidP="003F1B49">
      <w:pPr>
        <w:spacing w:line="480" w:lineRule="auto"/>
        <w:rPr>
          <w:rFonts w:asciiTheme="majorBidi" w:eastAsia="Times New Roman" w:hAnsiTheme="majorBidi" w:cstheme="majorBidi"/>
          <w:sz w:val="24"/>
          <w:szCs w:val="24"/>
        </w:rPr>
      </w:pPr>
      <w:r>
        <w:rPr>
          <w:rFonts w:asciiTheme="majorBidi" w:eastAsia="Times New Roman" w:hAnsiTheme="majorBidi" w:cstheme="majorBidi"/>
          <w:b/>
          <w:bCs/>
          <w:sz w:val="24"/>
          <w:szCs w:val="24"/>
        </w:rPr>
        <w:lastRenderedPageBreak/>
        <w:t>Statistical analysis</w:t>
      </w:r>
    </w:p>
    <w:p w14:paraId="385531DC" w14:textId="77777777" w:rsidR="003F1B49" w:rsidRDefault="003F1B49" w:rsidP="003F1B49">
      <w:pPr>
        <w:spacing w:before="240" w:after="240" w:line="480" w:lineRule="auto"/>
        <w:rPr>
          <w:rFonts w:asciiTheme="majorBidi" w:eastAsia="Times New Roman" w:hAnsiTheme="majorBidi" w:cstheme="majorBidi"/>
          <w:sz w:val="24"/>
          <w:szCs w:val="24"/>
          <w:shd w:val="clear" w:color="auto" w:fill="FFFFFF"/>
        </w:rPr>
      </w:pPr>
      <w:r>
        <w:rPr>
          <w:rFonts w:asciiTheme="majorBidi" w:eastAsia="Times New Roman" w:hAnsiTheme="majorBidi" w:cstheme="majorBidi"/>
          <w:sz w:val="24"/>
          <w:szCs w:val="24"/>
        </w:rPr>
        <w:t xml:space="preserve">Data analysis was performed using Minitab 19 (Minitab LLC, PA USA) and Graphpad Prism 9. Descriptive statistics shown in Table 1 for the 25 participants in each group employ the median, interquartile range, frequency and percentage of patients as appropriate. </w:t>
      </w:r>
      <w:r>
        <w:rPr>
          <w:rFonts w:asciiTheme="majorBidi" w:eastAsia="Times New Roman" w:hAnsiTheme="majorBidi" w:cstheme="majorBidi"/>
          <w:sz w:val="24"/>
          <w:szCs w:val="24"/>
          <w:shd w:val="clear" w:color="auto" w:fill="FFFFFF"/>
        </w:rPr>
        <w:t>Differences between HB and CPB groups on demographics, fracture type/classification and outcome variables were tested using chi-squared tests (</w:t>
      </w:r>
      <w:r>
        <w:rPr>
          <w:rFonts w:asciiTheme="majorBidi" w:eastAsia="Times New Roman" w:hAnsiTheme="majorBidi" w:cstheme="majorBidi"/>
          <w:i/>
          <w:iCs/>
          <w:sz w:val="24"/>
          <w:szCs w:val="24"/>
        </w:rPr>
        <w:t>χ</w:t>
      </w:r>
      <w:r>
        <w:rPr>
          <w:rFonts w:asciiTheme="majorBidi" w:eastAsia="Times New Roman" w:hAnsiTheme="majorBidi" w:cstheme="majorBidi"/>
          <w:sz w:val="24"/>
          <w:szCs w:val="24"/>
          <w:shd w:val="clear" w:color="auto" w:fill="FFFFFF"/>
        </w:rPr>
        <w:t xml:space="preserve"> </w:t>
      </w:r>
      <w:r>
        <w:rPr>
          <w:rFonts w:asciiTheme="majorBidi" w:eastAsia="Times New Roman" w:hAnsiTheme="majorBidi" w:cstheme="majorBidi"/>
          <w:sz w:val="24"/>
          <w:szCs w:val="24"/>
          <w:vertAlign w:val="superscript"/>
        </w:rPr>
        <w:t>2</w:t>
      </w:r>
      <w:r>
        <w:rPr>
          <w:rFonts w:asciiTheme="majorBidi" w:eastAsia="Times New Roman" w:hAnsiTheme="majorBidi" w:cstheme="majorBidi"/>
          <w:sz w:val="24"/>
          <w:szCs w:val="24"/>
          <w:shd w:val="clear" w:color="auto" w:fill="FFFFFF"/>
        </w:rPr>
        <w:t>) for categorical variables and the Mann-Whitney test for age due to its non-parametric distribution (Table 1). Mixed ordinal logistic regression (using logit link) was used to test for differences between the two techniques, between the three stages (baseline, injection, manipulation), as well as the interaction of the two main effects (Stage x Method) (Table 2). Mixed ordinal regression was used to take into account the ordinal nature of the VAS score and the correlation of VAS values obtained from each patient. Stage and method were included as main effects and patients were included as a random effect. Type II Wald test for Sum of Squares was used to test the statistical significance of the main effects and interaction.</w:t>
      </w:r>
    </w:p>
    <w:p w14:paraId="37668536" w14:textId="77777777" w:rsidR="003F1B49" w:rsidRDefault="003F1B49" w:rsidP="003F1B49">
      <w:pPr>
        <w:spacing w:before="240" w:after="240" w:line="480" w:lineRule="auto"/>
        <w:rPr>
          <w:rFonts w:asciiTheme="majorBidi" w:eastAsia="Times New Roman" w:hAnsiTheme="majorBidi" w:cstheme="majorBidi"/>
          <w:sz w:val="24"/>
          <w:szCs w:val="24"/>
        </w:rPr>
      </w:pPr>
      <w:r>
        <w:rPr>
          <w:rFonts w:asciiTheme="majorBidi" w:eastAsia="Times New Roman" w:hAnsiTheme="majorBidi" w:cstheme="majorBidi"/>
          <w:sz w:val="24"/>
          <w:szCs w:val="24"/>
          <w:shd w:val="clear" w:color="auto" w:fill="FFFFFF"/>
        </w:rPr>
        <w:t>Post-hoc analysis for differences between the two groups at each stage employed Bonferroni’s multiple comparisons test. Post-hoc pairwise comparisons were performed on the log odds-ratio scale.</w:t>
      </w:r>
      <w:r>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shd w:val="clear" w:color="auto" w:fill="FFFFFF"/>
        </w:rPr>
        <w:t xml:space="preserve">Responses from the ordinal model (on the linear scale) were back transformed to estimates of the probability distribution of each rating and the average of these probability distributions (mean class) was plotted along with the standard errors (Figure 1). </w:t>
      </w:r>
    </w:p>
    <w:p w14:paraId="73113C9C" w14:textId="77777777" w:rsidR="003F1B49" w:rsidRDefault="003F1B49" w:rsidP="003F1B49">
      <w:pPr>
        <w:spacing w:before="240" w:after="240" w:line="480" w:lineRule="auto"/>
        <w:rPr>
          <w:rFonts w:asciiTheme="majorBidi" w:eastAsia="Times New Roman" w:hAnsiTheme="majorBidi" w:cstheme="majorBidi"/>
          <w:b/>
          <w:bCs/>
          <w:sz w:val="24"/>
          <w:szCs w:val="24"/>
        </w:rPr>
      </w:pPr>
      <w:r>
        <w:rPr>
          <w:rFonts w:asciiTheme="majorBidi" w:eastAsia="Times New Roman" w:hAnsiTheme="majorBidi" w:cstheme="majorBidi"/>
          <w:sz w:val="24"/>
          <w:szCs w:val="24"/>
        </w:rPr>
        <w:t xml:space="preserve">In addition, a cumulative ordinal logistic regression analysis was carried out to assess the relationship of pain during manipulation as the dependent variable, with the independent variables of age, gender, and operator, baseline level of pain, fracture type </w:t>
      </w:r>
      <w:r>
        <w:rPr>
          <w:rFonts w:asciiTheme="majorBidi" w:eastAsia="Times New Roman" w:hAnsiTheme="majorBidi" w:cstheme="majorBidi"/>
          <w:sz w:val="24"/>
          <w:szCs w:val="24"/>
        </w:rPr>
        <w:lastRenderedPageBreak/>
        <w:t>and Frykman classification. . The regression model (Table 3) yielded an R</w:t>
      </w:r>
      <w:r>
        <w:rPr>
          <w:rFonts w:asciiTheme="majorBidi" w:eastAsia="Times New Roman" w:hAnsiTheme="majorBidi" w:cstheme="majorBidi"/>
          <w:sz w:val="24"/>
          <w:szCs w:val="24"/>
          <w:vertAlign w:val="superscript"/>
        </w:rPr>
        <w:t>2</w:t>
      </w:r>
      <w:r>
        <w:rPr>
          <w:rFonts w:asciiTheme="majorBidi" w:eastAsia="Times New Roman" w:hAnsiTheme="majorBidi" w:cstheme="majorBidi"/>
          <w:sz w:val="24"/>
          <w:szCs w:val="24"/>
        </w:rPr>
        <w:t xml:space="preserve"> of 46.4% for the overall regression. Individual p-values for each of the predictors along with the odds ratio and 95% Confidence Intervals (95% CI) are reported in Table 3. Diagnostics confirmed the lack of multicollinearity using the Variance Inflation Factor (VIF). A p-value of less than 0.05 was considered to be statistically significant. </w:t>
      </w:r>
    </w:p>
    <w:p w14:paraId="774F1E43" w14:textId="77777777" w:rsidR="003F1B49" w:rsidRDefault="003F1B49" w:rsidP="003F1B49">
      <w:pPr>
        <w:pStyle w:val="Caption"/>
        <w:keepNext/>
        <w:spacing w:line="480" w:lineRule="auto"/>
        <w:rPr>
          <w:rFonts w:asciiTheme="majorBidi" w:eastAsia="Times New Roman" w:hAnsiTheme="majorBidi" w:cstheme="majorBidi"/>
          <w:b/>
          <w:bCs/>
          <w:i w:val="0"/>
          <w:iCs w:val="0"/>
          <w:color w:val="auto"/>
          <w:sz w:val="24"/>
          <w:szCs w:val="24"/>
        </w:rPr>
      </w:pPr>
      <w:r>
        <w:rPr>
          <w:rFonts w:asciiTheme="majorBidi" w:eastAsia="Times New Roman" w:hAnsiTheme="majorBidi" w:cstheme="majorBidi"/>
          <w:b/>
          <w:bCs/>
          <w:i w:val="0"/>
          <w:iCs w:val="0"/>
          <w:color w:val="auto"/>
          <w:sz w:val="24"/>
          <w:szCs w:val="24"/>
        </w:rPr>
        <w:t>Results</w:t>
      </w:r>
    </w:p>
    <w:p w14:paraId="3148D844" w14:textId="77777777" w:rsidR="003F1B49" w:rsidRDefault="003F1B49" w:rsidP="003F1B49">
      <w:pPr>
        <w:pStyle w:val="Caption"/>
        <w:keepNext/>
        <w:spacing w:line="480" w:lineRule="auto"/>
        <w:rPr>
          <w:rFonts w:asciiTheme="majorBidi" w:eastAsia="Times New Roman" w:hAnsiTheme="majorBidi" w:cstheme="majorBidi"/>
          <w:i w:val="0"/>
          <w:iCs w:val="0"/>
          <w:color w:val="auto"/>
          <w:sz w:val="24"/>
          <w:szCs w:val="24"/>
        </w:rPr>
      </w:pPr>
      <w:r>
        <w:rPr>
          <w:rFonts w:asciiTheme="majorBidi" w:eastAsia="Times New Roman" w:hAnsiTheme="majorBidi" w:cstheme="majorBidi"/>
          <w:color w:val="auto"/>
          <w:sz w:val="24"/>
          <w:szCs w:val="24"/>
        </w:rPr>
        <w:t>Between January 2021 and June 2021, a total of 50 patients met the inclusion criteria and were consecutively recruited and randomized to receive either a HB or CPB (Figure 1.).</w:t>
      </w:r>
      <w:r>
        <w:rPr>
          <w:rFonts w:asciiTheme="majorBidi" w:eastAsia="Times New Roman" w:hAnsiTheme="majorBidi" w:cstheme="majorBidi"/>
          <w:i w:val="0"/>
          <w:iCs w:val="0"/>
          <w:color w:val="auto"/>
          <w:sz w:val="24"/>
          <w:szCs w:val="24"/>
        </w:rPr>
        <w:t xml:space="preserve"> Twenty-five patients were included evenly in both groups. Six patients were excluded for not meeting the inclusion criteria; 4 were excluded for ipsilateral upper limb fractures, 2 excluded due to the presence of significant head trauma. </w:t>
      </w:r>
    </w:p>
    <w:p w14:paraId="529D8025" w14:textId="77777777" w:rsidR="003F1B49" w:rsidRDefault="003F1B49" w:rsidP="003F1B49">
      <w:pPr>
        <w:pStyle w:val="Caption"/>
        <w:keepNext/>
        <w:numPr>
          <w:ilvl w:val="0"/>
          <w:numId w:val="1"/>
        </w:numPr>
        <w:spacing w:line="480" w:lineRule="auto"/>
        <w:rPr>
          <w:rFonts w:asciiTheme="majorBidi" w:eastAsia="Times New Roman" w:hAnsiTheme="majorBidi" w:cstheme="majorBidi"/>
          <w:color w:val="auto"/>
          <w:sz w:val="24"/>
          <w:szCs w:val="24"/>
        </w:rPr>
      </w:pPr>
      <w:r>
        <w:rPr>
          <w:rFonts w:asciiTheme="majorBidi" w:eastAsia="Times New Roman" w:hAnsiTheme="majorBidi" w:cstheme="majorBidi"/>
          <w:color w:val="auto"/>
          <w:sz w:val="24"/>
          <w:szCs w:val="24"/>
        </w:rPr>
        <w:t xml:space="preserve">Insert Figure 1 here -  </w:t>
      </w:r>
    </w:p>
    <w:p w14:paraId="7F49E44E" w14:textId="77777777" w:rsidR="003F1B49" w:rsidRDefault="003F1B49" w:rsidP="003F1B49">
      <w:pPr>
        <w:spacing w:line="480" w:lineRule="auto"/>
        <w:rPr>
          <w:rFonts w:asciiTheme="majorBidi" w:hAnsiTheme="majorBidi" w:cstheme="majorBidi"/>
          <w:i/>
          <w:iCs/>
          <w:sz w:val="24"/>
          <w:szCs w:val="24"/>
          <w:lang w:val="en-IE"/>
        </w:rPr>
      </w:pPr>
      <w:r>
        <w:rPr>
          <w:rFonts w:asciiTheme="majorBidi" w:eastAsia="Times New Roman" w:hAnsiTheme="majorBidi" w:cstheme="majorBidi"/>
          <w:i/>
          <w:iCs/>
          <w:sz w:val="24"/>
          <w:szCs w:val="24"/>
          <w:lang w:val="en-IE"/>
        </w:rPr>
        <w:t xml:space="preserve">Figure 1 </w:t>
      </w:r>
      <w:r>
        <w:rPr>
          <w:rFonts w:asciiTheme="majorBidi" w:hAnsiTheme="majorBidi" w:cstheme="majorBidi"/>
          <w:i/>
          <w:iCs/>
          <w:sz w:val="24"/>
          <w:szCs w:val="24"/>
          <w:lang w:val="en-IE"/>
        </w:rPr>
        <w:t>– CONSORT Flowchart displaying enrolment, allocation, follow up and analysis of participants.</w:t>
      </w:r>
    </w:p>
    <w:p w14:paraId="50C86E82" w14:textId="77777777" w:rsidR="003F1B49" w:rsidRDefault="003F1B49" w:rsidP="003F1B49">
      <w:pPr>
        <w:pStyle w:val="Caption"/>
        <w:keepNext/>
        <w:spacing w:line="480" w:lineRule="auto"/>
        <w:rPr>
          <w:rFonts w:asciiTheme="majorBidi" w:eastAsia="Times New Roman" w:hAnsiTheme="majorBidi" w:cstheme="majorBidi"/>
          <w:i w:val="0"/>
          <w:iCs w:val="0"/>
          <w:color w:val="auto"/>
          <w:sz w:val="24"/>
          <w:szCs w:val="24"/>
        </w:rPr>
      </w:pPr>
    </w:p>
    <w:p w14:paraId="344459E7" w14:textId="77777777" w:rsidR="003F1B49" w:rsidRDefault="003F1B49" w:rsidP="003F1B49">
      <w:pPr>
        <w:pStyle w:val="Caption"/>
        <w:keepNext/>
        <w:spacing w:line="480" w:lineRule="auto"/>
        <w:rPr>
          <w:rFonts w:asciiTheme="majorBidi" w:eastAsia="Times New Roman" w:hAnsiTheme="majorBidi" w:cstheme="majorBidi"/>
          <w:i w:val="0"/>
          <w:iCs w:val="0"/>
          <w:color w:val="auto"/>
          <w:sz w:val="24"/>
          <w:szCs w:val="24"/>
        </w:rPr>
      </w:pPr>
      <w:r>
        <w:rPr>
          <w:rFonts w:asciiTheme="majorBidi" w:eastAsia="Times New Roman" w:hAnsiTheme="majorBidi" w:cstheme="majorBidi"/>
          <w:i w:val="0"/>
          <w:iCs w:val="0"/>
          <w:color w:val="auto"/>
          <w:sz w:val="24"/>
          <w:szCs w:val="24"/>
        </w:rPr>
        <w:t>The descriptive characteristics of our study population are displayed in [</w:t>
      </w:r>
      <w:r>
        <w:rPr>
          <w:rFonts w:asciiTheme="majorBidi" w:eastAsia="Times New Roman" w:hAnsiTheme="majorBidi" w:cstheme="majorBidi"/>
          <w:b/>
          <w:bCs/>
          <w:i w:val="0"/>
          <w:iCs w:val="0"/>
          <w:color w:val="auto"/>
          <w:sz w:val="24"/>
          <w:szCs w:val="24"/>
        </w:rPr>
        <w:t>Table 1</w:t>
      </w:r>
      <w:r>
        <w:rPr>
          <w:rFonts w:asciiTheme="majorBidi" w:eastAsia="Times New Roman" w:hAnsiTheme="majorBidi" w:cstheme="majorBidi"/>
          <w:i w:val="0"/>
          <w:iCs w:val="0"/>
          <w:color w:val="auto"/>
          <w:sz w:val="24"/>
          <w:szCs w:val="24"/>
        </w:rPr>
        <w:t xml:space="preserve">]. Out of the 50 patients, the majority were males (66%) who sustained isolated distal end radius (DER) fractures (84%). The age range was 13-67 years old. Frykman classification 1 and 3 were the most common patterns encountered. The vast majority of the fractures underwent non-operative treatment after successful reduction (88%) with no significant difference between block method and outcome. Nine patients (18%) underwent operative management; 5 with percutaneous pinning and 4 with ORIF. There were no documented complications for either technique. Two patients; one in each </w:t>
      </w:r>
      <w:r>
        <w:rPr>
          <w:rFonts w:asciiTheme="majorBidi" w:eastAsia="Times New Roman" w:hAnsiTheme="majorBidi" w:cstheme="majorBidi"/>
          <w:i w:val="0"/>
          <w:iCs w:val="0"/>
          <w:color w:val="auto"/>
          <w:sz w:val="24"/>
          <w:szCs w:val="24"/>
        </w:rPr>
        <w:lastRenderedPageBreak/>
        <w:t>group, subsequently required re-manipulation. No statistical significances were observed between the distributions and end-outcomes of both groups, thereby ensuring comparability.</w:t>
      </w:r>
    </w:p>
    <w:p w14:paraId="0CF5B8ED" w14:textId="77777777" w:rsidR="003F1B49" w:rsidRPr="003F1B49" w:rsidRDefault="003F1B49" w:rsidP="003F1B49">
      <w:pPr>
        <w:pStyle w:val="Caption"/>
        <w:keepNext/>
        <w:rPr>
          <w:sz w:val="22"/>
          <w:szCs w:val="22"/>
        </w:rPr>
      </w:pPr>
      <w:r w:rsidRPr="003F1B49">
        <w:rPr>
          <w:sz w:val="22"/>
          <w:szCs w:val="22"/>
        </w:rPr>
        <w:t xml:space="preserve">Table </w:t>
      </w:r>
      <w:r w:rsidRPr="003F1B49">
        <w:rPr>
          <w:sz w:val="22"/>
          <w:szCs w:val="22"/>
        </w:rPr>
        <w:fldChar w:fldCharType="begin"/>
      </w:r>
      <w:r w:rsidRPr="003F1B49">
        <w:rPr>
          <w:sz w:val="22"/>
          <w:szCs w:val="22"/>
        </w:rPr>
        <w:instrText xml:space="preserve"> SEQ Table \* ARABIC </w:instrText>
      </w:r>
      <w:r w:rsidRPr="003F1B49">
        <w:rPr>
          <w:sz w:val="22"/>
          <w:szCs w:val="22"/>
        </w:rPr>
        <w:fldChar w:fldCharType="separate"/>
      </w:r>
      <w:r w:rsidRPr="003F1B49">
        <w:rPr>
          <w:noProof/>
          <w:sz w:val="22"/>
          <w:szCs w:val="22"/>
        </w:rPr>
        <w:t>1</w:t>
      </w:r>
      <w:r w:rsidRPr="003F1B49">
        <w:rPr>
          <w:noProof/>
          <w:sz w:val="22"/>
          <w:szCs w:val="22"/>
        </w:rPr>
        <w:fldChar w:fldCharType="end"/>
      </w:r>
      <w:r w:rsidRPr="003F1B49">
        <w:rPr>
          <w:sz w:val="22"/>
          <w:szCs w:val="22"/>
          <w:lang w:val="en-US"/>
        </w:rPr>
        <w:t xml:space="preserve"> Distribution and between-group comparisons of participants according to patient and fracture variables</w:t>
      </w:r>
    </w:p>
    <w:tbl>
      <w:tblPr>
        <w:tblW w:w="9072" w:type="dxa"/>
        <w:shd w:val="clear" w:color="auto" w:fill="FFFFFF"/>
        <w:tblLook w:val="04A0" w:firstRow="1" w:lastRow="0" w:firstColumn="1" w:lastColumn="0" w:noHBand="0" w:noVBand="1"/>
      </w:tblPr>
      <w:tblGrid>
        <w:gridCol w:w="1325"/>
        <w:gridCol w:w="1189"/>
        <w:gridCol w:w="2085"/>
        <w:gridCol w:w="2106"/>
        <w:gridCol w:w="2367"/>
      </w:tblGrid>
      <w:tr w:rsidR="003F1B49" w:rsidRPr="003F1B49" w14:paraId="0E938A06" w14:textId="77777777" w:rsidTr="003F1B49">
        <w:tc>
          <w:tcPr>
            <w:tcW w:w="1276" w:type="dxa"/>
            <w:tcBorders>
              <w:top w:val="single" w:sz="4" w:space="0" w:color="auto"/>
              <w:left w:val="nil"/>
              <w:bottom w:val="single" w:sz="4" w:space="0" w:color="auto"/>
              <w:right w:val="nil"/>
            </w:tcBorders>
            <w:shd w:val="clear" w:color="auto" w:fill="E7E6E6" w:themeFill="background2"/>
            <w:tcMar>
              <w:top w:w="15" w:type="dxa"/>
              <w:left w:w="15" w:type="dxa"/>
              <w:bottom w:w="15" w:type="dxa"/>
              <w:right w:w="15" w:type="dxa"/>
            </w:tcMar>
            <w:vAlign w:val="center"/>
            <w:hideMark/>
          </w:tcPr>
          <w:p w14:paraId="49C40455" w14:textId="77777777" w:rsidR="003F1B49" w:rsidRPr="003F1B49" w:rsidRDefault="003F1B49">
            <w:pPr>
              <w:spacing w:before="100" w:beforeAutospacing="1" w:after="100" w:afterAutospacing="1" w:line="360" w:lineRule="auto"/>
              <w:jc w:val="center"/>
              <w:rPr>
                <w:rFonts w:eastAsia="Times New Roman"/>
                <w:b/>
                <w:bCs/>
                <w:lang w:eastAsia="en-GB"/>
              </w:rPr>
            </w:pPr>
            <w:r w:rsidRPr="003F1B49">
              <w:rPr>
                <w:rFonts w:eastAsia="Times New Roman"/>
                <w:b/>
                <w:bCs/>
                <w:lang w:eastAsia="en-GB"/>
              </w:rPr>
              <w:t>Variable</w:t>
            </w:r>
          </w:p>
        </w:tc>
        <w:tc>
          <w:tcPr>
            <w:tcW w:w="1134" w:type="dxa"/>
            <w:tcBorders>
              <w:top w:val="single" w:sz="4" w:space="0" w:color="auto"/>
              <w:left w:val="nil"/>
              <w:bottom w:val="single" w:sz="4" w:space="0" w:color="auto"/>
              <w:right w:val="nil"/>
            </w:tcBorders>
            <w:shd w:val="clear" w:color="auto" w:fill="E7E6E6" w:themeFill="background2"/>
            <w:tcMar>
              <w:top w:w="15" w:type="dxa"/>
              <w:left w:w="15" w:type="dxa"/>
              <w:bottom w:w="15" w:type="dxa"/>
              <w:right w:w="15" w:type="dxa"/>
            </w:tcMar>
            <w:vAlign w:val="center"/>
          </w:tcPr>
          <w:p w14:paraId="7FE71F78" w14:textId="77777777" w:rsidR="003F1B49" w:rsidRPr="003F1B49" w:rsidRDefault="003F1B49">
            <w:pPr>
              <w:spacing w:before="100" w:beforeAutospacing="1" w:after="100" w:afterAutospacing="1" w:line="360" w:lineRule="auto"/>
              <w:jc w:val="center"/>
              <w:rPr>
                <w:rFonts w:eastAsia="Times New Roman"/>
                <w:b/>
                <w:bCs/>
                <w:lang w:eastAsia="en-GB"/>
              </w:rPr>
            </w:pPr>
          </w:p>
        </w:tc>
        <w:tc>
          <w:tcPr>
            <w:tcW w:w="2123" w:type="dxa"/>
            <w:tcBorders>
              <w:top w:val="single" w:sz="4" w:space="0" w:color="auto"/>
              <w:left w:val="nil"/>
              <w:bottom w:val="single" w:sz="4" w:space="0" w:color="auto"/>
              <w:right w:val="nil"/>
            </w:tcBorders>
            <w:shd w:val="clear" w:color="auto" w:fill="E7E6E6" w:themeFill="background2"/>
            <w:tcMar>
              <w:top w:w="15" w:type="dxa"/>
              <w:left w:w="15" w:type="dxa"/>
              <w:bottom w:w="15" w:type="dxa"/>
              <w:right w:w="15" w:type="dxa"/>
            </w:tcMar>
            <w:vAlign w:val="center"/>
            <w:hideMark/>
          </w:tcPr>
          <w:p w14:paraId="60AF42B1" w14:textId="77777777" w:rsidR="003F1B49" w:rsidRPr="003F1B49" w:rsidRDefault="003F1B49">
            <w:pPr>
              <w:spacing w:before="100" w:beforeAutospacing="1" w:after="100" w:afterAutospacing="1" w:line="360" w:lineRule="auto"/>
              <w:jc w:val="center"/>
              <w:rPr>
                <w:rFonts w:eastAsia="Times New Roman"/>
                <w:b/>
                <w:bCs/>
                <w:lang w:eastAsia="en-GB"/>
              </w:rPr>
            </w:pPr>
            <w:r w:rsidRPr="003F1B49">
              <w:rPr>
                <w:rFonts w:eastAsia="Times New Roman"/>
                <w:b/>
                <w:bCs/>
                <w:lang w:eastAsia="en-GB"/>
              </w:rPr>
              <w:t>Hematoma Block n (%)</w:t>
            </w:r>
          </w:p>
        </w:tc>
        <w:tc>
          <w:tcPr>
            <w:tcW w:w="2130" w:type="dxa"/>
            <w:tcBorders>
              <w:top w:val="single" w:sz="4" w:space="0" w:color="auto"/>
              <w:left w:val="nil"/>
              <w:bottom w:val="single" w:sz="4" w:space="0" w:color="auto"/>
              <w:right w:val="nil"/>
            </w:tcBorders>
            <w:shd w:val="clear" w:color="auto" w:fill="E7E6E6" w:themeFill="background2"/>
            <w:tcMar>
              <w:top w:w="15" w:type="dxa"/>
              <w:left w:w="15" w:type="dxa"/>
              <w:bottom w:w="15" w:type="dxa"/>
              <w:right w:w="15" w:type="dxa"/>
            </w:tcMar>
            <w:vAlign w:val="center"/>
            <w:hideMark/>
          </w:tcPr>
          <w:p w14:paraId="3E9E6322" w14:textId="77777777" w:rsidR="003F1B49" w:rsidRPr="003F1B49" w:rsidRDefault="003F1B49">
            <w:pPr>
              <w:spacing w:before="100" w:beforeAutospacing="1" w:after="100" w:afterAutospacing="1" w:line="360" w:lineRule="auto"/>
              <w:jc w:val="center"/>
              <w:rPr>
                <w:rFonts w:eastAsia="Times New Roman"/>
                <w:b/>
                <w:bCs/>
                <w:lang w:eastAsia="en-GB"/>
              </w:rPr>
            </w:pPr>
            <w:r w:rsidRPr="003F1B49">
              <w:rPr>
                <w:rFonts w:eastAsia="Times New Roman"/>
                <w:b/>
                <w:bCs/>
                <w:lang w:eastAsia="en-GB"/>
              </w:rPr>
              <w:t>Circumferential Block n   (%)</w:t>
            </w:r>
          </w:p>
        </w:tc>
        <w:tc>
          <w:tcPr>
            <w:tcW w:w="2409" w:type="dxa"/>
            <w:tcBorders>
              <w:top w:val="single" w:sz="4" w:space="0" w:color="auto"/>
              <w:left w:val="nil"/>
              <w:bottom w:val="single" w:sz="4" w:space="0" w:color="auto"/>
              <w:right w:val="nil"/>
            </w:tcBorders>
            <w:shd w:val="clear" w:color="auto" w:fill="E7E6E6" w:themeFill="background2"/>
            <w:tcMar>
              <w:top w:w="15" w:type="dxa"/>
              <w:left w:w="15" w:type="dxa"/>
              <w:bottom w:w="15" w:type="dxa"/>
              <w:right w:w="15" w:type="dxa"/>
            </w:tcMar>
            <w:vAlign w:val="center"/>
            <w:hideMark/>
          </w:tcPr>
          <w:p w14:paraId="5D4DD93B" w14:textId="77777777" w:rsidR="003F1B49" w:rsidRPr="003F1B49" w:rsidRDefault="003F1B49">
            <w:pPr>
              <w:spacing w:before="100" w:beforeAutospacing="1" w:after="100" w:afterAutospacing="1" w:line="360" w:lineRule="auto"/>
              <w:jc w:val="center"/>
              <w:rPr>
                <w:rFonts w:eastAsia="Times New Roman"/>
                <w:b/>
                <w:bCs/>
                <w:lang w:eastAsia="en-GB"/>
              </w:rPr>
            </w:pPr>
            <w:r w:rsidRPr="003F1B49">
              <w:rPr>
                <w:rFonts w:eastAsia="Times New Roman"/>
                <w:b/>
                <w:bCs/>
                <w:lang w:eastAsia="en-GB"/>
              </w:rPr>
              <w:t>χ</w:t>
            </w:r>
            <w:r w:rsidRPr="003F1B49">
              <w:rPr>
                <w:rFonts w:eastAsia="Times New Roman"/>
                <w:b/>
                <w:bCs/>
                <w:position w:val="6"/>
                <w:lang w:eastAsia="en-GB"/>
              </w:rPr>
              <w:t>2</w:t>
            </w:r>
            <w:r w:rsidRPr="003F1B49">
              <w:rPr>
                <w:rFonts w:eastAsia="Times New Roman"/>
                <w:b/>
                <w:bCs/>
                <w:lang w:eastAsia="en-GB"/>
              </w:rPr>
              <w:t>; p-value/MWU; p-value</w:t>
            </w:r>
          </w:p>
        </w:tc>
      </w:tr>
      <w:tr w:rsidR="003F1B49" w:rsidRPr="003F1B49" w14:paraId="09C26CAE" w14:textId="77777777" w:rsidTr="003F1B49">
        <w:tc>
          <w:tcPr>
            <w:tcW w:w="1276" w:type="dxa"/>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4D22B6A2" w14:textId="77777777" w:rsidR="003F1B49" w:rsidRPr="003F1B49" w:rsidRDefault="003F1B49">
            <w:pPr>
              <w:spacing w:before="100" w:beforeAutospacing="1" w:after="100" w:afterAutospacing="1" w:line="360" w:lineRule="auto"/>
              <w:rPr>
                <w:rFonts w:eastAsia="Times New Roman"/>
                <w:b/>
                <w:bCs/>
                <w:lang w:eastAsia="en-GB"/>
              </w:rPr>
            </w:pPr>
            <w:r w:rsidRPr="003F1B49">
              <w:rPr>
                <w:rFonts w:eastAsia="Times New Roman"/>
                <w:b/>
                <w:bCs/>
                <w:lang w:eastAsia="en-GB"/>
              </w:rPr>
              <w:t xml:space="preserve">Age </w:t>
            </w:r>
          </w:p>
        </w:tc>
        <w:tc>
          <w:tcPr>
            <w:tcW w:w="1134" w:type="dxa"/>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47C5565E"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Median (IQR) </w:t>
            </w:r>
          </w:p>
        </w:tc>
        <w:tc>
          <w:tcPr>
            <w:tcW w:w="2123" w:type="dxa"/>
            <w:tcBorders>
              <w:top w:val="single" w:sz="4" w:space="0" w:color="auto"/>
              <w:left w:val="nil"/>
              <w:bottom w:val="single" w:sz="4" w:space="0" w:color="auto"/>
              <w:right w:val="nil"/>
            </w:tcBorders>
            <w:shd w:val="clear" w:color="auto" w:fill="auto"/>
            <w:tcMar>
              <w:top w:w="15" w:type="dxa"/>
              <w:left w:w="15" w:type="dxa"/>
              <w:bottom w:w="15" w:type="dxa"/>
              <w:right w:w="15" w:type="dxa"/>
            </w:tcMar>
            <w:vAlign w:val="center"/>
            <w:hideMark/>
          </w:tcPr>
          <w:p w14:paraId="788F351A"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41 (30.5–51.5)</w:t>
            </w:r>
          </w:p>
        </w:tc>
        <w:tc>
          <w:tcPr>
            <w:tcW w:w="2130" w:type="dxa"/>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28F5284C"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44 (29.5–53)</w:t>
            </w:r>
          </w:p>
        </w:tc>
        <w:tc>
          <w:tcPr>
            <w:tcW w:w="2409" w:type="dxa"/>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6017BD34"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MWU: 307, p = 0.9195</w:t>
            </w:r>
          </w:p>
        </w:tc>
      </w:tr>
      <w:tr w:rsidR="003F1B49" w:rsidRPr="003F1B49" w14:paraId="34096B9A" w14:textId="77777777" w:rsidTr="003F1B49">
        <w:tc>
          <w:tcPr>
            <w:tcW w:w="1276"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02CFFB33" w14:textId="77777777" w:rsidR="003F1B49" w:rsidRPr="003F1B49" w:rsidRDefault="003F1B49">
            <w:pPr>
              <w:spacing w:before="100" w:beforeAutospacing="1" w:after="100" w:afterAutospacing="1" w:line="360" w:lineRule="auto"/>
              <w:rPr>
                <w:rFonts w:eastAsia="Times New Roman"/>
                <w:b/>
                <w:bCs/>
                <w:lang w:eastAsia="en-GB"/>
              </w:rPr>
            </w:pPr>
            <w:r w:rsidRPr="003F1B49">
              <w:rPr>
                <w:rFonts w:eastAsia="Times New Roman"/>
                <w:b/>
                <w:bCs/>
                <w:lang w:eastAsia="en-GB"/>
              </w:rPr>
              <w:t xml:space="preserve">Sex </w:t>
            </w:r>
          </w:p>
        </w:tc>
        <w:tc>
          <w:tcPr>
            <w:tcW w:w="1134"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7FE4788A"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Male</w:t>
            </w:r>
          </w:p>
        </w:tc>
        <w:tc>
          <w:tcPr>
            <w:tcW w:w="2123"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7AF13BFE"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15 (60%)</w:t>
            </w:r>
          </w:p>
        </w:tc>
        <w:tc>
          <w:tcPr>
            <w:tcW w:w="2130"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13978BC4"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18 (72%)</w:t>
            </w:r>
          </w:p>
        </w:tc>
        <w:tc>
          <w:tcPr>
            <w:tcW w:w="2409"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37D9A7DC"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χ</w:t>
            </w:r>
            <w:r w:rsidRPr="003F1B49">
              <w:rPr>
                <w:rFonts w:eastAsia="Times New Roman"/>
                <w:position w:val="6"/>
                <w:lang w:eastAsia="en-GB"/>
              </w:rPr>
              <w:t>2</w:t>
            </w:r>
            <w:r w:rsidRPr="003F1B49">
              <w:rPr>
                <w:rFonts w:eastAsia="Times New Roman"/>
                <w:lang w:eastAsia="en-GB"/>
              </w:rPr>
              <w:t>: 0.3565, p = 0.5505</w:t>
            </w:r>
          </w:p>
        </w:tc>
      </w:tr>
      <w:tr w:rsidR="003F1B49" w:rsidRPr="003F1B49" w14:paraId="00242DD0" w14:textId="77777777" w:rsidTr="003F1B49">
        <w:tc>
          <w:tcPr>
            <w:tcW w:w="0" w:type="auto"/>
            <w:vMerge/>
            <w:tcBorders>
              <w:top w:val="single" w:sz="4" w:space="0" w:color="auto"/>
              <w:left w:val="nil"/>
              <w:bottom w:val="single" w:sz="4" w:space="0" w:color="auto"/>
              <w:right w:val="nil"/>
            </w:tcBorders>
            <w:shd w:val="clear" w:color="auto" w:fill="FFFFFF"/>
            <w:vAlign w:val="center"/>
            <w:hideMark/>
          </w:tcPr>
          <w:p w14:paraId="6871D420" w14:textId="77777777" w:rsidR="003F1B49" w:rsidRPr="003F1B49" w:rsidRDefault="003F1B49">
            <w:pPr>
              <w:rPr>
                <w:rFonts w:eastAsia="Times New Roman"/>
                <w:b/>
                <w:bCs/>
                <w:lang w:val="en-IE" w:eastAsia="en-GB"/>
              </w:rPr>
            </w:pPr>
          </w:p>
        </w:tc>
        <w:tc>
          <w:tcPr>
            <w:tcW w:w="1134"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71E3C004"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Female</w:t>
            </w:r>
          </w:p>
        </w:tc>
        <w:tc>
          <w:tcPr>
            <w:tcW w:w="2123"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494A44FA"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10 (40%)</w:t>
            </w:r>
          </w:p>
        </w:tc>
        <w:tc>
          <w:tcPr>
            <w:tcW w:w="2130"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4144F779" w14:textId="77777777" w:rsidR="003F1B49" w:rsidRPr="003F1B49" w:rsidRDefault="003F1B49">
            <w:pPr>
              <w:spacing w:line="360" w:lineRule="auto"/>
              <w:jc w:val="center"/>
              <w:rPr>
                <w:rFonts w:eastAsia="Times New Roman"/>
                <w:lang w:eastAsia="en-GB"/>
              </w:rPr>
            </w:pPr>
            <w:r w:rsidRPr="003F1B49">
              <w:rPr>
                <w:rFonts w:eastAsia="Times New Roman"/>
                <w:lang w:eastAsia="en-GB"/>
              </w:rPr>
              <w:t>7 (28%)</w:t>
            </w:r>
          </w:p>
        </w:tc>
        <w:tc>
          <w:tcPr>
            <w:tcW w:w="0" w:type="auto"/>
            <w:vMerge/>
            <w:tcBorders>
              <w:top w:val="single" w:sz="4" w:space="0" w:color="auto"/>
              <w:left w:val="nil"/>
              <w:bottom w:val="single" w:sz="4" w:space="0" w:color="auto"/>
              <w:right w:val="nil"/>
            </w:tcBorders>
            <w:shd w:val="clear" w:color="auto" w:fill="FFFFFF"/>
            <w:vAlign w:val="center"/>
            <w:hideMark/>
          </w:tcPr>
          <w:p w14:paraId="0DD6AFD5" w14:textId="77777777" w:rsidR="003F1B49" w:rsidRPr="003F1B49" w:rsidRDefault="003F1B49">
            <w:pPr>
              <w:rPr>
                <w:rFonts w:eastAsia="Times New Roman"/>
                <w:lang w:val="en-IE" w:eastAsia="en-GB"/>
              </w:rPr>
            </w:pPr>
          </w:p>
        </w:tc>
      </w:tr>
      <w:tr w:rsidR="003F1B49" w:rsidRPr="003F1B49" w14:paraId="0BBC837E" w14:textId="77777777" w:rsidTr="003F1B49">
        <w:tc>
          <w:tcPr>
            <w:tcW w:w="1276"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06FE3738" w14:textId="77777777" w:rsidR="003F1B49" w:rsidRPr="003F1B49" w:rsidRDefault="003F1B49">
            <w:pPr>
              <w:spacing w:before="100" w:beforeAutospacing="1" w:after="100" w:afterAutospacing="1" w:line="360" w:lineRule="auto"/>
              <w:rPr>
                <w:rFonts w:eastAsia="Times New Roman"/>
                <w:b/>
                <w:bCs/>
                <w:lang w:eastAsia="en-GB"/>
              </w:rPr>
            </w:pPr>
            <w:r w:rsidRPr="003F1B49">
              <w:rPr>
                <w:rFonts w:eastAsia="Times New Roman"/>
                <w:b/>
                <w:bCs/>
                <w:lang w:eastAsia="en-GB"/>
              </w:rPr>
              <w:t xml:space="preserve">Fracture </w:t>
            </w:r>
          </w:p>
        </w:tc>
        <w:tc>
          <w:tcPr>
            <w:tcW w:w="1134"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61990ABA"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BB </w:t>
            </w:r>
          </w:p>
        </w:tc>
        <w:tc>
          <w:tcPr>
            <w:tcW w:w="2123"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473D704E"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3 (12%)</w:t>
            </w:r>
          </w:p>
        </w:tc>
        <w:tc>
          <w:tcPr>
            <w:tcW w:w="2130"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1B0A3CBA"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5 (20%)</w:t>
            </w:r>
          </w:p>
        </w:tc>
        <w:tc>
          <w:tcPr>
            <w:tcW w:w="2409"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72C85D9F"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χ</w:t>
            </w:r>
            <w:r w:rsidRPr="003F1B49">
              <w:rPr>
                <w:rFonts w:eastAsia="Times New Roman"/>
                <w:position w:val="6"/>
                <w:lang w:eastAsia="en-GB"/>
              </w:rPr>
              <w:t>2</w:t>
            </w:r>
            <w:r w:rsidRPr="003F1B49">
              <w:rPr>
                <w:rFonts w:eastAsia="Times New Roman"/>
                <w:lang w:eastAsia="en-GB"/>
              </w:rPr>
              <w:t>: 0.1488, p = 0.6997</w:t>
            </w:r>
          </w:p>
        </w:tc>
      </w:tr>
      <w:tr w:rsidR="003F1B49" w:rsidRPr="003F1B49" w14:paraId="41F11AC2" w14:textId="77777777" w:rsidTr="003F1B49">
        <w:tc>
          <w:tcPr>
            <w:tcW w:w="0" w:type="auto"/>
            <w:vMerge/>
            <w:tcBorders>
              <w:top w:val="single" w:sz="4" w:space="0" w:color="auto"/>
              <w:left w:val="nil"/>
              <w:bottom w:val="single" w:sz="4" w:space="0" w:color="auto"/>
              <w:right w:val="nil"/>
            </w:tcBorders>
            <w:shd w:val="clear" w:color="auto" w:fill="FFFFFF"/>
            <w:vAlign w:val="center"/>
            <w:hideMark/>
          </w:tcPr>
          <w:p w14:paraId="5A0D2D72" w14:textId="77777777" w:rsidR="003F1B49" w:rsidRPr="003F1B49" w:rsidRDefault="003F1B49">
            <w:pPr>
              <w:rPr>
                <w:rFonts w:eastAsia="Times New Roman"/>
                <w:b/>
                <w:bCs/>
                <w:lang w:val="en-IE" w:eastAsia="en-GB"/>
              </w:rPr>
            </w:pPr>
          </w:p>
        </w:tc>
        <w:tc>
          <w:tcPr>
            <w:tcW w:w="1134"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469562DA"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DER</w:t>
            </w:r>
          </w:p>
        </w:tc>
        <w:tc>
          <w:tcPr>
            <w:tcW w:w="2123"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6BFE295F"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22 (88%)</w:t>
            </w:r>
          </w:p>
        </w:tc>
        <w:tc>
          <w:tcPr>
            <w:tcW w:w="2130"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10861C19" w14:textId="77777777" w:rsidR="003F1B49" w:rsidRPr="003F1B49" w:rsidRDefault="003F1B49">
            <w:pPr>
              <w:spacing w:line="360" w:lineRule="auto"/>
              <w:jc w:val="center"/>
              <w:rPr>
                <w:rFonts w:eastAsia="Times New Roman"/>
                <w:lang w:eastAsia="en-GB"/>
              </w:rPr>
            </w:pPr>
            <w:r w:rsidRPr="003F1B49">
              <w:rPr>
                <w:rFonts w:eastAsia="Times New Roman"/>
                <w:lang w:eastAsia="en-GB"/>
              </w:rPr>
              <w:t>20 (80%)</w:t>
            </w:r>
          </w:p>
        </w:tc>
        <w:tc>
          <w:tcPr>
            <w:tcW w:w="0" w:type="auto"/>
            <w:vMerge/>
            <w:tcBorders>
              <w:top w:val="single" w:sz="4" w:space="0" w:color="auto"/>
              <w:left w:val="nil"/>
              <w:bottom w:val="single" w:sz="4" w:space="0" w:color="auto"/>
              <w:right w:val="nil"/>
            </w:tcBorders>
            <w:shd w:val="clear" w:color="auto" w:fill="FFFFFF"/>
            <w:vAlign w:val="center"/>
            <w:hideMark/>
          </w:tcPr>
          <w:p w14:paraId="03F0A4DB" w14:textId="77777777" w:rsidR="003F1B49" w:rsidRPr="003F1B49" w:rsidRDefault="003F1B49">
            <w:pPr>
              <w:rPr>
                <w:rFonts w:eastAsia="Times New Roman"/>
                <w:lang w:val="en-IE" w:eastAsia="en-GB"/>
              </w:rPr>
            </w:pPr>
          </w:p>
        </w:tc>
      </w:tr>
      <w:tr w:rsidR="003F1B49" w:rsidRPr="003F1B49" w14:paraId="3D400DAD" w14:textId="77777777" w:rsidTr="003F1B49">
        <w:tc>
          <w:tcPr>
            <w:tcW w:w="1276"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599C5CF7" w14:textId="77777777" w:rsidR="003F1B49" w:rsidRPr="003F1B49" w:rsidRDefault="003F1B49">
            <w:pPr>
              <w:spacing w:before="100" w:beforeAutospacing="1" w:after="100" w:afterAutospacing="1" w:line="360" w:lineRule="auto"/>
              <w:rPr>
                <w:rFonts w:eastAsia="Times New Roman"/>
                <w:b/>
                <w:bCs/>
                <w:lang w:eastAsia="en-GB"/>
              </w:rPr>
            </w:pPr>
            <w:r w:rsidRPr="003F1B49">
              <w:rPr>
                <w:rFonts w:eastAsia="Times New Roman"/>
                <w:b/>
                <w:bCs/>
                <w:lang w:eastAsia="en-GB"/>
              </w:rPr>
              <w:t xml:space="preserve">Frykman </w:t>
            </w:r>
          </w:p>
        </w:tc>
        <w:tc>
          <w:tcPr>
            <w:tcW w:w="1134"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5EA75D6D"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1</w:t>
            </w:r>
          </w:p>
        </w:tc>
        <w:tc>
          <w:tcPr>
            <w:tcW w:w="2123"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55B7F570"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13 (52%)</w:t>
            </w:r>
          </w:p>
        </w:tc>
        <w:tc>
          <w:tcPr>
            <w:tcW w:w="2130"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0D4FB789"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11 (44%)</w:t>
            </w:r>
          </w:p>
        </w:tc>
        <w:tc>
          <w:tcPr>
            <w:tcW w:w="2409"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4640C12F"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χ</w:t>
            </w:r>
            <w:r w:rsidRPr="003F1B49">
              <w:rPr>
                <w:rFonts w:eastAsia="Times New Roman"/>
                <w:position w:val="6"/>
                <w:lang w:eastAsia="en-GB"/>
              </w:rPr>
              <w:t>2</w:t>
            </w:r>
            <w:r w:rsidRPr="003F1B49">
              <w:rPr>
                <w:rFonts w:eastAsia="Times New Roman"/>
                <w:lang w:eastAsia="en-GB"/>
              </w:rPr>
              <w:t>: 3.892, p = 0.4208</w:t>
            </w:r>
          </w:p>
        </w:tc>
      </w:tr>
      <w:tr w:rsidR="003F1B49" w:rsidRPr="003F1B49" w14:paraId="1AED3059" w14:textId="77777777" w:rsidTr="003F1B49">
        <w:tc>
          <w:tcPr>
            <w:tcW w:w="0" w:type="auto"/>
            <w:vMerge/>
            <w:tcBorders>
              <w:top w:val="single" w:sz="4" w:space="0" w:color="auto"/>
              <w:left w:val="nil"/>
              <w:bottom w:val="single" w:sz="4" w:space="0" w:color="auto"/>
              <w:right w:val="nil"/>
            </w:tcBorders>
            <w:shd w:val="clear" w:color="auto" w:fill="FFFFFF"/>
            <w:vAlign w:val="center"/>
            <w:hideMark/>
          </w:tcPr>
          <w:p w14:paraId="5D598B60" w14:textId="77777777" w:rsidR="003F1B49" w:rsidRPr="003F1B49" w:rsidRDefault="003F1B49">
            <w:pPr>
              <w:rPr>
                <w:rFonts w:eastAsia="Times New Roman"/>
                <w:b/>
                <w:bCs/>
                <w:lang w:val="en-IE" w:eastAsia="en-GB"/>
              </w:rPr>
            </w:pPr>
          </w:p>
        </w:tc>
        <w:tc>
          <w:tcPr>
            <w:tcW w:w="1134" w:type="dxa"/>
            <w:shd w:val="clear" w:color="auto" w:fill="FFFFFF"/>
            <w:tcMar>
              <w:top w:w="15" w:type="dxa"/>
              <w:left w:w="15" w:type="dxa"/>
              <w:bottom w:w="15" w:type="dxa"/>
              <w:right w:w="15" w:type="dxa"/>
            </w:tcMar>
            <w:vAlign w:val="center"/>
            <w:hideMark/>
          </w:tcPr>
          <w:p w14:paraId="4F44C06F"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2 </w:t>
            </w:r>
          </w:p>
        </w:tc>
        <w:tc>
          <w:tcPr>
            <w:tcW w:w="2123" w:type="dxa"/>
            <w:shd w:val="clear" w:color="auto" w:fill="FFFFFF"/>
            <w:tcMar>
              <w:top w:w="15" w:type="dxa"/>
              <w:left w:w="15" w:type="dxa"/>
              <w:bottom w:w="15" w:type="dxa"/>
              <w:right w:w="15" w:type="dxa"/>
            </w:tcMar>
            <w:vAlign w:val="center"/>
            <w:hideMark/>
          </w:tcPr>
          <w:p w14:paraId="1B974502"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1 (4%)</w:t>
            </w:r>
          </w:p>
        </w:tc>
        <w:tc>
          <w:tcPr>
            <w:tcW w:w="2130" w:type="dxa"/>
            <w:shd w:val="clear" w:color="auto" w:fill="FFFFFF"/>
            <w:tcMar>
              <w:top w:w="15" w:type="dxa"/>
              <w:left w:w="15" w:type="dxa"/>
              <w:bottom w:w="15" w:type="dxa"/>
              <w:right w:w="15" w:type="dxa"/>
            </w:tcMar>
            <w:vAlign w:val="center"/>
            <w:hideMark/>
          </w:tcPr>
          <w:p w14:paraId="153F19AC" w14:textId="77777777" w:rsidR="003F1B49" w:rsidRPr="003F1B49" w:rsidRDefault="003F1B49">
            <w:pPr>
              <w:spacing w:line="360" w:lineRule="auto"/>
              <w:jc w:val="center"/>
              <w:rPr>
                <w:rFonts w:eastAsia="Times New Roman"/>
                <w:lang w:eastAsia="en-GB"/>
              </w:rPr>
            </w:pPr>
            <w:r w:rsidRPr="003F1B49">
              <w:rPr>
                <w:rFonts w:eastAsia="Times New Roman"/>
                <w:lang w:eastAsia="en-GB"/>
              </w:rPr>
              <w:t>0 (0%)</w:t>
            </w:r>
          </w:p>
        </w:tc>
        <w:tc>
          <w:tcPr>
            <w:tcW w:w="0" w:type="auto"/>
            <w:vMerge/>
            <w:tcBorders>
              <w:top w:val="single" w:sz="4" w:space="0" w:color="auto"/>
              <w:left w:val="nil"/>
              <w:bottom w:val="single" w:sz="4" w:space="0" w:color="auto"/>
              <w:right w:val="nil"/>
            </w:tcBorders>
            <w:shd w:val="clear" w:color="auto" w:fill="FFFFFF"/>
            <w:vAlign w:val="center"/>
            <w:hideMark/>
          </w:tcPr>
          <w:p w14:paraId="30C89AF3" w14:textId="77777777" w:rsidR="003F1B49" w:rsidRPr="003F1B49" w:rsidRDefault="003F1B49">
            <w:pPr>
              <w:rPr>
                <w:rFonts w:eastAsia="Times New Roman"/>
                <w:lang w:val="en-IE" w:eastAsia="en-GB"/>
              </w:rPr>
            </w:pPr>
          </w:p>
        </w:tc>
      </w:tr>
      <w:tr w:rsidR="003F1B49" w:rsidRPr="003F1B49" w14:paraId="094DE549" w14:textId="77777777" w:rsidTr="003F1B49">
        <w:tc>
          <w:tcPr>
            <w:tcW w:w="0" w:type="auto"/>
            <w:vMerge/>
            <w:tcBorders>
              <w:top w:val="single" w:sz="4" w:space="0" w:color="auto"/>
              <w:left w:val="nil"/>
              <w:bottom w:val="single" w:sz="4" w:space="0" w:color="auto"/>
              <w:right w:val="nil"/>
            </w:tcBorders>
            <w:shd w:val="clear" w:color="auto" w:fill="FFFFFF"/>
            <w:vAlign w:val="center"/>
            <w:hideMark/>
          </w:tcPr>
          <w:p w14:paraId="18649888" w14:textId="77777777" w:rsidR="003F1B49" w:rsidRPr="003F1B49" w:rsidRDefault="003F1B49">
            <w:pPr>
              <w:rPr>
                <w:rFonts w:eastAsia="Times New Roman"/>
                <w:b/>
                <w:bCs/>
                <w:lang w:val="en-IE" w:eastAsia="en-GB"/>
              </w:rPr>
            </w:pPr>
          </w:p>
        </w:tc>
        <w:tc>
          <w:tcPr>
            <w:tcW w:w="1134" w:type="dxa"/>
            <w:shd w:val="clear" w:color="auto" w:fill="FFFFFF"/>
            <w:tcMar>
              <w:top w:w="15" w:type="dxa"/>
              <w:left w:w="15" w:type="dxa"/>
              <w:bottom w:w="15" w:type="dxa"/>
              <w:right w:w="15" w:type="dxa"/>
            </w:tcMar>
            <w:vAlign w:val="center"/>
            <w:hideMark/>
          </w:tcPr>
          <w:p w14:paraId="663C56D8"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3 </w:t>
            </w:r>
          </w:p>
        </w:tc>
        <w:tc>
          <w:tcPr>
            <w:tcW w:w="2123" w:type="dxa"/>
            <w:shd w:val="clear" w:color="auto" w:fill="FFFFFF"/>
            <w:tcMar>
              <w:top w:w="15" w:type="dxa"/>
              <w:left w:w="15" w:type="dxa"/>
              <w:bottom w:w="15" w:type="dxa"/>
              <w:right w:w="15" w:type="dxa"/>
            </w:tcMar>
            <w:vAlign w:val="center"/>
            <w:hideMark/>
          </w:tcPr>
          <w:p w14:paraId="33DC9A93"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9(36%)</w:t>
            </w:r>
          </w:p>
        </w:tc>
        <w:tc>
          <w:tcPr>
            <w:tcW w:w="2130" w:type="dxa"/>
            <w:shd w:val="clear" w:color="auto" w:fill="FFFFFF"/>
            <w:tcMar>
              <w:top w:w="15" w:type="dxa"/>
              <w:left w:w="15" w:type="dxa"/>
              <w:bottom w:w="15" w:type="dxa"/>
              <w:right w:w="15" w:type="dxa"/>
            </w:tcMar>
            <w:vAlign w:val="center"/>
            <w:hideMark/>
          </w:tcPr>
          <w:p w14:paraId="3122C7C7" w14:textId="77777777" w:rsidR="003F1B49" w:rsidRPr="003F1B49" w:rsidRDefault="003F1B49">
            <w:pPr>
              <w:spacing w:line="360" w:lineRule="auto"/>
              <w:jc w:val="center"/>
              <w:rPr>
                <w:rFonts w:eastAsia="Times New Roman"/>
                <w:lang w:eastAsia="en-GB"/>
              </w:rPr>
            </w:pPr>
            <w:r w:rsidRPr="003F1B49">
              <w:rPr>
                <w:rFonts w:eastAsia="Times New Roman"/>
                <w:lang w:eastAsia="en-GB"/>
              </w:rPr>
              <w:t>8 (32%)</w:t>
            </w:r>
          </w:p>
        </w:tc>
        <w:tc>
          <w:tcPr>
            <w:tcW w:w="0" w:type="auto"/>
            <w:vMerge/>
            <w:tcBorders>
              <w:top w:val="single" w:sz="4" w:space="0" w:color="auto"/>
              <w:left w:val="nil"/>
              <w:bottom w:val="single" w:sz="4" w:space="0" w:color="auto"/>
              <w:right w:val="nil"/>
            </w:tcBorders>
            <w:shd w:val="clear" w:color="auto" w:fill="FFFFFF"/>
            <w:vAlign w:val="center"/>
            <w:hideMark/>
          </w:tcPr>
          <w:p w14:paraId="1E56F6FC" w14:textId="77777777" w:rsidR="003F1B49" w:rsidRPr="003F1B49" w:rsidRDefault="003F1B49">
            <w:pPr>
              <w:rPr>
                <w:rFonts w:eastAsia="Times New Roman"/>
                <w:lang w:val="en-IE" w:eastAsia="en-GB"/>
              </w:rPr>
            </w:pPr>
          </w:p>
        </w:tc>
      </w:tr>
      <w:tr w:rsidR="003F1B49" w:rsidRPr="003F1B49" w14:paraId="1A36975A" w14:textId="77777777" w:rsidTr="003F1B49">
        <w:tc>
          <w:tcPr>
            <w:tcW w:w="0" w:type="auto"/>
            <w:vMerge/>
            <w:tcBorders>
              <w:top w:val="single" w:sz="4" w:space="0" w:color="auto"/>
              <w:left w:val="nil"/>
              <w:bottom w:val="single" w:sz="4" w:space="0" w:color="auto"/>
              <w:right w:val="nil"/>
            </w:tcBorders>
            <w:shd w:val="clear" w:color="auto" w:fill="FFFFFF"/>
            <w:vAlign w:val="center"/>
            <w:hideMark/>
          </w:tcPr>
          <w:p w14:paraId="0C61DCCB" w14:textId="77777777" w:rsidR="003F1B49" w:rsidRPr="003F1B49" w:rsidRDefault="003F1B49">
            <w:pPr>
              <w:rPr>
                <w:rFonts w:eastAsia="Times New Roman"/>
                <w:b/>
                <w:bCs/>
                <w:lang w:val="en-IE" w:eastAsia="en-GB"/>
              </w:rPr>
            </w:pPr>
          </w:p>
        </w:tc>
        <w:tc>
          <w:tcPr>
            <w:tcW w:w="1134" w:type="dxa"/>
            <w:shd w:val="clear" w:color="auto" w:fill="FFFFFF"/>
            <w:tcMar>
              <w:top w:w="15" w:type="dxa"/>
              <w:left w:w="15" w:type="dxa"/>
              <w:bottom w:w="15" w:type="dxa"/>
              <w:right w:w="15" w:type="dxa"/>
            </w:tcMar>
            <w:vAlign w:val="center"/>
            <w:hideMark/>
          </w:tcPr>
          <w:p w14:paraId="215FFEDC"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4</w:t>
            </w:r>
          </w:p>
        </w:tc>
        <w:tc>
          <w:tcPr>
            <w:tcW w:w="2123" w:type="dxa"/>
            <w:shd w:val="clear" w:color="auto" w:fill="FFFFFF"/>
            <w:tcMar>
              <w:top w:w="15" w:type="dxa"/>
              <w:left w:w="15" w:type="dxa"/>
              <w:bottom w:w="15" w:type="dxa"/>
              <w:right w:w="15" w:type="dxa"/>
            </w:tcMar>
            <w:vAlign w:val="center"/>
            <w:hideMark/>
          </w:tcPr>
          <w:p w14:paraId="7AC110B7"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1 (4%)</w:t>
            </w:r>
          </w:p>
        </w:tc>
        <w:tc>
          <w:tcPr>
            <w:tcW w:w="2130" w:type="dxa"/>
            <w:shd w:val="clear" w:color="auto" w:fill="FFFFFF"/>
            <w:tcMar>
              <w:top w:w="15" w:type="dxa"/>
              <w:left w:w="15" w:type="dxa"/>
              <w:bottom w:w="15" w:type="dxa"/>
              <w:right w:w="15" w:type="dxa"/>
            </w:tcMar>
            <w:vAlign w:val="center"/>
            <w:hideMark/>
          </w:tcPr>
          <w:p w14:paraId="5BAB31AB" w14:textId="77777777" w:rsidR="003F1B49" w:rsidRPr="003F1B49" w:rsidRDefault="003F1B49">
            <w:pPr>
              <w:spacing w:line="360" w:lineRule="auto"/>
              <w:jc w:val="center"/>
              <w:rPr>
                <w:rFonts w:eastAsia="Times New Roman"/>
                <w:lang w:eastAsia="en-GB"/>
              </w:rPr>
            </w:pPr>
            <w:r w:rsidRPr="003F1B49">
              <w:rPr>
                <w:rFonts w:eastAsia="Times New Roman"/>
                <w:lang w:eastAsia="en-GB"/>
              </w:rPr>
              <w:t>5 (20%)</w:t>
            </w:r>
          </w:p>
        </w:tc>
        <w:tc>
          <w:tcPr>
            <w:tcW w:w="0" w:type="auto"/>
            <w:vMerge/>
            <w:tcBorders>
              <w:top w:val="single" w:sz="4" w:space="0" w:color="auto"/>
              <w:left w:val="nil"/>
              <w:bottom w:val="single" w:sz="4" w:space="0" w:color="auto"/>
              <w:right w:val="nil"/>
            </w:tcBorders>
            <w:shd w:val="clear" w:color="auto" w:fill="FFFFFF"/>
            <w:vAlign w:val="center"/>
            <w:hideMark/>
          </w:tcPr>
          <w:p w14:paraId="519D4A42" w14:textId="77777777" w:rsidR="003F1B49" w:rsidRPr="003F1B49" w:rsidRDefault="003F1B49">
            <w:pPr>
              <w:rPr>
                <w:rFonts w:eastAsia="Times New Roman"/>
                <w:lang w:val="en-IE" w:eastAsia="en-GB"/>
              </w:rPr>
            </w:pPr>
          </w:p>
        </w:tc>
      </w:tr>
      <w:tr w:rsidR="003F1B49" w:rsidRPr="003F1B49" w14:paraId="5C6EA233" w14:textId="77777777" w:rsidTr="003F1B49">
        <w:tc>
          <w:tcPr>
            <w:tcW w:w="0" w:type="auto"/>
            <w:vMerge/>
            <w:tcBorders>
              <w:top w:val="single" w:sz="4" w:space="0" w:color="auto"/>
              <w:left w:val="nil"/>
              <w:bottom w:val="single" w:sz="4" w:space="0" w:color="auto"/>
              <w:right w:val="nil"/>
            </w:tcBorders>
            <w:shd w:val="clear" w:color="auto" w:fill="FFFFFF"/>
            <w:vAlign w:val="center"/>
            <w:hideMark/>
          </w:tcPr>
          <w:p w14:paraId="3B591536" w14:textId="77777777" w:rsidR="003F1B49" w:rsidRPr="003F1B49" w:rsidRDefault="003F1B49">
            <w:pPr>
              <w:rPr>
                <w:rFonts w:eastAsia="Times New Roman"/>
                <w:b/>
                <w:bCs/>
                <w:lang w:val="en-IE" w:eastAsia="en-GB"/>
              </w:rPr>
            </w:pPr>
          </w:p>
        </w:tc>
        <w:tc>
          <w:tcPr>
            <w:tcW w:w="1134"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638F9753"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8 </w:t>
            </w:r>
          </w:p>
        </w:tc>
        <w:tc>
          <w:tcPr>
            <w:tcW w:w="2123"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16AD3BC6"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1 (4%)</w:t>
            </w:r>
          </w:p>
        </w:tc>
        <w:tc>
          <w:tcPr>
            <w:tcW w:w="2130"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0EDACEA2" w14:textId="77777777" w:rsidR="003F1B49" w:rsidRPr="003F1B49" w:rsidRDefault="003F1B49">
            <w:pPr>
              <w:spacing w:line="360" w:lineRule="auto"/>
              <w:jc w:val="center"/>
              <w:rPr>
                <w:rFonts w:eastAsia="Times New Roman"/>
                <w:lang w:eastAsia="en-GB"/>
              </w:rPr>
            </w:pPr>
            <w:r w:rsidRPr="003F1B49">
              <w:rPr>
                <w:rFonts w:eastAsia="Times New Roman"/>
                <w:lang w:eastAsia="en-GB"/>
              </w:rPr>
              <w:t>1 (4%)</w:t>
            </w:r>
          </w:p>
        </w:tc>
        <w:tc>
          <w:tcPr>
            <w:tcW w:w="0" w:type="auto"/>
            <w:vMerge/>
            <w:tcBorders>
              <w:top w:val="single" w:sz="4" w:space="0" w:color="auto"/>
              <w:left w:val="nil"/>
              <w:bottom w:val="single" w:sz="4" w:space="0" w:color="auto"/>
              <w:right w:val="nil"/>
            </w:tcBorders>
            <w:shd w:val="clear" w:color="auto" w:fill="FFFFFF"/>
            <w:vAlign w:val="center"/>
            <w:hideMark/>
          </w:tcPr>
          <w:p w14:paraId="7B35DD10" w14:textId="77777777" w:rsidR="003F1B49" w:rsidRPr="003F1B49" w:rsidRDefault="003F1B49">
            <w:pPr>
              <w:rPr>
                <w:rFonts w:eastAsia="Times New Roman"/>
                <w:lang w:val="en-IE" w:eastAsia="en-GB"/>
              </w:rPr>
            </w:pPr>
          </w:p>
        </w:tc>
      </w:tr>
      <w:tr w:rsidR="003F1B49" w:rsidRPr="003F1B49" w14:paraId="070D054E" w14:textId="77777777" w:rsidTr="003F1B49">
        <w:tc>
          <w:tcPr>
            <w:tcW w:w="1276"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1B51743E" w14:textId="77777777" w:rsidR="003F1B49" w:rsidRPr="003F1B49" w:rsidRDefault="003F1B49">
            <w:pPr>
              <w:spacing w:before="100" w:beforeAutospacing="1" w:after="100" w:afterAutospacing="1" w:line="360" w:lineRule="auto"/>
              <w:rPr>
                <w:rFonts w:eastAsia="Times New Roman"/>
                <w:b/>
                <w:bCs/>
                <w:lang w:eastAsia="en-GB"/>
              </w:rPr>
            </w:pPr>
            <w:r w:rsidRPr="003F1B49">
              <w:rPr>
                <w:rFonts w:eastAsia="Times New Roman"/>
                <w:b/>
                <w:bCs/>
                <w:lang w:eastAsia="en-GB"/>
              </w:rPr>
              <w:t>Radiograph</w:t>
            </w:r>
          </w:p>
        </w:tc>
        <w:tc>
          <w:tcPr>
            <w:tcW w:w="1134"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1EE52FB7"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Accepted </w:t>
            </w:r>
          </w:p>
        </w:tc>
        <w:tc>
          <w:tcPr>
            <w:tcW w:w="2123"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59643401"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23 (92%)</w:t>
            </w:r>
          </w:p>
        </w:tc>
        <w:tc>
          <w:tcPr>
            <w:tcW w:w="2130"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742BF0DD"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21 (84%)</w:t>
            </w:r>
          </w:p>
        </w:tc>
        <w:tc>
          <w:tcPr>
            <w:tcW w:w="2409"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54C43AB5"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χ</w:t>
            </w:r>
            <w:r w:rsidRPr="003F1B49">
              <w:rPr>
                <w:rFonts w:eastAsia="Times New Roman"/>
                <w:position w:val="6"/>
                <w:lang w:eastAsia="en-GB"/>
              </w:rPr>
              <w:t>2</w:t>
            </w:r>
            <w:r w:rsidRPr="003F1B49">
              <w:rPr>
                <w:rFonts w:eastAsia="Times New Roman"/>
                <w:lang w:eastAsia="en-GB"/>
              </w:rPr>
              <w:t>: 0.1894, p = 0.6634</w:t>
            </w:r>
          </w:p>
        </w:tc>
      </w:tr>
      <w:tr w:rsidR="003F1B49" w:rsidRPr="003F1B49" w14:paraId="38AD9D44" w14:textId="77777777" w:rsidTr="003F1B49">
        <w:tc>
          <w:tcPr>
            <w:tcW w:w="0" w:type="auto"/>
            <w:vMerge/>
            <w:tcBorders>
              <w:top w:val="single" w:sz="4" w:space="0" w:color="auto"/>
              <w:left w:val="nil"/>
              <w:bottom w:val="single" w:sz="4" w:space="0" w:color="auto"/>
              <w:right w:val="nil"/>
            </w:tcBorders>
            <w:shd w:val="clear" w:color="auto" w:fill="FFFFFF"/>
            <w:vAlign w:val="center"/>
            <w:hideMark/>
          </w:tcPr>
          <w:p w14:paraId="199122C2" w14:textId="77777777" w:rsidR="003F1B49" w:rsidRPr="003F1B49" w:rsidRDefault="003F1B49">
            <w:pPr>
              <w:rPr>
                <w:rFonts w:eastAsia="Times New Roman"/>
                <w:b/>
                <w:bCs/>
                <w:lang w:val="en-IE" w:eastAsia="en-GB"/>
              </w:rPr>
            </w:pPr>
          </w:p>
        </w:tc>
        <w:tc>
          <w:tcPr>
            <w:tcW w:w="1134"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6FEF2066"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Reduced </w:t>
            </w:r>
          </w:p>
        </w:tc>
        <w:tc>
          <w:tcPr>
            <w:tcW w:w="2123"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43BAE489"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2 (8%)</w:t>
            </w:r>
          </w:p>
        </w:tc>
        <w:tc>
          <w:tcPr>
            <w:tcW w:w="2130"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73DE42CB" w14:textId="77777777" w:rsidR="003F1B49" w:rsidRPr="003F1B49" w:rsidRDefault="003F1B49">
            <w:pPr>
              <w:spacing w:line="360" w:lineRule="auto"/>
              <w:jc w:val="center"/>
              <w:rPr>
                <w:rFonts w:eastAsia="Times New Roman"/>
                <w:lang w:eastAsia="en-GB"/>
              </w:rPr>
            </w:pPr>
            <w:r w:rsidRPr="003F1B49">
              <w:rPr>
                <w:rFonts w:eastAsia="Times New Roman"/>
                <w:lang w:eastAsia="en-GB"/>
              </w:rPr>
              <w:t>4 (16%)</w:t>
            </w:r>
          </w:p>
        </w:tc>
        <w:tc>
          <w:tcPr>
            <w:tcW w:w="0" w:type="auto"/>
            <w:vMerge/>
            <w:tcBorders>
              <w:top w:val="single" w:sz="4" w:space="0" w:color="auto"/>
              <w:left w:val="nil"/>
              <w:bottom w:val="single" w:sz="4" w:space="0" w:color="auto"/>
              <w:right w:val="nil"/>
            </w:tcBorders>
            <w:shd w:val="clear" w:color="auto" w:fill="FFFFFF"/>
            <w:vAlign w:val="center"/>
            <w:hideMark/>
          </w:tcPr>
          <w:p w14:paraId="30B55C95" w14:textId="77777777" w:rsidR="003F1B49" w:rsidRPr="003F1B49" w:rsidRDefault="003F1B49">
            <w:pPr>
              <w:rPr>
                <w:rFonts w:eastAsia="Times New Roman"/>
                <w:lang w:val="en-IE" w:eastAsia="en-GB"/>
              </w:rPr>
            </w:pPr>
          </w:p>
        </w:tc>
      </w:tr>
      <w:tr w:rsidR="003F1B49" w:rsidRPr="003F1B49" w14:paraId="0A95E877" w14:textId="77777777" w:rsidTr="003F1B49">
        <w:tc>
          <w:tcPr>
            <w:tcW w:w="1276"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77770B12" w14:textId="77777777" w:rsidR="003F1B49" w:rsidRPr="003F1B49" w:rsidRDefault="003F1B49">
            <w:pPr>
              <w:spacing w:before="100" w:beforeAutospacing="1" w:after="100" w:afterAutospacing="1" w:line="360" w:lineRule="auto"/>
              <w:rPr>
                <w:rFonts w:eastAsia="Times New Roman"/>
                <w:b/>
                <w:bCs/>
                <w:lang w:eastAsia="en-GB"/>
              </w:rPr>
            </w:pPr>
            <w:r w:rsidRPr="003F1B49">
              <w:rPr>
                <w:rFonts w:eastAsia="Times New Roman"/>
                <w:b/>
                <w:bCs/>
                <w:lang w:eastAsia="en-GB"/>
              </w:rPr>
              <w:t xml:space="preserve">Definitive treatment </w:t>
            </w:r>
          </w:p>
        </w:tc>
        <w:tc>
          <w:tcPr>
            <w:tcW w:w="1134"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2CF0BBC9"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Conservative </w:t>
            </w:r>
          </w:p>
        </w:tc>
        <w:tc>
          <w:tcPr>
            <w:tcW w:w="2123"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2A60C671"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22 (88%)</w:t>
            </w:r>
          </w:p>
        </w:tc>
        <w:tc>
          <w:tcPr>
            <w:tcW w:w="2130"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5DA9AE46"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19 (76%)</w:t>
            </w:r>
          </w:p>
        </w:tc>
        <w:tc>
          <w:tcPr>
            <w:tcW w:w="2409"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518F895F"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χ</w:t>
            </w:r>
            <w:r w:rsidRPr="003F1B49">
              <w:rPr>
                <w:rFonts w:eastAsia="Times New Roman"/>
                <w:position w:val="6"/>
                <w:lang w:eastAsia="en-GB"/>
              </w:rPr>
              <w:t>2</w:t>
            </w:r>
            <w:r w:rsidRPr="003F1B49">
              <w:rPr>
                <w:rFonts w:eastAsia="Times New Roman"/>
                <w:lang w:eastAsia="en-GB"/>
              </w:rPr>
              <w:t>: 0.5420, p = 0.4616</w:t>
            </w:r>
          </w:p>
        </w:tc>
      </w:tr>
      <w:tr w:rsidR="003F1B49" w:rsidRPr="003F1B49" w14:paraId="479FEF11" w14:textId="77777777" w:rsidTr="003F1B49">
        <w:tc>
          <w:tcPr>
            <w:tcW w:w="0" w:type="auto"/>
            <w:vMerge/>
            <w:tcBorders>
              <w:top w:val="single" w:sz="4" w:space="0" w:color="auto"/>
              <w:left w:val="nil"/>
              <w:bottom w:val="single" w:sz="4" w:space="0" w:color="auto"/>
              <w:right w:val="nil"/>
            </w:tcBorders>
            <w:shd w:val="clear" w:color="auto" w:fill="FFFFFF"/>
            <w:vAlign w:val="center"/>
            <w:hideMark/>
          </w:tcPr>
          <w:p w14:paraId="3403E6BC" w14:textId="77777777" w:rsidR="003F1B49" w:rsidRPr="003F1B49" w:rsidRDefault="003F1B49">
            <w:pPr>
              <w:rPr>
                <w:rFonts w:eastAsia="Times New Roman"/>
                <w:b/>
                <w:bCs/>
                <w:lang w:val="en-IE" w:eastAsia="en-GB"/>
              </w:rPr>
            </w:pPr>
          </w:p>
        </w:tc>
        <w:tc>
          <w:tcPr>
            <w:tcW w:w="1134"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14B79B68"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Operative</w:t>
            </w:r>
          </w:p>
        </w:tc>
        <w:tc>
          <w:tcPr>
            <w:tcW w:w="2123"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62D1A7D7"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3 (12%)</w:t>
            </w:r>
          </w:p>
        </w:tc>
        <w:tc>
          <w:tcPr>
            <w:tcW w:w="2130"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2020D2C0" w14:textId="77777777" w:rsidR="003F1B49" w:rsidRPr="003F1B49" w:rsidRDefault="003F1B49">
            <w:pPr>
              <w:spacing w:line="360" w:lineRule="auto"/>
              <w:jc w:val="center"/>
              <w:rPr>
                <w:rFonts w:eastAsia="Times New Roman"/>
                <w:lang w:eastAsia="en-GB"/>
              </w:rPr>
            </w:pPr>
            <w:r w:rsidRPr="003F1B49">
              <w:rPr>
                <w:rFonts w:eastAsia="Times New Roman"/>
                <w:lang w:eastAsia="en-GB"/>
              </w:rPr>
              <w:t>6 (24%)</w:t>
            </w:r>
          </w:p>
        </w:tc>
        <w:tc>
          <w:tcPr>
            <w:tcW w:w="0" w:type="auto"/>
            <w:vMerge/>
            <w:tcBorders>
              <w:top w:val="single" w:sz="4" w:space="0" w:color="auto"/>
              <w:left w:val="nil"/>
              <w:bottom w:val="single" w:sz="4" w:space="0" w:color="auto"/>
              <w:right w:val="nil"/>
            </w:tcBorders>
            <w:shd w:val="clear" w:color="auto" w:fill="FFFFFF"/>
            <w:vAlign w:val="center"/>
            <w:hideMark/>
          </w:tcPr>
          <w:p w14:paraId="2641DBF4" w14:textId="77777777" w:rsidR="003F1B49" w:rsidRPr="003F1B49" w:rsidRDefault="003F1B49">
            <w:pPr>
              <w:rPr>
                <w:rFonts w:eastAsia="Times New Roman"/>
                <w:lang w:val="en-IE" w:eastAsia="en-GB"/>
              </w:rPr>
            </w:pPr>
          </w:p>
        </w:tc>
      </w:tr>
      <w:tr w:rsidR="003F1B49" w:rsidRPr="003F1B49" w14:paraId="71C8FFC9" w14:textId="77777777" w:rsidTr="003F1B49">
        <w:tc>
          <w:tcPr>
            <w:tcW w:w="1276"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5DA32755" w14:textId="77777777" w:rsidR="003F1B49" w:rsidRPr="003F1B49" w:rsidRDefault="003F1B49">
            <w:pPr>
              <w:spacing w:before="100" w:beforeAutospacing="1" w:after="100" w:afterAutospacing="1" w:line="360" w:lineRule="auto"/>
              <w:rPr>
                <w:rFonts w:eastAsia="Times New Roman"/>
                <w:b/>
                <w:bCs/>
                <w:lang w:eastAsia="en-GB"/>
              </w:rPr>
            </w:pPr>
            <w:r w:rsidRPr="003F1B49">
              <w:rPr>
                <w:rFonts w:eastAsia="Times New Roman"/>
                <w:b/>
                <w:bCs/>
                <w:lang w:eastAsia="en-GB"/>
              </w:rPr>
              <w:t xml:space="preserve">Need for Re-manipulation </w:t>
            </w:r>
          </w:p>
        </w:tc>
        <w:tc>
          <w:tcPr>
            <w:tcW w:w="1134"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5728BEA5"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No</w:t>
            </w:r>
          </w:p>
        </w:tc>
        <w:tc>
          <w:tcPr>
            <w:tcW w:w="2123"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5126A6D1"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24 (96%)</w:t>
            </w:r>
          </w:p>
        </w:tc>
        <w:tc>
          <w:tcPr>
            <w:tcW w:w="2130"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52DA88D3"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24 (96%)</w:t>
            </w:r>
          </w:p>
        </w:tc>
        <w:tc>
          <w:tcPr>
            <w:tcW w:w="2409"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24BFEBE2"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χ</w:t>
            </w:r>
            <w:r w:rsidRPr="003F1B49">
              <w:rPr>
                <w:rFonts w:eastAsia="Times New Roman"/>
                <w:position w:val="6"/>
                <w:lang w:eastAsia="en-GB"/>
              </w:rPr>
              <w:t>2</w:t>
            </w:r>
            <w:r w:rsidRPr="003F1B49">
              <w:rPr>
                <w:rFonts w:eastAsia="Times New Roman"/>
                <w:lang w:eastAsia="en-GB"/>
              </w:rPr>
              <w:t>: 0.000, p &gt; 0.9999</w:t>
            </w:r>
          </w:p>
        </w:tc>
      </w:tr>
      <w:tr w:rsidR="003F1B49" w:rsidRPr="003F1B49" w14:paraId="18E3FD6D" w14:textId="77777777" w:rsidTr="003F1B49">
        <w:tc>
          <w:tcPr>
            <w:tcW w:w="0" w:type="auto"/>
            <w:vMerge/>
            <w:tcBorders>
              <w:top w:val="single" w:sz="4" w:space="0" w:color="auto"/>
              <w:left w:val="nil"/>
              <w:bottom w:val="single" w:sz="4" w:space="0" w:color="auto"/>
              <w:right w:val="nil"/>
            </w:tcBorders>
            <w:shd w:val="clear" w:color="auto" w:fill="FFFFFF"/>
            <w:vAlign w:val="center"/>
            <w:hideMark/>
          </w:tcPr>
          <w:p w14:paraId="4709B52F" w14:textId="77777777" w:rsidR="003F1B49" w:rsidRPr="003F1B49" w:rsidRDefault="003F1B49">
            <w:pPr>
              <w:rPr>
                <w:rFonts w:eastAsia="Times New Roman"/>
                <w:b/>
                <w:bCs/>
                <w:lang w:val="en-IE" w:eastAsia="en-GB"/>
              </w:rPr>
            </w:pPr>
          </w:p>
        </w:tc>
        <w:tc>
          <w:tcPr>
            <w:tcW w:w="1134"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5A78ACF5"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Yes </w:t>
            </w:r>
          </w:p>
        </w:tc>
        <w:tc>
          <w:tcPr>
            <w:tcW w:w="2123"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62900785"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1 (4%)</w:t>
            </w:r>
          </w:p>
        </w:tc>
        <w:tc>
          <w:tcPr>
            <w:tcW w:w="2130"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4A7D7553" w14:textId="77777777" w:rsidR="003F1B49" w:rsidRPr="003F1B49" w:rsidRDefault="003F1B49">
            <w:pPr>
              <w:spacing w:line="360" w:lineRule="auto"/>
              <w:jc w:val="center"/>
              <w:rPr>
                <w:rFonts w:eastAsia="Times New Roman"/>
                <w:lang w:eastAsia="en-GB"/>
              </w:rPr>
            </w:pPr>
            <w:r w:rsidRPr="003F1B49">
              <w:rPr>
                <w:rFonts w:eastAsia="Times New Roman"/>
                <w:lang w:eastAsia="en-GB"/>
              </w:rPr>
              <w:t>1 (4%)</w:t>
            </w:r>
          </w:p>
        </w:tc>
        <w:tc>
          <w:tcPr>
            <w:tcW w:w="0" w:type="auto"/>
            <w:vMerge/>
            <w:tcBorders>
              <w:top w:val="single" w:sz="4" w:space="0" w:color="auto"/>
              <w:left w:val="nil"/>
              <w:bottom w:val="single" w:sz="4" w:space="0" w:color="auto"/>
              <w:right w:val="nil"/>
            </w:tcBorders>
            <w:shd w:val="clear" w:color="auto" w:fill="FFFFFF"/>
            <w:vAlign w:val="center"/>
            <w:hideMark/>
          </w:tcPr>
          <w:p w14:paraId="4A0ABC3B" w14:textId="77777777" w:rsidR="003F1B49" w:rsidRPr="003F1B49" w:rsidRDefault="003F1B49">
            <w:pPr>
              <w:rPr>
                <w:rFonts w:eastAsia="Times New Roman"/>
                <w:lang w:val="en-IE" w:eastAsia="en-GB"/>
              </w:rPr>
            </w:pPr>
          </w:p>
        </w:tc>
      </w:tr>
      <w:tr w:rsidR="003F1B49" w:rsidRPr="003F1B49" w14:paraId="2EB93456" w14:textId="77777777" w:rsidTr="003F1B49">
        <w:tc>
          <w:tcPr>
            <w:tcW w:w="1276"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7D7DF7D7" w14:textId="77777777" w:rsidR="003F1B49" w:rsidRPr="003F1B49" w:rsidRDefault="003F1B49">
            <w:pPr>
              <w:spacing w:before="100" w:beforeAutospacing="1" w:after="100" w:afterAutospacing="1" w:line="360" w:lineRule="auto"/>
              <w:rPr>
                <w:rFonts w:eastAsia="Times New Roman"/>
                <w:b/>
                <w:bCs/>
                <w:lang w:eastAsia="en-GB"/>
              </w:rPr>
            </w:pPr>
            <w:r w:rsidRPr="003F1B49">
              <w:rPr>
                <w:rFonts w:eastAsia="Times New Roman"/>
                <w:b/>
                <w:bCs/>
                <w:lang w:eastAsia="en-GB"/>
              </w:rPr>
              <w:t>Complications</w:t>
            </w:r>
          </w:p>
        </w:tc>
        <w:tc>
          <w:tcPr>
            <w:tcW w:w="1134"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6499EA9D"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No </w:t>
            </w:r>
          </w:p>
        </w:tc>
        <w:tc>
          <w:tcPr>
            <w:tcW w:w="2123"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7FCA7E72"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25 (100%)</w:t>
            </w:r>
          </w:p>
        </w:tc>
        <w:tc>
          <w:tcPr>
            <w:tcW w:w="2130" w:type="dxa"/>
            <w:tcBorders>
              <w:top w:val="single" w:sz="4" w:space="0" w:color="auto"/>
              <w:left w:val="nil"/>
              <w:bottom w:val="nil"/>
              <w:right w:val="nil"/>
            </w:tcBorders>
            <w:shd w:val="clear" w:color="auto" w:fill="FFFFFF"/>
            <w:tcMar>
              <w:top w:w="15" w:type="dxa"/>
              <w:left w:w="15" w:type="dxa"/>
              <w:bottom w:w="15" w:type="dxa"/>
              <w:right w:w="15" w:type="dxa"/>
            </w:tcMar>
            <w:vAlign w:val="center"/>
            <w:hideMark/>
          </w:tcPr>
          <w:p w14:paraId="1661CD75"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25 (100%)</w:t>
            </w:r>
          </w:p>
        </w:tc>
        <w:tc>
          <w:tcPr>
            <w:tcW w:w="2409" w:type="dxa"/>
            <w:vMerge w:val="restart"/>
            <w:tcBorders>
              <w:top w:val="single" w:sz="4" w:space="0" w:color="auto"/>
              <w:left w:val="nil"/>
              <w:bottom w:val="single" w:sz="4" w:space="0" w:color="auto"/>
              <w:right w:val="nil"/>
            </w:tcBorders>
            <w:shd w:val="clear" w:color="auto" w:fill="FFFFFF"/>
            <w:tcMar>
              <w:top w:w="15" w:type="dxa"/>
              <w:left w:w="15" w:type="dxa"/>
              <w:bottom w:w="15" w:type="dxa"/>
              <w:right w:w="15" w:type="dxa"/>
            </w:tcMar>
            <w:vAlign w:val="center"/>
            <w:hideMark/>
          </w:tcPr>
          <w:p w14:paraId="4113C6AA"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χ</w:t>
            </w:r>
            <w:r w:rsidRPr="003F1B49">
              <w:rPr>
                <w:rFonts w:eastAsia="Times New Roman"/>
                <w:position w:val="6"/>
                <w:lang w:eastAsia="en-GB"/>
              </w:rPr>
              <w:t>2</w:t>
            </w:r>
            <w:r w:rsidRPr="003F1B49">
              <w:rPr>
                <w:rFonts w:eastAsia="Times New Roman"/>
                <w:lang w:eastAsia="en-GB"/>
              </w:rPr>
              <w:t>: 0.000, p &gt; 0.9999</w:t>
            </w:r>
          </w:p>
        </w:tc>
      </w:tr>
      <w:tr w:rsidR="003F1B49" w:rsidRPr="003F1B49" w14:paraId="16A42E9D" w14:textId="77777777" w:rsidTr="003F1B49">
        <w:tc>
          <w:tcPr>
            <w:tcW w:w="0" w:type="auto"/>
            <w:vMerge/>
            <w:tcBorders>
              <w:top w:val="single" w:sz="4" w:space="0" w:color="auto"/>
              <w:left w:val="nil"/>
              <w:bottom w:val="single" w:sz="4" w:space="0" w:color="auto"/>
              <w:right w:val="nil"/>
            </w:tcBorders>
            <w:shd w:val="clear" w:color="auto" w:fill="FFFFFF"/>
            <w:vAlign w:val="center"/>
            <w:hideMark/>
          </w:tcPr>
          <w:p w14:paraId="12199326" w14:textId="77777777" w:rsidR="003F1B49" w:rsidRPr="003F1B49" w:rsidRDefault="003F1B49">
            <w:pPr>
              <w:rPr>
                <w:rFonts w:eastAsia="Times New Roman"/>
                <w:b/>
                <w:bCs/>
                <w:lang w:val="en-IE" w:eastAsia="en-GB"/>
              </w:rPr>
            </w:pPr>
          </w:p>
        </w:tc>
        <w:tc>
          <w:tcPr>
            <w:tcW w:w="1134"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7A2ECC5A" w14:textId="77777777" w:rsidR="003F1B49" w:rsidRPr="003F1B49" w:rsidRDefault="003F1B49">
            <w:pPr>
              <w:spacing w:before="100" w:beforeAutospacing="1" w:after="100" w:afterAutospacing="1" w:line="360" w:lineRule="auto"/>
              <w:rPr>
                <w:rFonts w:eastAsia="Times New Roman"/>
                <w:lang w:eastAsia="en-GB"/>
              </w:rPr>
            </w:pPr>
            <w:r w:rsidRPr="003F1B49">
              <w:rPr>
                <w:rFonts w:eastAsia="Times New Roman"/>
                <w:lang w:eastAsia="en-GB"/>
              </w:rPr>
              <w:t xml:space="preserve">Yes </w:t>
            </w:r>
          </w:p>
        </w:tc>
        <w:tc>
          <w:tcPr>
            <w:tcW w:w="2123"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706297B2" w14:textId="77777777" w:rsidR="003F1B49" w:rsidRPr="003F1B49" w:rsidRDefault="003F1B49">
            <w:pPr>
              <w:spacing w:before="100" w:beforeAutospacing="1" w:after="100" w:afterAutospacing="1" w:line="360" w:lineRule="auto"/>
              <w:jc w:val="center"/>
              <w:rPr>
                <w:rFonts w:eastAsia="Times New Roman"/>
                <w:lang w:eastAsia="en-GB"/>
              </w:rPr>
            </w:pPr>
            <w:r w:rsidRPr="003F1B49">
              <w:rPr>
                <w:rFonts w:eastAsia="Times New Roman"/>
                <w:lang w:eastAsia="en-GB"/>
              </w:rPr>
              <w:t>0 (0%)</w:t>
            </w:r>
          </w:p>
        </w:tc>
        <w:tc>
          <w:tcPr>
            <w:tcW w:w="2130" w:type="dxa"/>
            <w:tcBorders>
              <w:top w:val="nil"/>
              <w:left w:val="nil"/>
              <w:bottom w:val="single" w:sz="4" w:space="0" w:color="auto"/>
              <w:right w:val="nil"/>
            </w:tcBorders>
            <w:shd w:val="clear" w:color="auto" w:fill="FFFFFF"/>
            <w:tcMar>
              <w:top w:w="15" w:type="dxa"/>
              <w:left w:w="15" w:type="dxa"/>
              <w:bottom w:w="15" w:type="dxa"/>
              <w:right w:w="15" w:type="dxa"/>
            </w:tcMar>
            <w:vAlign w:val="center"/>
            <w:hideMark/>
          </w:tcPr>
          <w:p w14:paraId="11628360" w14:textId="77777777" w:rsidR="003F1B49" w:rsidRPr="003F1B49" w:rsidRDefault="003F1B49">
            <w:pPr>
              <w:spacing w:line="360" w:lineRule="auto"/>
              <w:jc w:val="center"/>
              <w:rPr>
                <w:rFonts w:eastAsia="Times New Roman"/>
                <w:lang w:eastAsia="en-GB"/>
              </w:rPr>
            </w:pPr>
            <w:r w:rsidRPr="003F1B49">
              <w:rPr>
                <w:rFonts w:eastAsia="Times New Roman"/>
                <w:lang w:eastAsia="en-GB"/>
              </w:rPr>
              <w:t>0 (0%)</w:t>
            </w:r>
          </w:p>
        </w:tc>
        <w:tc>
          <w:tcPr>
            <w:tcW w:w="0" w:type="auto"/>
            <w:vMerge/>
            <w:tcBorders>
              <w:top w:val="single" w:sz="4" w:space="0" w:color="auto"/>
              <w:left w:val="nil"/>
              <w:bottom w:val="single" w:sz="4" w:space="0" w:color="auto"/>
              <w:right w:val="nil"/>
            </w:tcBorders>
            <w:shd w:val="clear" w:color="auto" w:fill="FFFFFF"/>
            <w:vAlign w:val="center"/>
            <w:hideMark/>
          </w:tcPr>
          <w:p w14:paraId="0B56A929" w14:textId="77777777" w:rsidR="003F1B49" w:rsidRPr="003F1B49" w:rsidRDefault="003F1B49">
            <w:pPr>
              <w:rPr>
                <w:rFonts w:eastAsia="Times New Roman"/>
                <w:lang w:val="en-IE" w:eastAsia="en-GB"/>
              </w:rPr>
            </w:pPr>
          </w:p>
        </w:tc>
      </w:tr>
    </w:tbl>
    <w:p w14:paraId="339CF0A9" w14:textId="77777777" w:rsidR="003F1B49" w:rsidRPr="003F1B49" w:rsidRDefault="003F1B49" w:rsidP="003F1B49">
      <w:pPr>
        <w:rPr>
          <w:lang w:val="en-IE"/>
        </w:rPr>
      </w:pPr>
    </w:p>
    <w:p w14:paraId="6E310314" w14:textId="77777777" w:rsidR="003F1B49" w:rsidRDefault="003F1B49" w:rsidP="003F1B49">
      <w:pPr>
        <w:spacing w:line="480" w:lineRule="auto"/>
        <w:rPr>
          <w:rFonts w:asciiTheme="majorBidi" w:hAnsiTheme="majorBidi" w:cstheme="majorBidi"/>
          <w:sz w:val="24"/>
          <w:szCs w:val="24"/>
        </w:rPr>
      </w:pPr>
    </w:p>
    <w:p w14:paraId="26C96301" w14:textId="77777777" w:rsidR="003F1B49" w:rsidRDefault="003F1B49" w:rsidP="003F1B49">
      <w:pPr>
        <w:spacing w:line="480" w:lineRule="auto"/>
        <w:rPr>
          <w:rFonts w:asciiTheme="majorBidi" w:hAnsiTheme="majorBidi" w:cstheme="majorBidi"/>
          <w:sz w:val="24"/>
          <w:szCs w:val="24"/>
        </w:rPr>
      </w:pPr>
    </w:p>
    <w:p w14:paraId="16E7EE83" w14:textId="77777777" w:rsidR="003F1B49" w:rsidRDefault="003F1B49" w:rsidP="003F1B49">
      <w:pPr>
        <w:spacing w:line="480" w:lineRule="auto"/>
        <w:rPr>
          <w:rFonts w:asciiTheme="majorBidi" w:hAnsiTheme="majorBidi" w:cstheme="majorBidi"/>
          <w:sz w:val="24"/>
          <w:szCs w:val="24"/>
        </w:rPr>
      </w:pPr>
    </w:p>
    <w:p w14:paraId="727B8891" w14:textId="77777777" w:rsidR="003F1B49" w:rsidRPr="00E353A0" w:rsidRDefault="003F1B49" w:rsidP="003F1B49">
      <w:pPr>
        <w:rPr>
          <w:rFonts w:asciiTheme="majorBidi" w:hAnsiTheme="majorBidi" w:cstheme="majorBidi"/>
          <w:i/>
          <w:iCs/>
          <w:color w:val="1F3864" w:themeColor="accent1" w:themeShade="80"/>
          <w:sz w:val="24"/>
          <w:szCs w:val="24"/>
        </w:rPr>
      </w:pPr>
      <w:r w:rsidRPr="00E353A0">
        <w:rPr>
          <w:rFonts w:asciiTheme="majorBidi" w:hAnsiTheme="majorBidi" w:cstheme="majorBidi"/>
          <w:i/>
          <w:iCs/>
          <w:color w:val="1F3864" w:themeColor="accent1" w:themeShade="80"/>
          <w:sz w:val="24"/>
          <w:szCs w:val="24"/>
        </w:rPr>
        <w:t xml:space="preserve">Table 2 Results of </w:t>
      </w:r>
      <w:r>
        <w:rPr>
          <w:rFonts w:asciiTheme="majorBidi" w:hAnsiTheme="majorBidi" w:cstheme="majorBidi"/>
          <w:i/>
          <w:iCs/>
          <w:color w:val="1F3864" w:themeColor="accent1" w:themeShade="80"/>
          <w:sz w:val="24"/>
          <w:szCs w:val="24"/>
        </w:rPr>
        <w:t xml:space="preserve">mixed ordinal logistic regression </w:t>
      </w:r>
      <w:r w:rsidRPr="00E353A0">
        <w:rPr>
          <w:rFonts w:asciiTheme="majorBidi" w:hAnsiTheme="majorBidi" w:cstheme="majorBidi"/>
          <w:i/>
          <w:iCs/>
          <w:color w:val="1F3864" w:themeColor="accent1" w:themeShade="80"/>
          <w:sz w:val="24"/>
          <w:szCs w:val="24"/>
        </w:rPr>
        <w:t>measuring pain scores across stages of anesthesia</w:t>
      </w:r>
    </w:p>
    <w:tbl>
      <w:tblPr>
        <w:tblW w:w="9070" w:type="dxa"/>
        <w:tblCellMar>
          <w:left w:w="0" w:type="dxa"/>
          <w:right w:w="0" w:type="dxa"/>
        </w:tblCellMar>
        <w:tblLook w:val="04A0" w:firstRow="1" w:lastRow="0" w:firstColumn="1" w:lastColumn="0" w:noHBand="0" w:noVBand="1"/>
      </w:tblPr>
      <w:tblGrid>
        <w:gridCol w:w="3721"/>
        <w:gridCol w:w="3489"/>
        <w:gridCol w:w="1860"/>
      </w:tblGrid>
      <w:tr w:rsidR="003F1B49" w:rsidRPr="001D2AE4" w14:paraId="7263C418" w14:textId="77777777" w:rsidTr="0055085C">
        <w:trPr>
          <w:trHeight w:val="275"/>
        </w:trPr>
        <w:tc>
          <w:tcPr>
            <w:tcW w:w="3721" w:type="dxa"/>
            <w:tcBorders>
              <w:top w:val="single" w:sz="4" w:space="0" w:color="auto"/>
              <w:left w:val="nil"/>
              <w:bottom w:val="single" w:sz="4" w:space="0" w:color="auto"/>
              <w:right w:val="nil"/>
            </w:tcBorders>
            <w:shd w:val="clear" w:color="auto" w:fill="E7E6E6" w:themeFill="background2"/>
            <w:noWrap/>
            <w:tcMar>
              <w:top w:w="15" w:type="dxa"/>
              <w:left w:w="15" w:type="dxa"/>
              <w:bottom w:w="0" w:type="dxa"/>
              <w:right w:w="15" w:type="dxa"/>
            </w:tcMar>
            <w:vAlign w:val="bottom"/>
            <w:hideMark/>
          </w:tcPr>
          <w:p w14:paraId="08331086" w14:textId="77777777" w:rsidR="003F1B49" w:rsidRPr="001D2AE4" w:rsidRDefault="003F1B49" w:rsidP="0055085C">
            <w:pPr>
              <w:rPr>
                <w:rFonts w:asciiTheme="majorBidi" w:eastAsia="Times New Roman" w:hAnsiTheme="majorBidi" w:cstheme="majorBidi"/>
                <w:b/>
                <w:bCs/>
                <w:sz w:val="24"/>
                <w:szCs w:val="24"/>
                <w:lang w:eastAsia="en-GB"/>
              </w:rPr>
            </w:pPr>
            <w:r>
              <w:rPr>
                <w:rFonts w:asciiTheme="majorBidi" w:eastAsia="Times New Roman" w:hAnsiTheme="majorBidi" w:cstheme="majorBidi"/>
                <w:b/>
                <w:bCs/>
                <w:sz w:val="24"/>
                <w:szCs w:val="24"/>
                <w:lang w:eastAsia="en-GB"/>
              </w:rPr>
              <w:t>Effect</w:t>
            </w:r>
          </w:p>
        </w:tc>
        <w:tc>
          <w:tcPr>
            <w:tcW w:w="3489" w:type="dxa"/>
            <w:tcBorders>
              <w:top w:val="single" w:sz="4" w:space="0" w:color="auto"/>
              <w:left w:val="nil"/>
              <w:bottom w:val="single" w:sz="4" w:space="0" w:color="auto"/>
              <w:right w:val="nil"/>
            </w:tcBorders>
            <w:shd w:val="clear" w:color="auto" w:fill="E7E6E6" w:themeFill="background2"/>
            <w:noWrap/>
            <w:tcMar>
              <w:top w:w="15" w:type="dxa"/>
              <w:left w:w="15" w:type="dxa"/>
              <w:bottom w:w="0" w:type="dxa"/>
              <w:right w:w="15" w:type="dxa"/>
            </w:tcMar>
            <w:vAlign w:val="center"/>
            <w:hideMark/>
          </w:tcPr>
          <w:p w14:paraId="2A0DA33F" w14:textId="77777777" w:rsidR="003F1B49" w:rsidRPr="00430C3E" w:rsidRDefault="003F1B49" w:rsidP="0055085C">
            <w:pPr>
              <w:jc w:val="center"/>
              <w:rPr>
                <w:rFonts w:asciiTheme="majorBidi" w:eastAsia="Times New Roman" w:hAnsiTheme="majorBidi" w:cstheme="majorBidi"/>
                <w:b/>
                <w:bCs/>
                <w:sz w:val="24"/>
                <w:szCs w:val="24"/>
                <w:vertAlign w:val="superscript"/>
                <w:lang w:eastAsia="en-GB"/>
              </w:rPr>
            </w:pPr>
            <w:r>
              <w:rPr>
                <w:rFonts w:asciiTheme="majorBidi" w:eastAsia="Times New Roman" w:hAnsiTheme="majorBidi" w:cstheme="majorBidi"/>
                <w:b/>
                <w:bCs/>
                <w:sz w:val="24"/>
                <w:szCs w:val="24"/>
                <w:lang w:eastAsia="en-GB"/>
              </w:rPr>
              <w:t xml:space="preserve">LR </w:t>
            </w:r>
            <w:r w:rsidRPr="001D2AE4">
              <w:rPr>
                <w:rFonts w:asciiTheme="majorBidi" w:eastAsia="Times New Roman" w:hAnsiTheme="majorBidi" w:cstheme="majorBidi"/>
                <w:b/>
                <w:bCs/>
                <w:sz w:val="24"/>
                <w:szCs w:val="24"/>
                <w:lang w:eastAsia="en-GB"/>
              </w:rPr>
              <w:t>χ</w:t>
            </w:r>
            <w:r w:rsidRPr="001D2AE4">
              <w:rPr>
                <w:rFonts w:asciiTheme="majorBidi" w:eastAsia="Times New Roman" w:hAnsiTheme="majorBidi" w:cstheme="majorBidi"/>
                <w:b/>
                <w:bCs/>
                <w:position w:val="6"/>
                <w:sz w:val="24"/>
                <w:szCs w:val="24"/>
                <w:lang w:eastAsia="en-GB"/>
              </w:rPr>
              <w:t>2</w:t>
            </w:r>
            <w:r>
              <w:rPr>
                <w:rFonts w:asciiTheme="majorBidi" w:eastAsia="Times New Roman" w:hAnsiTheme="majorBidi" w:cstheme="majorBidi"/>
                <w:b/>
                <w:bCs/>
                <w:sz w:val="24"/>
                <w:szCs w:val="24"/>
                <w:lang w:eastAsia="en-GB"/>
              </w:rPr>
              <w:t xml:space="preserve"> (df) </w:t>
            </w:r>
          </w:p>
        </w:tc>
        <w:tc>
          <w:tcPr>
            <w:tcW w:w="1860" w:type="dxa"/>
            <w:tcBorders>
              <w:top w:val="single" w:sz="4" w:space="0" w:color="auto"/>
              <w:left w:val="nil"/>
              <w:bottom w:val="single" w:sz="4" w:space="0" w:color="auto"/>
              <w:right w:val="nil"/>
            </w:tcBorders>
            <w:shd w:val="clear" w:color="auto" w:fill="E7E6E6" w:themeFill="background2"/>
            <w:noWrap/>
            <w:tcMar>
              <w:top w:w="15" w:type="dxa"/>
              <w:left w:w="15" w:type="dxa"/>
              <w:bottom w:w="0" w:type="dxa"/>
              <w:right w:w="15" w:type="dxa"/>
            </w:tcMar>
            <w:vAlign w:val="center"/>
            <w:hideMark/>
          </w:tcPr>
          <w:p w14:paraId="683C7510" w14:textId="77777777" w:rsidR="003F1B49" w:rsidRPr="001D2AE4" w:rsidRDefault="003F1B49" w:rsidP="0055085C">
            <w:pPr>
              <w:jc w:val="center"/>
              <w:rPr>
                <w:rFonts w:asciiTheme="majorBidi" w:eastAsia="Times New Roman" w:hAnsiTheme="majorBidi" w:cstheme="majorBidi"/>
                <w:b/>
                <w:bCs/>
                <w:sz w:val="24"/>
                <w:szCs w:val="24"/>
                <w:lang w:eastAsia="en-GB"/>
              </w:rPr>
            </w:pPr>
            <w:r w:rsidRPr="001D2AE4">
              <w:rPr>
                <w:rFonts w:asciiTheme="majorBidi" w:eastAsia="Times New Roman" w:hAnsiTheme="majorBidi" w:cstheme="majorBidi"/>
                <w:b/>
                <w:bCs/>
                <w:sz w:val="24"/>
                <w:szCs w:val="24"/>
                <w:lang w:eastAsia="en-GB"/>
              </w:rPr>
              <w:t>P value</w:t>
            </w:r>
          </w:p>
        </w:tc>
      </w:tr>
      <w:tr w:rsidR="003F1B49" w:rsidRPr="001D2AE4" w14:paraId="67915AE1" w14:textId="77777777" w:rsidTr="0055085C">
        <w:trPr>
          <w:trHeight w:val="261"/>
        </w:trPr>
        <w:tc>
          <w:tcPr>
            <w:tcW w:w="372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866D263" w14:textId="77777777" w:rsidR="003F1B49" w:rsidRPr="001D2AE4" w:rsidRDefault="003F1B49" w:rsidP="0055085C">
            <w:pPr>
              <w:rPr>
                <w:rFonts w:asciiTheme="majorBidi" w:eastAsia="Times New Roman" w:hAnsiTheme="majorBidi" w:cstheme="majorBidi"/>
                <w:sz w:val="24"/>
                <w:szCs w:val="24"/>
                <w:lang w:eastAsia="en-GB"/>
              </w:rPr>
            </w:pPr>
            <w:r w:rsidRPr="001D2AE4">
              <w:rPr>
                <w:rFonts w:asciiTheme="majorBidi" w:eastAsia="Times New Roman" w:hAnsiTheme="majorBidi" w:cstheme="majorBidi"/>
                <w:sz w:val="24"/>
                <w:szCs w:val="24"/>
                <w:lang w:eastAsia="en-GB"/>
              </w:rPr>
              <w:t>Stage x Method</w:t>
            </w:r>
          </w:p>
        </w:tc>
        <w:tc>
          <w:tcPr>
            <w:tcW w:w="3489"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BA221F8" w14:textId="77777777" w:rsidR="003F1B49" w:rsidRPr="001D2AE4" w:rsidRDefault="003F1B49" w:rsidP="0055085C">
            <w:pPr>
              <w:jc w:val="center"/>
              <w:rPr>
                <w:rFonts w:asciiTheme="majorBidi" w:eastAsia="Times New Roman" w:hAnsiTheme="majorBidi" w:cstheme="majorBidi"/>
                <w:sz w:val="24"/>
                <w:szCs w:val="24"/>
                <w:lang w:eastAsia="en-GB"/>
              </w:rPr>
            </w:pPr>
            <w:r w:rsidRPr="001D2AE4">
              <w:rPr>
                <w:rFonts w:asciiTheme="majorBidi" w:eastAsia="Times New Roman" w:hAnsiTheme="majorBidi" w:cstheme="majorBidi"/>
                <w:b/>
                <w:bCs/>
                <w:sz w:val="24"/>
                <w:szCs w:val="24"/>
                <w:lang w:eastAsia="en-GB"/>
              </w:rPr>
              <w:t>χ</w:t>
            </w:r>
            <w:r w:rsidRPr="001D2AE4">
              <w:rPr>
                <w:rFonts w:asciiTheme="majorBidi" w:eastAsia="Times New Roman" w:hAnsiTheme="majorBidi" w:cstheme="majorBidi"/>
                <w:b/>
                <w:bCs/>
                <w:position w:val="6"/>
                <w:sz w:val="24"/>
                <w:szCs w:val="24"/>
                <w:lang w:eastAsia="en-GB"/>
              </w:rPr>
              <w:t>2</w:t>
            </w:r>
            <w:r w:rsidRPr="001D2AE4">
              <w:rPr>
                <w:rFonts w:asciiTheme="majorBidi" w:eastAsia="Times New Roman" w:hAnsiTheme="majorBidi" w:cstheme="majorBidi"/>
                <w:sz w:val="24"/>
                <w:szCs w:val="24"/>
                <w:lang w:eastAsia="en-GB"/>
              </w:rPr>
              <w:t xml:space="preserve"> </w:t>
            </w:r>
            <w:r>
              <w:rPr>
                <w:rFonts w:asciiTheme="majorBidi" w:eastAsia="Times New Roman" w:hAnsiTheme="majorBidi" w:cstheme="majorBidi"/>
                <w:sz w:val="24"/>
                <w:szCs w:val="24"/>
                <w:lang w:eastAsia="en-GB"/>
              </w:rPr>
              <w:t xml:space="preserve">(2) = </w:t>
            </w:r>
            <w:r w:rsidRPr="003E0608">
              <w:rPr>
                <w:rFonts w:ascii="Times New Roman" w:eastAsia="Times New Roman" w:hAnsi="Times New Roman" w:cs="Times New Roman"/>
                <w:sz w:val="24"/>
                <w:szCs w:val="24"/>
              </w:rPr>
              <w:t>29.64</w:t>
            </w:r>
          </w:p>
        </w:tc>
        <w:tc>
          <w:tcPr>
            <w:tcW w:w="186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FDE044" w14:textId="77777777" w:rsidR="003F1B49" w:rsidRPr="001D2AE4" w:rsidRDefault="003F1B49" w:rsidP="0055085C">
            <w:pPr>
              <w:jc w:val="center"/>
              <w:rPr>
                <w:rFonts w:asciiTheme="majorBidi" w:eastAsia="Times New Roman" w:hAnsiTheme="majorBidi" w:cstheme="majorBidi"/>
                <w:sz w:val="24"/>
                <w:szCs w:val="24"/>
                <w:lang w:eastAsia="en-GB"/>
              </w:rPr>
            </w:pPr>
            <w:r w:rsidRPr="001D2AE4">
              <w:rPr>
                <w:rFonts w:asciiTheme="majorBidi" w:eastAsia="Times New Roman" w:hAnsiTheme="majorBidi" w:cstheme="majorBidi"/>
                <w:sz w:val="24"/>
                <w:szCs w:val="24"/>
                <w:lang w:eastAsia="en-GB"/>
              </w:rPr>
              <w:t>&lt;0.0001</w:t>
            </w:r>
          </w:p>
        </w:tc>
      </w:tr>
      <w:tr w:rsidR="003F1B49" w:rsidRPr="001D2AE4" w14:paraId="657A630E" w14:textId="77777777" w:rsidTr="0055085C">
        <w:trPr>
          <w:trHeight w:val="275"/>
        </w:trPr>
        <w:tc>
          <w:tcPr>
            <w:tcW w:w="3721" w:type="dxa"/>
            <w:tcBorders>
              <w:top w:val="nil"/>
              <w:left w:val="nil"/>
              <w:right w:val="nil"/>
            </w:tcBorders>
            <w:shd w:val="clear" w:color="auto" w:fill="auto"/>
            <w:noWrap/>
            <w:tcMar>
              <w:top w:w="15" w:type="dxa"/>
              <w:left w:w="15" w:type="dxa"/>
              <w:bottom w:w="0" w:type="dxa"/>
              <w:right w:w="15" w:type="dxa"/>
            </w:tcMar>
            <w:vAlign w:val="bottom"/>
            <w:hideMark/>
          </w:tcPr>
          <w:p w14:paraId="4E586332" w14:textId="77777777" w:rsidR="003F1B49" w:rsidRPr="001D2AE4" w:rsidRDefault="003F1B49" w:rsidP="0055085C">
            <w:pPr>
              <w:rPr>
                <w:rFonts w:asciiTheme="majorBidi" w:eastAsia="Times New Roman" w:hAnsiTheme="majorBidi" w:cstheme="majorBidi"/>
                <w:sz w:val="24"/>
                <w:szCs w:val="24"/>
                <w:lang w:eastAsia="en-GB"/>
              </w:rPr>
            </w:pPr>
            <w:r w:rsidRPr="001D2AE4">
              <w:rPr>
                <w:rFonts w:asciiTheme="majorBidi" w:eastAsia="Times New Roman" w:hAnsiTheme="majorBidi" w:cstheme="majorBidi"/>
                <w:sz w:val="24"/>
                <w:szCs w:val="24"/>
                <w:lang w:eastAsia="en-GB"/>
              </w:rPr>
              <w:t>Stage</w:t>
            </w:r>
          </w:p>
        </w:tc>
        <w:tc>
          <w:tcPr>
            <w:tcW w:w="3489" w:type="dxa"/>
            <w:tcBorders>
              <w:top w:val="nil"/>
              <w:left w:val="nil"/>
              <w:right w:val="nil"/>
            </w:tcBorders>
            <w:shd w:val="clear" w:color="auto" w:fill="auto"/>
            <w:noWrap/>
            <w:tcMar>
              <w:top w:w="15" w:type="dxa"/>
              <w:left w:w="15" w:type="dxa"/>
              <w:bottom w:w="0" w:type="dxa"/>
              <w:right w:w="15" w:type="dxa"/>
            </w:tcMar>
            <w:vAlign w:val="center"/>
            <w:hideMark/>
          </w:tcPr>
          <w:p w14:paraId="2FE25FDD" w14:textId="77777777" w:rsidR="003F1B49" w:rsidRPr="001D2AE4" w:rsidRDefault="003F1B49" w:rsidP="0055085C">
            <w:pPr>
              <w:jc w:val="center"/>
              <w:rPr>
                <w:rFonts w:asciiTheme="majorBidi" w:eastAsia="Times New Roman" w:hAnsiTheme="majorBidi" w:cstheme="majorBidi"/>
                <w:sz w:val="24"/>
                <w:szCs w:val="24"/>
                <w:lang w:eastAsia="en-GB"/>
              </w:rPr>
            </w:pPr>
            <w:r w:rsidRPr="001D2AE4">
              <w:rPr>
                <w:rFonts w:asciiTheme="majorBidi" w:eastAsia="Times New Roman" w:hAnsiTheme="majorBidi" w:cstheme="majorBidi"/>
                <w:b/>
                <w:bCs/>
                <w:sz w:val="24"/>
                <w:szCs w:val="24"/>
                <w:lang w:eastAsia="en-GB"/>
              </w:rPr>
              <w:t>χ</w:t>
            </w:r>
            <w:r w:rsidRPr="001D2AE4">
              <w:rPr>
                <w:rFonts w:asciiTheme="majorBidi" w:eastAsia="Times New Roman" w:hAnsiTheme="majorBidi" w:cstheme="majorBidi"/>
                <w:b/>
                <w:bCs/>
                <w:position w:val="6"/>
                <w:sz w:val="24"/>
                <w:szCs w:val="24"/>
                <w:lang w:eastAsia="en-GB"/>
              </w:rPr>
              <w:t>2</w:t>
            </w:r>
            <w:r w:rsidRPr="001D2AE4">
              <w:rPr>
                <w:rFonts w:asciiTheme="majorBidi" w:eastAsia="Times New Roman" w:hAnsiTheme="majorBidi" w:cstheme="majorBidi"/>
                <w:sz w:val="24"/>
                <w:szCs w:val="24"/>
                <w:lang w:eastAsia="en-GB"/>
              </w:rPr>
              <w:t xml:space="preserve"> </w:t>
            </w:r>
            <w:r>
              <w:rPr>
                <w:rFonts w:asciiTheme="majorBidi" w:eastAsia="Times New Roman" w:hAnsiTheme="majorBidi" w:cstheme="majorBidi"/>
                <w:sz w:val="24"/>
                <w:szCs w:val="24"/>
                <w:lang w:eastAsia="en-GB"/>
              </w:rPr>
              <w:t xml:space="preserve">(2) </w:t>
            </w:r>
            <w:r w:rsidRPr="001D2AE4">
              <w:rPr>
                <w:rFonts w:asciiTheme="majorBidi" w:eastAsia="Times New Roman" w:hAnsiTheme="majorBidi" w:cstheme="majorBidi"/>
                <w:sz w:val="24"/>
                <w:szCs w:val="24"/>
                <w:lang w:eastAsia="en-GB"/>
              </w:rPr>
              <w:t xml:space="preserve">= </w:t>
            </w:r>
            <w:r>
              <w:rPr>
                <w:rFonts w:asciiTheme="majorBidi" w:eastAsia="Times New Roman" w:hAnsiTheme="majorBidi" w:cstheme="majorBidi"/>
                <w:sz w:val="24"/>
                <w:szCs w:val="24"/>
                <w:lang w:eastAsia="en-GB"/>
              </w:rPr>
              <w:t>187.87</w:t>
            </w:r>
          </w:p>
        </w:tc>
        <w:tc>
          <w:tcPr>
            <w:tcW w:w="1860" w:type="dxa"/>
            <w:tcBorders>
              <w:top w:val="nil"/>
              <w:left w:val="nil"/>
              <w:right w:val="nil"/>
            </w:tcBorders>
            <w:shd w:val="clear" w:color="auto" w:fill="auto"/>
            <w:noWrap/>
            <w:tcMar>
              <w:top w:w="15" w:type="dxa"/>
              <w:left w:w="15" w:type="dxa"/>
              <w:bottom w:w="0" w:type="dxa"/>
              <w:right w:w="15" w:type="dxa"/>
            </w:tcMar>
            <w:vAlign w:val="center"/>
            <w:hideMark/>
          </w:tcPr>
          <w:p w14:paraId="1A846DF0" w14:textId="77777777" w:rsidR="003F1B49" w:rsidRPr="001D2AE4" w:rsidRDefault="003F1B49" w:rsidP="0055085C">
            <w:pPr>
              <w:jc w:val="center"/>
              <w:rPr>
                <w:rFonts w:asciiTheme="majorBidi" w:eastAsia="Times New Roman" w:hAnsiTheme="majorBidi" w:cstheme="majorBidi"/>
                <w:sz w:val="24"/>
                <w:szCs w:val="24"/>
                <w:lang w:eastAsia="en-GB"/>
              </w:rPr>
            </w:pPr>
            <w:r w:rsidRPr="001D2AE4">
              <w:rPr>
                <w:rFonts w:asciiTheme="majorBidi" w:eastAsia="Times New Roman" w:hAnsiTheme="majorBidi" w:cstheme="majorBidi"/>
                <w:sz w:val="24"/>
                <w:szCs w:val="24"/>
                <w:lang w:eastAsia="en-GB"/>
              </w:rPr>
              <w:t>&lt;0.0001</w:t>
            </w:r>
          </w:p>
        </w:tc>
      </w:tr>
      <w:tr w:rsidR="003F1B49" w:rsidRPr="001D2AE4" w14:paraId="3DDF7219" w14:textId="77777777" w:rsidTr="0055085C">
        <w:trPr>
          <w:trHeight w:val="275"/>
        </w:trPr>
        <w:tc>
          <w:tcPr>
            <w:tcW w:w="3721" w:type="dxa"/>
            <w:tcBorders>
              <w:top w:val="nil"/>
              <w:left w:val="nil"/>
              <w:bottom w:val="nil"/>
              <w:right w:val="nil"/>
            </w:tcBorders>
            <w:shd w:val="clear" w:color="auto" w:fill="auto"/>
            <w:noWrap/>
            <w:tcMar>
              <w:top w:w="15" w:type="dxa"/>
              <w:left w:w="15" w:type="dxa"/>
              <w:bottom w:w="0" w:type="dxa"/>
              <w:right w:w="15" w:type="dxa"/>
            </w:tcMar>
            <w:vAlign w:val="bottom"/>
            <w:hideMark/>
          </w:tcPr>
          <w:p w14:paraId="23370C3F" w14:textId="77777777" w:rsidR="003F1B49" w:rsidRPr="001D2AE4" w:rsidRDefault="003F1B49" w:rsidP="0055085C">
            <w:pPr>
              <w:rPr>
                <w:rFonts w:asciiTheme="majorBidi" w:eastAsia="Times New Roman" w:hAnsiTheme="majorBidi" w:cstheme="majorBidi"/>
                <w:sz w:val="24"/>
                <w:szCs w:val="24"/>
                <w:lang w:eastAsia="en-GB"/>
              </w:rPr>
            </w:pPr>
            <w:r w:rsidRPr="001D2AE4">
              <w:rPr>
                <w:rFonts w:asciiTheme="majorBidi" w:eastAsia="Times New Roman" w:hAnsiTheme="majorBidi" w:cstheme="majorBidi"/>
                <w:sz w:val="24"/>
                <w:szCs w:val="24"/>
                <w:lang w:eastAsia="en-GB"/>
              </w:rPr>
              <w:t>Method</w:t>
            </w:r>
          </w:p>
        </w:tc>
        <w:tc>
          <w:tcPr>
            <w:tcW w:w="3489" w:type="dxa"/>
            <w:tcBorders>
              <w:top w:val="nil"/>
              <w:left w:val="nil"/>
              <w:bottom w:val="nil"/>
              <w:right w:val="nil"/>
            </w:tcBorders>
            <w:shd w:val="clear" w:color="auto" w:fill="auto"/>
            <w:noWrap/>
            <w:tcMar>
              <w:top w:w="15" w:type="dxa"/>
              <w:left w:w="15" w:type="dxa"/>
              <w:bottom w:w="0" w:type="dxa"/>
              <w:right w:w="15" w:type="dxa"/>
            </w:tcMar>
            <w:vAlign w:val="center"/>
            <w:hideMark/>
          </w:tcPr>
          <w:p w14:paraId="11DD7F8B" w14:textId="77777777" w:rsidR="003F1B49" w:rsidRPr="001D2AE4" w:rsidRDefault="003F1B49" w:rsidP="0055085C">
            <w:pPr>
              <w:jc w:val="center"/>
              <w:rPr>
                <w:rFonts w:asciiTheme="majorBidi" w:eastAsia="Times New Roman" w:hAnsiTheme="majorBidi" w:cstheme="majorBidi"/>
                <w:sz w:val="24"/>
                <w:szCs w:val="24"/>
                <w:lang w:eastAsia="en-GB"/>
              </w:rPr>
            </w:pPr>
            <w:r w:rsidRPr="001D2AE4">
              <w:rPr>
                <w:rFonts w:asciiTheme="majorBidi" w:eastAsia="Times New Roman" w:hAnsiTheme="majorBidi" w:cstheme="majorBidi"/>
                <w:b/>
                <w:bCs/>
                <w:sz w:val="24"/>
                <w:szCs w:val="24"/>
                <w:lang w:eastAsia="en-GB"/>
              </w:rPr>
              <w:t>χ</w:t>
            </w:r>
            <w:r w:rsidRPr="001D2AE4">
              <w:rPr>
                <w:rFonts w:asciiTheme="majorBidi" w:eastAsia="Times New Roman" w:hAnsiTheme="majorBidi" w:cstheme="majorBidi"/>
                <w:b/>
                <w:bCs/>
                <w:position w:val="6"/>
                <w:sz w:val="24"/>
                <w:szCs w:val="24"/>
                <w:lang w:eastAsia="en-GB"/>
              </w:rPr>
              <w:t>2</w:t>
            </w:r>
            <w:r w:rsidRPr="001D2AE4">
              <w:rPr>
                <w:rFonts w:asciiTheme="majorBidi" w:eastAsia="Times New Roman" w:hAnsiTheme="majorBidi" w:cstheme="majorBidi"/>
                <w:sz w:val="24"/>
                <w:szCs w:val="24"/>
                <w:lang w:eastAsia="en-GB"/>
              </w:rPr>
              <w:t xml:space="preserve"> </w:t>
            </w:r>
            <w:r>
              <w:rPr>
                <w:rFonts w:asciiTheme="majorBidi" w:eastAsia="Times New Roman" w:hAnsiTheme="majorBidi" w:cstheme="majorBidi"/>
                <w:sz w:val="24"/>
                <w:szCs w:val="24"/>
                <w:lang w:eastAsia="en-GB"/>
              </w:rPr>
              <w:t>(1) = 5.79</w:t>
            </w:r>
          </w:p>
        </w:tc>
        <w:tc>
          <w:tcPr>
            <w:tcW w:w="1860" w:type="dxa"/>
            <w:tcBorders>
              <w:top w:val="nil"/>
              <w:left w:val="nil"/>
              <w:bottom w:val="nil"/>
              <w:right w:val="nil"/>
            </w:tcBorders>
            <w:shd w:val="clear" w:color="auto" w:fill="auto"/>
            <w:noWrap/>
            <w:tcMar>
              <w:top w:w="15" w:type="dxa"/>
              <w:left w:w="15" w:type="dxa"/>
              <w:bottom w:w="0" w:type="dxa"/>
              <w:right w:w="15" w:type="dxa"/>
            </w:tcMar>
            <w:vAlign w:val="center"/>
            <w:hideMark/>
          </w:tcPr>
          <w:p w14:paraId="7972A2E0" w14:textId="77777777" w:rsidR="003F1B49" w:rsidRPr="001D2AE4" w:rsidRDefault="003F1B49" w:rsidP="0055085C">
            <w:pPr>
              <w:jc w:val="center"/>
              <w:rPr>
                <w:rFonts w:asciiTheme="majorBidi" w:eastAsia="Times New Roman" w:hAnsiTheme="majorBidi" w:cstheme="majorBidi"/>
                <w:sz w:val="24"/>
                <w:szCs w:val="24"/>
                <w:lang w:eastAsia="en-GB"/>
              </w:rPr>
            </w:pPr>
            <w:r w:rsidRPr="001D2AE4">
              <w:rPr>
                <w:rFonts w:asciiTheme="majorBidi" w:eastAsia="Times New Roman" w:hAnsiTheme="majorBidi" w:cstheme="majorBidi"/>
                <w:sz w:val="24"/>
                <w:szCs w:val="24"/>
                <w:lang w:eastAsia="en-GB"/>
              </w:rPr>
              <w:t>=</w:t>
            </w:r>
            <w:r>
              <w:rPr>
                <w:rFonts w:asciiTheme="majorBidi" w:eastAsia="Times New Roman" w:hAnsiTheme="majorBidi" w:cstheme="majorBidi"/>
                <w:sz w:val="24"/>
                <w:szCs w:val="24"/>
                <w:lang w:eastAsia="en-GB"/>
              </w:rPr>
              <w:t xml:space="preserve"> </w:t>
            </w:r>
            <w:r w:rsidRPr="001D2AE4">
              <w:rPr>
                <w:rFonts w:asciiTheme="majorBidi" w:eastAsia="Times New Roman" w:hAnsiTheme="majorBidi" w:cstheme="majorBidi"/>
                <w:sz w:val="24"/>
                <w:szCs w:val="24"/>
                <w:lang w:eastAsia="en-GB"/>
              </w:rPr>
              <w:t>0.</w:t>
            </w:r>
            <w:r>
              <w:rPr>
                <w:rFonts w:asciiTheme="majorBidi" w:eastAsia="Times New Roman" w:hAnsiTheme="majorBidi" w:cstheme="majorBidi"/>
                <w:sz w:val="24"/>
                <w:szCs w:val="24"/>
                <w:lang w:eastAsia="en-GB"/>
              </w:rPr>
              <w:t>02</w:t>
            </w:r>
          </w:p>
        </w:tc>
      </w:tr>
    </w:tbl>
    <w:p w14:paraId="5DED7F24" w14:textId="77777777" w:rsidR="003F1B49" w:rsidRDefault="003F1B49" w:rsidP="003F1B49">
      <w:pPr>
        <w:spacing w:line="480" w:lineRule="auto"/>
        <w:rPr>
          <w:rFonts w:asciiTheme="majorBidi" w:hAnsiTheme="majorBidi" w:cstheme="majorBidi"/>
          <w:sz w:val="24"/>
          <w:szCs w:val="24"/>
        </w:rPr>
      </w:pPr>
    </w:p>
    <w:p w14:paraId="7B335DDE" w14:textId="77777777" w:rsidR="003F1B49" w:rsidRDefault="003F1B49" w:rsidP="003F1B49">
      <w:pPr>
        <w:spacing w:line="480" w:lineRule="auto"/>
        <w:rPr>
          <w:rFonts w:asciiTheme="majorBidi" w:hAnsiTheme="majorBidi" w:cstheme="majorBidi"/>
          <w:sz w:val="24"/>
          <w:szCs w:val="24"/>
        </w:rPr>
      </w:pPr>
      <w:r>
        <w:rPr>
          <w:rFonts w:asciiTheme="majorBidi" w:hAnsiTheme="majorBidi" w:cstheme="majorBidi"/>
          <w:sz w:val="24"/>
          <w:szCs w:val="24"/>
        </w:rPr>
        <w:t xml:space="preserve">Mixed ordinal logistic regression (Table 2.) revealed significant main effects for both method and stage (P: 0.02, &lt;0.0001 respectively), the latter being an indicator of achieved analgesia regardless of method. In addition, the significant interaction effect (P&lt;0.0001) indicates that the differences between block methods vary across the stages of analgesia. Post-hoc comparisons using a Bonferroni correction confirmed that a difference between block methods is only found during the manipulation stage (P&lt;0.0001). </w:t>
      </w:r>
    </w:p>
    <w:p w14:paraId="7CA50D06" w14:textId="77777777" w:rsidR="003F1B49" w:rsidRDefault="003F1B49" w:rsidP="003F1B49">
      <w:pPr>
        <w:spacing w:line="480" w:lineRule="auto"/>
        <w:rPr>
          <w:rFonts w:asciiTheme="majorBidi" w:hAnsiTheme="majorBidi" w:cstheme="majorBidi"/>
          <w:sz w:val="24"/>
          <w:szCs w:val="24"/>
        </w:rPr>
      </w:pPr>
    </w:p>
    <w:p w14:paraId="0CC1A7D5" w14:textId="77777777" w:rsidR="003F1B49" w:rsidRDefault="003F1B49" w:rsidP="003F1B49">
      <w:pPr>
        <w:keepNext/>
      </w:pPr>
      <w:r>
        <w:rPr>
          <w:noProof/>
          <w:sz w:val="24"/>
          <w:szCs w:val="24"/>
        </w:rPr>
        <w:lastRenderedPageBreak/>
        <w:drawing>
          <wp:inline distT="0" distB="0" distL="0" distR="0" wp14:anchorId="2F732521" wp14:editId="6F642659">
            <wp:extent cx="4962525" cy="4962525"/>
            <wp:effectExtent l="0" t="0" r="3175" b="317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62525" cy="4962525"/>
                    </a:xfrm>
                    <a:prstGeom prst="rect">
                      <a:avLst/>
                    </a:prstGeom>
                  </pic:spPr>
                </pic:pic>
              </a:graphicData>
            </a:graphic>
          </wp:inline>
        </w:drawing>
      </w:r>
    </w:p>
    <w:p w14:paraId="7C504BA6" w14:textId="1818BC48" w:rsidR="003F1B49" w:rsidRPr="003F1B49" w:rsidRDefault="003F1B49" w:rsidP="003F1B49">
      <w:pPr>
        <w:pStyle w:val="Caption"/>
        <w:rPr>
          <w:sz w:val="22"/>
          <w:szCs w:val="22"/>
        </w:rPr>
      </w:pPr>
      <w:r w:rsidRPr="003F1B49">
        <w:rPr>
          <w:sz w:val="22"/>
          <w:szCs w:val="22"/>
        </w:rPr>
        <w:t xml:space="preserve">Figure </w:t>
      </w:r>
      <w:r w:rsidRPr="003F1B49">
        <w:rPr>
          <w:sz w:val="22"/>
          <w:szCs w:val="22"/>
        </w:rPr>
        <w:t>2</w:t>
      </w:r>
      <w:r w:rsidRPr="003F1B49">
        <w:rPr>
          <w:sz w:val="22"/>
          <w:szCs w:val="22"/>
        </w:rPr>
        <w:t xml:space="preserve"> – Pain scores across the different stages of management; baseline, injection and manipulation</w:t>
      </w:r>
    </w:p>
    <w:p w14:paraId="36A23E80" w14:textId="77777777" w:rsidR="003F1B49" w:rsidRDefault="003F1B49" w:rsidP="003F1B49">
      <w:pPr>
        <w:spacing w:line="480" w:lineRule="auto"/>
        <w:rPr>
          <w:rFonts w:asciiTheme="majorBidi" w:hAnsiTheme="majorBidi" w:cstheme="majorBidi"/>
          <w:sz w:val="24"/>
          <w:szCs w:val="24"/>
        </w:rPr>
      </w:pPr>
    </w:p>
    <w:p w14:paraId="09447C82" w14:textId="77777777" w:rsidR="003F1B49" w:rsidRDefault="003F1B49" w:rsidP="003F1B49">
      <w:pPr>
        <w:spacing w:line="480" w:lineRule="auto"/>
        <w:rPr>
          <w:rFonts w:asciiTheme="majorBidi" w:hAnsiTheme="majorBidi" w:cstheme="majorBidi"/>
          <w:sz w:val="24"/>
          <w:szCs w:val="24"/>
        </w:rPr>
      </w:pPr>
      <w:r>
        <w:rPr>
          <w:rFonts w:asciiTheme="majorBidi" w:hAnsiTheme="majorBidi" w:cstheme="majorBidi"/>
          <w:sz w:val="24"/>
          <w:szCs w:val="24"/>
        </w:rPr>
        <w:t>Post-hoc analysis revealed that the only significant difference between the two groups was found to be during th</w:t>
      </w:r>
      <w:bookmarkStart w:id="0" w:name="_GoBack"/>
      <w:bookmarkEnd w:id="0"/>
      <w:r>
        <w:rPr>
          <w:rFonts w:asciiTheme="majorBidi" w:hAnsiTheme="majorBidi" w:cstheme="majorBidi"/>
          <w:sz w:val="24"/>
          <w:szCs w:val="24"/>
        </w:rPr>
        <w:t>e manipulation stage (p = &lt;0.0001). The lack of a difference at baseline confirms the comparability of both groups. There was no difference during the injection stage (p = 0.213). The mean pain score during manipulation for HB was 2.44 and for CPB 0.64 (</w:t>
      </w:r>
      <w:r>
        <w:rPr>
          <w:rFonts w:asciiTheme="majorBidi" w:hAnsiTheme="majorBidi" w:cstheme="majorBidi"/>
          <w:b/>
          <w:bCs/>
          <w:sz w:val="24"/>
          <w:szCs w:val="24"/>
        </w:rPr>
        <w:t>Figure 2</w:t>
      </w:r>
      <w:r>
        <w:rPr>
          <w:rFonts w:asciiTheme="majorBidi" w:hAnsiTheme="majorBidi" w:cstheme="majorBidi"/>
          <w:sz w:val="24"/>
          <w:szCs w:val="24"/>
        </w:rPr>
        <w:t xml:space="preserve">). Hematoma blocks had a wider VAS range of 0-5 (SD = 1.44), whereas CPB had a narrower VAS range of 0-3 (SD = 0.86). </w:t>
      </w:r>
    </w:p>
    <w:p w14:paraId="090214D3" w14:textId="77777777" w:rsidR="003F1B49" w:rsidRDefault="003F1B49" w:rsidP="003F1B49">
      <w:pPr>
        <w:pStyle w:val="Caption"/>
        <w:keepNext/>
        <w:rPr>
          <w:sz w:val="24"/>
          <w:szCs w:val="24"/>
        </w:rPr>
      </w:pPr>
    </w:p>
    <w:p w14:paraId="2FE5A231" w14:textId="77777777" w:rsidR="003F1B49" w:rsidRDefault="003F1B49" w:rsidP="003F1B49">
      <w:pPr>
        <w:pStyle w:val="Caption"/>
        <w:keepNext/>
        <w:rPr>
          <w:sz w:val="24"/>
          <w:szCs w:val="24"/>
        </w:rPr>
      </w:pPr>
    </w:p>
    <w:p w14:paraId="6F9B02FE" w14:textId="77777777" w:rsidR="003F1B49" w:rsidRPr="00BB2118" w:rsidRDefault="003F1B49" w:rsidP="003F1B49">
      <w:pPr>
        <w:pStyle w:val="Caption"/>
        <w:keepNext/>
        <w:rPr>
          <w:sz w:val="24"/>
          <w:szCs w:val="24"/>
        </w:rPr>
      </w:pPr>
      <w:r w:rsidRPr="00BB2118">
        <w:rPr>
          <w:sz w:val="24"/>
          <w:szCs w:val="24"/>
        </w:rPr>
        <w:t xml:space="preserve">Table 3 </w:t>
      </w:r>
      <w:r>
        <w:rPr>
          <w:sz w:val="24"/>
          <w:szCs w:val="24"/>
        </w:rPr>
        <w:t>–</w:t>
      </w:r>
      <w:r w:rsidRPr="00BB2118">
        <w:rPr>
          <w:sz w:val="24"/>
          <w:szCs w:val="24"/>
        </w:rPr>
        <w:t xml:space="preserve"> </w:t>
      </w:r>
      <w:r>
        <w:rPr>
          <w:sz w:val="24"/>
          <w:szCs w:val="24"/>
        </w:rPr>
        <w:t>Ordinal logistic regression</w:t>
      </w:r>
      <w:r w:rsidRPr="00BB2118">
        <w:rPr>
          <w:sz w:val="24"/>
          <w:szCs w:val="24"/>
        </w:rPr>
        <w:t xml:space="preserve"> for predictors of pain during manipulation (BB; Both bone/ DER; Distal end radius)</w:t>
      </w:r>
    </w:p>
    <w:tbl>
      <w:tblPr>
        <w:tblpPr w:leftFromText="180" w:rightFromText="180" w:vertAnchor="text" w:horzAnchor="margin" w:tblpY="-11"/>
        <w:tblW w:w="7938" w:type="dxa"/>
        <w:tblCellMar>
          <w:left w:w="0" w:type="dxa"/>
          <w:right w:w="0" w:type="dxa"/>
        </w:tblCellMar>
        <w:tblLook w:val="04A0" w:firstRow="1" w:lastRow="0" w:firstColumn="1" w:lastColumn="0" w:noHBand="0" w:noVBand="1"/>
      </w:tblPr>
      <w:tblGrid>
        <w:gridCol w:w="3592"/>
        <w:gridCol w:w="1832"/>
        <w:gridCol w:w="1200"/>
        <w:gridCol w:w="1330"/>
      </w:tblGrid>
      <w:tr w:rsidR="003F1B49" w:rsidRPr="00A83002" w14:paraId="1BEAF28C" w14:textId="77777777" w:rsidTr="0055085C">
        <w:trPr>
          <w:trHeight w:val="160"/>
        </w:trPr>
        <w:tc>
          <w:tcPr>
            <w:tcW w:w="3576" w:type="dxa"/>
            <w:tcBorders>
              <w:top w:val="single" w:sz="4" w:space="0" w:color="auto"/>
              <w:bottom w:val="single" w:sz="4" w:space="0" w:color="auto"/>
            </w:tcBorders>
            <w:shd w:val="clear" w:color="auto" w:fill="E7E6E6" w:themeFill="background2"/>
            <w:noWrap/>
            <w:vAlign w:val="center"/>
          </w:tcPr>
          <w:p w14:paraId="28CED02C" w14:textId="77777777" w:rsidR="003F1B49" w:rsidRPr="001D2AE4" w:rsidRDefault="003F1B49" w:rsidP="0055085C">
            <w:pPr>
              <w:spacing w:after="0" w:line="360" w:lineRule="auto"/>
              <w:jc w:val="center"/>
              <w:rPr>
                <w:rFonts w:asciiTheme="majorBidi" w:hAnsiTheme="majorBidi" w:cstheme="majorBidi"/>
                <w:b/>
                <w:bCs/>
                <w:color w:val="000000"/>
                <w:sz w:val="24"/>
                <w:szCs w:val="24"/>
              </w:rPr>
            </w:pPr>
            <w:r w:rsidRPr="001D2AE4">
              <w:rPr>
                <w:rFonts w:asciiTheme="majorBidi" w:hAnsiTheme="majorBidi" w:cstheme="majorBidi"/>
                <w:b/>
                <w:bCs/>
                <w:color w:val="000000"/>
                <w:sz w:val="24"/>
                <w:szCs w:val="24"/>
              </w:rPr>
              <w:t>Variable</w:t>
            </w:r>
          </w:p>
        </w:tc>
        <w:tc>
          <w:tcPr>
            <w:tcW w:w="1816" w:type="dxa"/>
            <w:tcBorders>
              <w:top w:val="single" w:sz="4" w:space="0" w:color="auto"/>
              <w:bottom w:val="single" w:sz="4" w:space="0" w:color="auto"/>
            </w:tcBorders>
            <w:shd w:val="clear" w:color="auto" w:fill="E7E6E6" w:themeFill="background2"/>
            <w:noWrap/>
            <w:vAlign w:val="center"/>
          </w:tcPr>
          <w:p w14:paraId="2114F23E" w14:textId="77777777" w:rsidR="003F1B49" w:rsidRPr="001D2AE4" w:rsidRDefault="003F1B49" w:rsidP="0055085C">
            <w:pPr>
              <w:spacing w:after="0" w:line="360" w:lineRule="auto"/>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OR</w:t>
            </w:r>
          </w:p>
        </w:tc>
        <w:tc>
          <w:tcPr>
            <w:tcW w:w="1200" w:type="dxa"/>
            <w:tcBorders>
              <w:top w:val="single" w:sz="4" w:space="0" w:color="auto"/>
              <w:bottom w:val="single" w:sz="4" w:space="0" w:color="auto"/>
            </w:tcBorders>
            <w:shd w:val="clear" w:color="auto" w:fill="E7E6E6" w:themeFill="background2"/>
            <w:vAlign w:val="center"/>
          </w:tcPr>
          <w:p w14:paraId="3B9DE839" w14:textId="77777777" w:rsidR="003F1B49" w:rsidRPr="001D2AE4" w:rsidRDefault="003F1B49" w:rsidP="0055085C">
            <w:pPr>
              <w:spacing w:after="0" w:line="360" w:lineRule="auto"/>
              <w:jc w:val="center"/>
              <w:rPr>
                <w:rFonts w:asciiTheme="majorBidi" w:hAnsiTheme="majorBidi" w:cstheme="majorBidi"/>
                <w:b/>
                <w:bCs/>
                <w:color w:val="000000"/>
                <w:sz w:val="24"/>
                <w:szCs w:val="24"/>
              </w:rPr>
            </w:pPr>
            <w:r w:rsidRPr="001D2AE4">
              <w:rPr>
                <w:rFonts w:asciiTheme="majorBidi" w:hAnsiTheme="majorBidi" w:cstheme="majorBidi"/>
                <w:b/>
                <w:bCs/>
                <w:color w:val="000000"/>
                <w:sz w:val="24"/>
                <w:szCs w:val="24"/>
              </w:rPr>
              <w:t>95% CI</w:t>
            </w:r>
          </w:p>
        </w:tc>
        <w:tc>
          <w:tcPr>
            <w:tcW w:w="1346" w:type="dxa"/>
            <w:tcBorders>
              <w:top w:val="single" w:sz="4" w:space="0" w:color="auto"/>
            </w:tcBorders>
            <w:shd w:val="clear" w:color="auto" w:fill="E7E6E6" w:themeFill="background2"/>
            <w:vAlign w:val="center"/>
          </w:tcPr>
          <w:p w14:paraId="33E2B949" w14:textId="77777777" w:rsidR="003F1B49" w:rsidRPr="001D2AE4" w:rsidRDefault="003F1B49" w:rsidP="0055085C">
            <w:pPr>
              <w:spacing w:after="0" w:line="360" w:lineRule="auto"/>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w:t>
            </w:r>
          </w:p>
        </w:tc>
      </w:tr>
      <w:tr w:rsidR="003F1B49" w:rsidRPr="001D2AE4" w14:paraId="59AB3C2D" w14:textId="77777777" w:rsidTr="0055085C">
        <w:trPr>
          <w:trHeight w:val="160"/>
        </w:trPr>
        <w:tc>
          <w:tcPr>
            <w:tcW w:w="3576" w:type="dxa"/>
            <w:tcBorders>
              <w:top w:val="single" w:sz="4" w:space="0" w:color="auto"/>
            </w:tcBorders>
            <w:noWrap/>
            <w:vAlign w:val="center"/>
            <w:hideMark/>
          </w:tcPr>
          <w:p w14:paraId="1F67B436" w14:textId="77777777" w:rsidR="003F1B49" w:rsidRPr="001D2AE4" w:rsidRDefault="003F1B49" w:rsidP="0055085C">
            <w:pPr>
              <w:spacing w:after="0" w:line="360" w:lineRule="auto"/>
              <w:rPr>
                <w:rFonts w:asciiTheme="majorBidi" w:hAnsiTheme="majorBidi" w:cstheme="majorBidi"/>
                <w:b/>
                <w:bCs/>
                <w:color w:val="000000"/>
                <w:sz w:val="24"/>
                <w:szCs w:val="24"/>
              </w:rPr>
            </w:pPr>
            <w:r w:rsidRPr="001D2AE4">
              <w:rPr>
                <w:rFonts w:asciiTheme="majorBidi" w:hAnsiTheme="majorBidi" w:cstheme="majorBidi"/>
                <w:b/>
                <w:bCs/>
                <w:color w:val="000000"/>
                <w:sz w:val="24"/>
                <w:szCs w:val="24"/>
              </w:rPr>
              <w:t xml:space="preserve">Age </w:t>
            </w:r>
            <w:r w:rsidRPr="001D2AE4">
              <w:rPr>
                <w:rFonts w:asciiTheme="majorBidi" w:hAnsiTheme="majorBidi" w:cstheme="majorBidi"/>
                <w:color w:val="000000"/>
                <w:sz w:val="24"/>
                <w:szCs w:val="24"/>
              </w:rPr>
              <w:t>[years]</w:t>
            </w:r>
          </w:p>
        </w:tc>
        <w:tc>
          <w:tcPr>
            <w:tcW w:w="1816" w:type="dxa"/>
            <w:tcBorders>
              <w:top w:val="single" w:sz="4" w:space="0" w:color="auto"/>
            </w:tcBorders>
            <w:noWrap/>
            <w:hideMark/>
          </w:tcPr>
          <w:p w14:paraId="68793CCD" w14:textId="77777777" w:rsidR="003F1B49" w:rsidRPr="00992BCD" w:rsidRDefault="003F1B49" w:rsidP="0055085C">
            <w:pPr>
              <w:spacing w:after="0" w:line="360" w:lineRule="auto"/>
              <w:jc w:val="center"/>
              <w:rPr>
                <w:rFonts w:ascii="Times New Roman" w:eastAsia="Times New Roman" w:hAnsi="Times New Roman" w:cs="Times New Roman"/>
                <w:sz w:val="24"/>
                <w:szCs w:val="24"/>
              </w:rPr>
            </w:pPr>
            <w:r w:rsidRPr="00992BCD">
              <w:rPr>
                <w:rFonts w:ascii="Times New Roman" w:eastAsia="Times New Roman" w:hAnsi="Times New Roman" w:cs="Times New Roman"/>
                <w:sz w:val="24"/>
                <w:szCs w:val="24"/>
              </w:rPr>
              <w:t>1.04</w:t>
            </w:r>
          </w:p>
        </w:tc>
        <w:tc>
          <w:tcPr>
            <w:tcW w:w="1200" w:type="dxa"/>
            <w:tcBorders>
              <w:top w:val="single" w:sz="4" w:space="0" w:color="auto"/>
            </w:tcBorders>
          </w:tcPr>
          <w:p w14:paraId="0E1E85BA" w14:textId="77777777" w:rsidR="003F1B49" w:rsidRPr="00992BCD" w:rsidRDefault="003F1B49" w:rsidP="0055085C">
            <w:pPr>
              <w:spacing w:after="0" w:line="360" w:lineRule="auto"/>
              <w:jc w:val="center"/>
              <w:rPr>
                <w:rFonts w:ascii="Times New Roman" w:eastAsia="Times New Roman" w:hAnsi="Times New Roman" w:cs="Times New Roman"/>
                <w:sz w:val="24"/>
                <w:szCs w:val="24"/>
              </w:rPr>
            </w:pPr>
            <w:r w:rsidRPr="00992BCD">
              <w:rPr>
                <w:rFonts w:ascii="Times New Roman" w:eastAsia="Times New Roman" w:hAnsi="Times New Roman" w:cs="Times New Roman"/>
                <w:sz w:val="24"/>
                <w:szCs w:val="24"/>
              </w:rPr>
              <w:t>1.00 – 1.09</w:t>
            </w:r>
          </w:p>
        </w:tc>
        <w:tc>
          <w:tcPr>
            <w:tcW w:w="1346" w:type="dxa"/>
            <w:tcBorders>
              <w:top w:val="single" w:sz="4" w:space="0" w:color="auto"/>
            </w:tcBorders>
          </w:tcPr>
          <w:p w14:paraId="43FCF0B6" w14:textId="77777777" w:rsidR="003F1B49" w:rsidRPr="00992BCD" w:rsidRDefault="003F1B49" w:rsidP="0055085C">
            <w:pPr>
              <w:spacing w:after="0" w:line="360" w:lineRule="auto"/>
              <w:jc w:val="center"/>
              <w:rPr>
                <w:rFonts w:ascii="Times New Roman" w:eastAsia="Times New Roman" w:hAnsi="Times New Roman" w:cs="Times New Roman"/>
                <w:b/>
                <w:bCs/>
                <w:sz w:val="24"/>
                <w:szCs w:val="24"/>
              </w:rPr>
            </w:pPr>
            <w:r w:rsidRPr="00992BCD">
              <w:rPr>
                <w:rFonts w:ascii="Times New Roman" w:eastAsia="Times New Roman" w:hAnsi="Times New Roman" w:cs="Times New Roman"/>
                <w:b/>
                <w:bCs/>
                <w:sz w:val="24"/>
                <w:szCs w:val="24"/>
              </w:rPr>
              <w:t>0.050</w:t>
            </w:r>
            <w:r>
              <w:rPr>
                <w:rFonts w:ascii="Times New Roman" w:eastAsia="Times New Roman" w:hAnsi="Times New Roman" w:cs="Times New Roman"/>
                <w:b/>
                <w:bCs/>
                <w:sz w:val="24"/>
                <w:szCs w:val="24"/>
              </w:rPr>
              <w:t>*</w:t>
            </w:r>
          </w:p>
        </w:tc>
      </w:tr>
      <w:tr w:rsidR="003F1B49" w:rsidRPr="001D2AE4" w14:paraId="13BDE786" w14:textId="77777777" w:rsidTr="0055085C">
        <w:trPr>
          <w:trHeight w:val="194"/>
        </w:trPr>
        <w:tc>
          <w:tcPr>
            <w:tcW w:w="3576" w:type="dxa"/>
            <w:noWrap/>
            <w:vAlign w:val="center"/>
            <w:hideMark/>
          </w:tcPr>
          <w:p w14:paraId="19305DD2" w14:textId="77777777" w:rsidR="003F1B49" w:rsidRPr="001D2AE4" w:rsidRDefault="003F1B49" w:rsidP="0055085C">
            <w:pPr>
              <w:spacing w:after="0" w:line="360" w:lineRule="auto"/>
              <w:rPr>
                <w:rFonts w:asciiTheme="majorBidi" w:hAnsiTheme="majorBidi" w:cstheme="majorBidi"/>
                <w:color w:val="000000"/>
                <w:sz w:val="24"/>
                <w:szCs w:val="24"/>
              </w:rPr>
            </w:pPr>
            <w:r w:rsidRPr="001D2AE4">
              <w:rPr>
                <w:rFonts w:asciiTheme="majorBidi" w:hAnsiTheme="majorBidi" w:cstheme="majorBidi"/>
                <w:b/>
                <w:bCs/>
                <w:color w:val="000000"/>
                <w:sz w:val="24"/>
                <w:szCs w:val="24"/>
              </w:rPr>
              <w:t xml:space="preserve">Gender </w:t>
            </w:r>
            <w:r w:rsidRPr="001D2AE4">
              <w:rPr>
                <w:rFonts w:asciiTheme="majorBidi" w:hAnsiTheme="majorBidi" w:cstheme="majorBidi"/>
                <w:color w:val="000000"/>
                <w:sz w:val="24"/>
                <w:szCs w:val="24"/>
              </w:rPr>
              <w:t>[F/M]</w:t>
            </w:r>
          </w:p>
        </w:tc>
        <w:tc>
          <w:tcPr>
            <w:tcW w:w="1816" w:type="dxa"/>
            <w:noWrap/>
            <w:hideMark/>
          </w:tcPr>
          <w:p w14:paraId="6F8C0219"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0.97</w:t>
            </w:r>
          </w:p>
        </w:tc>
        <w:tc>
          <w:tcPr>
            <w:tcW w:w="1200" w:type="dxa"/>
          </w:tcPr>
          <w:p w14:paraId="69397DDA"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0.30 – 3.14</w:t>
            </w:r>
          </w:p>
        </w:tc>
        <w:tc>
          <w:tcPr>
            <w:tcW w:w="1346" w:type="dxa"/>
          </w:tcPr>
          <w:p w14:paraId="5D9E0F4D"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0.953</w:t>
            </w:r>
          </w:p>
        </w:tc>
      </w:tr>
      <w:tr w:rsidR="003F1B49" w:rsidRPr="001D2AE4" w14:paraId="7050DBB3" w14:textId="77777777" w:rsidTr="0055085C">
        <w:trPr>
          <w:trHeight w:val="404"/>
        </w:trPr>
        <w:tc>
          <w:tcPr>
            <w:tcW w:w="3576" w:type="dxa"/>
            <w:noWrap/>
            <w:vAlign w:val="center"/>
          </w:tcPr>
          <w:p w14:paraId="7767BE64" w14:textId="77777777" w:rsidR="003F1B49" w:rsidRPr="001D2AE4" w:rsidRDefault="003F1B49" w:rsidP="0055085C">
            <w:pPr>
              <w:spacing w:after="0" w:line="360" w:lineRule="auto"/>
              <w:rPr>
                <w:rFonts w:asciiTheme="majorBidi" w:hAnsiTheme="majorBidi" w:cstheme="majorBidi"/>
                <w:b/>
                <w:bCs/>
                <w:color w:val="000000"/>
                <w:sz w:val="24"/>
                <w:szCs w:val="24"/>
              </w:rPr>
            </w:pPr>
            <w:r w:rsidRPr="001D2AE4">
              <w:rPr>
                <w:rFonts w:asciiTheme="majorBidi" w:hAnsiTheme="majorBidi" w:cstheme="majorBidi"/>
                <w:b/>
                <w:bCs/>
                <w:color w:val="000000"/>
                <w:sz w:val="24"/>
                <w:szCs w:val="24"/>
              </w:rPr>
              <w:t xml:space="preserve">Fracture </w:t>
            </w:r>
            <w:r w:rsidRPr="001D2AE4">
              <w:rPr>
                <w:rFonts w:asciiTheme="majorBidi" w:hAnsiTheme="majorBidi" w:cstheme="majorBidi"/>
                <w:color w:val="000000"/>
                <w:sz w:val="24"/>
                <w:szCs w:val="24"/>
              </w:rPr>
              <w:t xml:space="preserve">[BB/DER] </w:t>
            </w:r>
          </w:p>
        </w:tc>
        <w:tc>
          <w:tcPr>
            <w:tcW w:w="1816" w:type="dxa"/>
            <w:tcBorders>
              <w:top w:val="nil"/>
              <w:left w:val="nil"/>
              <w:bottom w:val="nil"/>
              <w:right w:val="nil"/>
            </w:tcBorders>
            <w:noWrap/>
          </w:tcPr>
          <w:p w14:paraId="620003CD"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2.66</w:t>
            </w:r>
          </w:p>
        </w:tc>
        <w:tc>
          <w:tcPr>
            <w:tcW w:w="1200" w:type="dxa"/>
            <w:tcBorders>
              <w:top w:val="nil"/>
              <w:left w:val="nil"/>
              <w:bottom w:val="nil"/>
              <w:right w:val="nil"/>
            </w:tcBorders>
          </w:tcPr>
          <w:p w14:paraId="359ECAE1"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0.39 – 18.10</w:t>
            </w:r>
          </w:p>
        </w:tc>
        <w:tc>
          <w:tcPr>
            <w:tcW w:w="1346" w:type="dxa"/>
            <w:tcBorders>
              <w:top w:val="nil"/>
              <w:left w:val="nil"/>
              <w:bottom w:val="nil"/>
              <w:right w:val="nil"/>
            </w:tcBorders>
          </w:tcPr>
          <w:p w14:paraId="27D9F9CC"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0.318</w:t>
            </w:r>
          </w:p>
        </w:tc>
      </w:tr>
      <w:tr w:rsidR="003F1B49" w:rsidRPr="001D2AE4" w14:paraId="09A25E86" w14:textId="77777777" w:rsidTr="0055085C">
        <w:trPr>
          <w:trHeight w:val="404"/>
        </w:trPr>
        <w:tc>
          <w:tcPr>
            <w:tcW w:w="3576" w:type="dxa"/>
            <w:noWrap/>
            <w:vAlign w:val="center"/>
            <w:hideMark/>
          </w:tcPr>
          <w:p w14:paraId="69096500" w14:textId="77777777" w:rsidR="003F1B49" w:rsidRPr="001D2AE4" w:rsidRDefault="003F1B49" w:rsidP="0055085C">
            <w:pPr>
              <w:spacing w:after="0" w:line="360" w:lineRule="auto"/>
              <w:rPr>
                <w:rFonts w:asciiTheme="majorBidi" w:hAnsiTheme="majorBidi" w:cstheme="majorBidi"/>
                <w:color w:val="000000"/>
                <w:sz w:val="24"/>
                <w:szCs w:val="24"/>
              </w:rPr>
            </w:pPr>
            <w:r w:rsidRPr="001D2AE4">
              <w:rPr>
                <w:rFonts w:asciiTheme="majorBidi" w:hAnsiTheme="majorBidi" w:cstheme="majorBidi"/>
                <w:b/>
                <w:bCs/>
                <w:color w:val="000000"/>
                <w:sz w:val="24"/>
                <w:szCs w:val="24"/>
              </w:rPr>
              <w:t>Frykman Classification</w:t>
            </w:r>
            <w:r w:rsidRPr="001D2AE4">
              <w:rPr>
                <w:rFonts w:asciiTheme="majorBidi" w:hAnsiTheme="majorBidi" w:cstheme="majorBidi"/>
                <w:color w:val="000000"/>
                <w:sz w:val="24"/>
                <w:szCs w:val="24"/>
              </w:rPr>
              <w:t xml:space="preserve"> [vs. 1]</w:t>
            </w:r>
          </w:p>
        </w:tc>
        <w:tc>
          <w:tcPr>
            <w:tcW w:w="1816" w:type="dxa"/>
            <w:tcBorders>
              <w:top w:val="nil"/>
              <w:left w:val="nil"/>
              <w:bottom w:val="nil"/>
              <w:right w:val="nil"/>
            </w:tcBorders>
            <w:noWrap/>
            <w:vAlign w:val="center"/>
            <w:hideMark/>
          </w:tcPr>
          <w:p w14:paraId="28749E52" w14:textId="77777777" w:rsidR="003F1B49" w:rsidRPr="001D2AE4" w:rsidRDefault="003F1B49" w:rsidP="0055085C">
            <w:pPr>
              <w:spacing w:after="0" w:line="360" w:lineRule="auto"/>
              <w:jc w:val="center"/>
              <w:rPr>
                <w:rFonts w:asciiTheme="majorBidi" w:hAnsiTheme="majorBidi" w:cstheme="majorBidi"/>
                <w:color w:val="000000"/>
                <w:sz w:val="24"/>
                <w:szCs w:val="24"/>
              </w:rPr>
            </w:pPr>
          </w:p>
        </w:tc>
        <w:tc>
          <w:tcPr>
            <w:tcW w:w="1200" w:type="dxa"/>
            <w:tcBorders>
              <w:top w:val="nil"/>
              <w:left w:val="nil"/>
              <w:bottom w:val="nil"/>
              <w:right w:val="nil"/>
            </w:tcBorders>
            <w:vAlign w:val="center"/>
          </w:tcPr>
          <w:p w14:paraId="1CEA8A28" w14:textId="77777777" w:rsidR="003F1B49" w:rsidRPr="001D2AE4" w:rsidRDefault="003F1B49" w:rsidP="0055085C">
            <w:pPr>
              <w:spacing w:after="0" w:line="360" w:lineRule="auto"/>
              <w:jc w:val="center"/>
              <w:rPr>
                <w:rFonts w:asciiTheme="majorBidi" w:hAnsiTheme="majorBidi" w:cstheme="majorBidi"/>
                <w:color w:val="000000"/>
                <w:sz w:val="24"/>
                <w:szCs w:val="24"/>
              </w:rPr>
            </w:pPr>
          </w:p>
        </w:tc>
        <w:tc>
          <w:tcPr>
            <w:tcW w:w="1346" w:type="dxa"/>
            <w:tcBorders>
              <w:top w:val="nil"/>
              <w:left w:val="nil"/>
              <w:bottom w:val="nil"/>
              <w:right w:val="nil"/>
            </w:tcBorders>
            <w:vAlign w:val="center"/>
          </w:tcPr>
          <w:p w14:paraId="6CC2D641" w14:textId="77777777" w:rsidR="003F1B49" w:rsidRPr="001D2AE4" w:rsidRDefault="003F1B49" w:rsidP="0055085C">
            <w:pPr>
              <w:spacing w:after="0" w:line="360" w:lineRule="auto"/>
              <w:jc w:val="center"/>
              <w:rPr>
                <w:rFonts w:asciiTheme="majorBidi" w:hAnsiTheme="majorBidi" w:cstheme="majorBidi"/>
                <w:color w:val="000000"/>
                <w:sz w:val="24"/>
                <w:szCs w:val="24"/>
              </w:rPr>
            </w:pPr>
          </w:p>
        </w:tc>
      </w:tr>
      <w:tr w:rsidR="003F1B49" w:rsidRPr="001D2AE4" w14:paraId="4093E113" w14:textId="77777777" w:rsidTr="0055085C">
        <w:trPr>
          <w:trHeight w:val="404"/>
        </w:trPr>
        <w:tc>
          <w:tcPr>
            <w:tcW w:w="3576" w:type="dxa"/>
            <w:noWrap/>
            <w:vAlign w:val="center"/>
            <w:hideMark/>
          </w:tcPr>
          <w:p w14:paraId="3510E52A" w14:textId="77777777" w:rsidR="003F1B49" w:rsidRPr="001D2AE4" w:rsidRDefault="003F1B49" w:rsidP="0055085C">
            <w:pPr>
              <w:spacing w:after="0" w:line="360" w:lineRule="auto"/>
              <w:ind w:left="510"/>
              <w:rPr>
                <w:rFonts w:asciiTheme="majorBidi" w:hAnsiTheme="majorBidi" w:cstheme="majorBidi"/>
                <w:color w:val="000000"/>
                <w:sz w:val="24"/>
                <w:szCs w:val="24"/>
              </w:rPr>
            </w:pPr>
            <w:r w:rsidRPr="001D2AE4">
              <w:rPr>
                <w:rFonts w:asciiTheme="majorBidi" w:hAnsiTheme="majorBidi" w:cstheme="majorBidi"/>
                <w:color w:val="000000"/>
                <w:sz w:val="24"/>
                <w:szCs w:val="24"/>
              </w:rPr>
              <w:t>2</w:t>
            </w:r>
          </w:p>
        </w:tc>
        <w:tc>
          <w:tcPr>
            <w:tcW w:w="1816" w:type="dxa"/>
            <w:noWrap/>
            <w:hideMark/>
          </w:tcPr>
          <w:p w14:paraId="643455B8"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3.88</w:t>
            </w:r>
          </w:p>
        </w:tc>
        <w:tc>
          <w:tcPr>
            <w:tcW w:w="1200" w:type="dxa"/>
          </w:tcPr>
          <w:p w14:paraId="46C96F67"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0.18 – 82.44</w:t>
            </w:r>
          </w:p>
        </w:tc>
        <w:tc>
          <w:tcPr>
            <w:tcW w:w="1346" w:type="dxa"/>
          </w:tcPr>
          <w:p w14:paraId="38C38A0D"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0.384</w:t>
            </w:r>
          </w:p>
        </w:tc>
      </w:tr>
      <w:tr w:rsidR="003F1B49" w:rsidRPr="001D2AE4" w14:paraId="177A8529" w14:textId="77777777" w:rsidTr="0055085C">
        <w:trPr>
          <w:trHeight w:val="404"/>
        </w:trPr>
        <w:tc>
          <w:tcPr>
            <w:tcW w:w="3576" w:type="dxa"/>
            <w:noWrap/>
            <w:vAlign w:val="center"/>
            <w:hideMark/>
          </w:tcPr>
          <w:p w14:paraId="042E7344" w14:textId="77777777" w:rsidR="003F1B49" w:rsidRPr="001D2AE4" w:rsidRDefault="003F1B49" w:rsidP="0055085C">
            <w:pPr>
              <w:spacing w:after="0" w:line="360" w:lineRule="auto"/>
              <w:ind w:left="510"/>
              <w:rPr>
                <w:rFonts w:asciiTheme="majorBidi" w:hAnsiTheme="majorBidi" w:cstheme="majorBidi"/>
                <w:color w:val="000000"/>
                <w:sz w:val="24"/>
                <w:szCs w:val="24"/>
              </w:rPr>
            </w:pPr>
            <w:r w:rsidRPr="001D2AE4">
              <w:rPr>
                <w:rFonts w:asciiTheme="majorBidi" w:hAnsiTheme="majorBidi" w:cstheme="majorBidi"/>
                <w:color w:val="000000"/>
                <w:sz w:val="24"/>
                <w:szCs w:val="24"/>
              </w:rPr>
              <w:t>3</w:t>
            </w:r>
          </w:p>
        </w:tc>
        <w:tc>
          <w:tcPr>
            <w:tcW w:w="1816" w:type="dxa"/>
            <w:noWrap/>
            <w:hideMark/>
          </w:tcPr>
          <w:p w14:paraId="0508B79F"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0.65</w:t>
            </w:r>
          </w:p>
        </w:tc>
        <w:tc>
          <w:tcPr>
            <w:tcW w:w="1200" w:type="dxa"/>
          </w:tcPr>
          <w:p w14:paraId="3A78FFEA"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0.21 – 2.02</w:t>
            </w:r>
          </w:p>
        </w:tc>
        <w:tc>
          <w:tcPr>
            <w:tcW w:w="1346" w:type="dxa"/>
          </w:tcPr>
          <w:p w14:paraId="4EFE93D7"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0.455</w:t>
            </w:r>
          </w:p>
        </w:tc>
      </w:tr>
      <w:tr w:rsidR="003F1B49" w:rsidRPr="001D2AE4" w14:paraId="4A283ECB" w14:textId="77777777" w:rsidTr="0055085C">
        <w:trPr>
          <w:trHeight w:val="404"/>
        </w:trPr>
        <w:tc>
          <w:tcPr>
            <w:tcW w:w="3576" w:type="dxa"/>
            <w:noWrap/>
            <w:vAlign w:val="center"/>
            <w:hideMark/>
          </w:tcPr>
          <w:p w14:paraId="52533881" w14:textId="77777777" w:rsidR="003F1B49" w:rsidRPr="001D2AE4" w:rsidRDefault="003F1B49" w:rsidP="0055085C">
            <w:pPr>
              <w:spacing w:after="0" w:line="360" w:lineRule="auto"/>
              <w:ind w:left="510"/>
              <w:rPr>
                <w:rFonts w:asciiTheme="majorBidi" w:hAnsiTheme="majorBidi" w:cstheme="majorBidi"/>
                <w:color w:val="000000"/>
                <w:sz w:val="24"/>
                <w:szCs w:val="24"/>
              </w:rPr>
            </w:pPr>
            <w:r w:rsidRPr="001D2AE4">
              <w:rPr>
                <w:rFonts w:asciiTheme="majorBidi" w:hAnsiTheme="majorBidi" w:cstheme="majorBidi"/>
                <w:color w:val="000000"/>
                <w:sz w:val="24"/>
                <w:szCs w:val="24"/>
              </w:rPr>
              <w:t>4</w:t>
            </w:r>
          </w:p>
        </w:tc>
        <w:tc>
          <w:tcPr>
            <w:tcW w:w="1816" w:type="dxa"/>
            <w:noWrap/>
          </w:tcPr>
          <w:p w14:paraId="5DAB990F"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0.20</w:t>
            </w:r>
          </w:p>
        </w:tc>
        <w:tc>
          <w:tcPr>
            <w:tcW w:w="1200" w:type="dxa"/>
          </w:tcPr>
          <w:p w14:paraId="1B1BB961"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0.03 – 1.24</w:t>
            </w:r>
          </w:p>
        </w:tc>
        <w:tc>
          <w:tcPr>
            <w:tcW w:w="1346" w:type="dxa"/>
          </w:tcPr>
          <w:p w14:paraId="11A38B6B"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0.083</w:t>
            </w:r>
          </w:p>
        </w:tc>
      </w:tr>
      <w:tr w:rsidR="003F1B49" w:rsidRPr="001D2AE4" w14:paraId="020E4819" w14:textId="77777777" w:rsidTr="0055085C">
        <w:trPr>
          <w:trHeight w:val="404"/>
        </w:trPr>
        <w:tc>
          <w:tcPr>
            <w:tcW w:w="3576" w:type="dxa"/>
            <w:noWrap/>
            <w:vAlign w:val="center"/>
            <w:hideMark/>
          </w:tcPr>
          <w:p w14:paraId="04FDD10F" w14:textId="77777777" w:rsidR="003F1B49" w:rsidRPr="001D2AE4" w:rsidRDefault="003F1B49" w:rsidP="0055085C">
            <w:pPr>
              <w:spacing w:after="0" w:line="360" w:lineRule="auto"/>
              <w:ind w:left="510"/>
              <w:rPr>
                <w:rFonts w:asciiTheme="majorBidi" w:hAnsiTheme="majorBidi" w:cstheme="majorBidi"/>
                <w:color w:val="000000"/>
                <w:sz w:val="24"/>
                <w:szCs w:val="24"/>
              </w:rPr>
            </w:pPr>
            <w:r w:rsidRPr="001D2AE4">
              <w:rPr>
                <w:rFonts w:asciiTheme="majorBidi" w:hAnsiTheme="majorBidi" w:cstheme="majorBidi"/>
                <w:color w:val="000000"/>
                <w:sz w:val="24"/>
                <w:szCs w:val="24"/>
              </w:rPr>
              <w:t>8</w:t>
            </w:r>
          </w:p>
        </w:tc>
        <w:tc>
          <w:tcPr>
            <w:tcW w:w="1816" w:type="dxa"/>
            <w:noWrap/>
            <w:hideMark/>
          </w:tcPr>
          <w:p w14:paraId="1849E1BA"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1.51</w:t>
            </w:r>
          </w:p>
        </w:tc>
        <w:tc>
          <w:tcPr>
            <w:tcW w:w="1200" w:type="dxa"/>
          </w:tcPr>
          <w:p w14:paraId="656555AA"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0.15 – 15.42</w:t>
            </w:r>
          </w:p>
        </w:tc>
        <w:tc>
          <w:tcPr>
            <w:tcW w:w="1346" w:type="dxa"/>
          </w:tcPr>
          <w:p w14:paraId="7B944454" w14:textId="77777777" w:rsidR="003F1B49" w:rsidRPr="0025011B" w:rsidRDefault="003F1B49" w:rsidP="0055085C">
            <w:pPr>
              <w:spacing w:after="0" w:line="240" w:lineRule="auto"/>
              <w:jc w:val="center"/>
              <w:rPr>
                <w:rFonts w:ascii="Times New Roman" w:eastAsia="Times New Roman" w:hAnsi="Times New Roman" w:cs="Times New Roman"/>
                <w:sz w:val="24"/>
                <w:szCs w:val="24"/>
              </w:rPr>
            </w:pPr>
            <w:r w:rsidRPr="0025011B">
              <w:rPr>
                <w:rFonts w:ascii="Times New Roman" w:eastAsia="Times New Roman" w:hAnsi="Times New Roman" w:cs="Times New Roman"/>
                <w:sz w:val="24"/>
                <w:szCs w:val="24"/>
              </w:rPr>
              <w:t>0.729</w:t>
            </w:r>
          </w:p>
        </w:tc>
      </w:tr>
      <w:tr w:rsidR="003F1B49" w:rsidRPr="001D2AE4" w14:paraId="0B4281F3" w14:textId="77777777" w:rsidTr="0055085C">
        <w:trPr>
          <w:trHeight w:val="404"/>
        </w:trPr>
        <w:tc>
          <w:tcPr>
            <w:tcW w:w="3576" w:type="dxa"/>
            <w:noWrap/>
            <w:vAlign w:val="center"/>
            <w:hideMark/>
          </w:tcPr>
          <w:p w14:paraId="78F0AB0A" w14:textId="77777777" w:rsidR="003F1B49" w:rsidRPr="001D2AE4" w:rsidRDefault="003F1B49" w:rsidP="0055085C">
            <w:pPr>
              <w:spacing w:after="0" w:line="360" w:lineRule="auto"/>
              <w:rPr>
                <w:rFonts w:asciiTheme="majorBidi" w:hAnsiTheme="majorBidi" w:cstheme="majorBidi"/>
                <w:color w:val="000000"/>
                <w:sz w:val="24"/>
                <w:szCs w:val="24"/>
              </w:rPr>
            </w:pPr>
            <w:r w:rsidRPr="001D2AE4">
              <w:rPr>
                <w:rFonts w:asciiTheme="majorBidi" w:hAnsiTheme="majorBidi" w:cstheme="majorBidi"/>
                <w:b/>
                <w:bCs/>
                <w:color w:val="000000"/>
                <w:sz w:val="24"/>
                <w:szCs w:val="24"/>
              </w:rPr>
              <w:t xml:space="preserve">Baseline Pain Score </w:t>
            </w:r>
            <w:r w:rsidRPr="001D2AE4">
              <w:rPr>
                <w:rFonts w:asciiTheme="majorBidi" w:hAnsiTheme="majorBidi" w:cstheme="majorBidi"/>
                <w:color w:val="000000"/>
                <w:sz w:val="24"/>
                <w:szCs w:val="24"/>
              </w:rPr>
              <w:t xml:space="preserve"> </w:t>
            </w:r>
          </w:p>
        </w:tc>
        <w:tc>
          <w:tcPr>
            <w:tcW w:w="1816" w:type="dxa"/>
            <w:noWrap/>
            <w:hideMark/>
          </w:tcPr>
          <w:p w14:paraId="43DE952C"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1.74</w:t>
            </w:r>
          </w:p>
        </w:tc>
        <w:tc>
          <w:tcPr>
            <w:tcW w:w="1200" w:type="dxa"/>
          </w:tcPr>
          <w:p w14:paraId="4D0D912D"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0.99 – 3.05</w:t>
            </w:r>
          </w:p>
        </w:tc>
        <w:tc>
          <w:tcPr>
            <w:tcW w:w="1346" w:type="dxa"/>
          </w:tcPr>
          <w:p w14:paraId="1C873D2C" w14:textId="77777777" w:rsidR="003F1B49" w:rsidRPr="00A83002" w:rsidRDefault="003F1B49" w:rsidP="0055085C">
            <w:pPr>
              <w:spacing w:after="0" w:line="360" w:lineRule="auto"/>
              <w:jc w:val="center"/>
              <w:rPr>
                <w:rFonts w:ascii="Times New Roman" w:eastAsia="Times New Roman" w:hAnsi="Times New Roman" w:cs="Times New Roman"/>
                <w:b/>
                <w:bCs/>
                <w:sz w:val="24"/>
                <w:szCs w:val="24"/>
              </w:rPr>
            </w:pPr>
            <w:r w:rsidRPr="00992BCD">
              <w:rPr>
                <w:rFonts w:ascii="Times New Roman" w:eastAsia="Times New Roman" w:hAnsi="Times New Roman" w:cs="Times New Roman"/>
                <w:b/>
                <w:bCs/>
                <w:sz w:val="24"/>
                <w:szCs w:val="24"/>
              </w:rPr>
              <w:t>0.05*</w:t>
            </w:r>
          </w:p>
        </w:tc>
      </w:tr>
      <w:tr w:rsidR="003F1B49" w:rsidRPr="001D2AE4" w14:paraId="1D837969" w14:textId="77777777" w:rsidTr="0055085C">
        <w:trPr>
          <w:trHeight w:val="404"/>
        </w:trPr>
        <w:tc>
          <w:tcPr>
            <w:tcW w:w="3576" w:type="dxa"/>
            <w:noWrap/>
            <w:vAlign w:val="center"/>
            <w:hideMark/>
          </w:tcPr>
          <w:p w14:paraId="11800D43" w14:textId="77777777" w:rsidR="003F1B49" w:rsidRPr="001D2AE4" w:rsidRDefault="003F1B49" w:rsidP="0055085C">
            <w:pPr>
              <w:spacing w:after="0" w:line="360" w:lineRule="auto"/>
              <w:rPr>
                <w:rFonts w:asciiTheme="majorBidi" w:hAnsiTheme="majorBidi" w:cstheme="majorBidi"/>
                <w:color w:val="000000"/>
                <w:sz w:val="24"/>
                <w:szCs w:val="24"/>
              </w:rPr>
            </w:pPr>
            <w:r w:rsidRPr="001D2AE4">
              <w:rPr>
                <w:rFonts w:asciiTheme="majorBidi" w:hAnsiTheme="majorBidi" w:cstheme="majorBidi"/>
                <w:b/>
                <w:bCs/>
                <w:color w:val="000000"/>
                <w:sz w:val="24"/>
                <w:szCs w:val="24"/>
              </w:rPr>
              <w:t>Operator</w:t>
            </w:r>
            <w:r w:rsidRPr="001D2AE4">
              <w:rPr>
                <w:rFonts w:asciiTheme="majorBidi" w:hAnsiTheme="majorBidi" w:cstheme="majorBidi"/>
                <w:color w:val="000000"/>
                <w:sz w:val="24"/>
                <w:szCs w:val="24"/>
              </w:rPr>
              <w:t xml:space="preserve"> [A/B]</w:t>
            </w:r>
          </w:p>
        </w:tc>
        <w:tc>
          <w:tcPr>
            <w:tcW w:w="1816" w:type="dxa"/>
            <w:noWrap/>
            <w:hideMark/>
          </w:tcPr>
          <w:p w14:paraId="78898FD7"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1.63</w:t>
            </w:r>
          </w:p>
        </w:tc>
        <w:tc>
          <w:tcPr>
            <w:tcW w:w="1200" w:type="dxa"/>
          </w:tcPr>
          <w:p w14:paraId="50601667"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0.51 – 5.27</w:t>
            </w:r>
          </w:p>
        </w:tc>
        <w:tc>
          <w:tcPr>
            <w:tcW w:w="1346" w:type="dxa"/>
          </w:tcPr>
          <w:p w14:paraId="11484B75"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0.411</w:t>
            </w:r>
          </w:p>
        </w:tc>
      </w:tr>
      <w:tr w:rsidR="003F1B49" w:rsidRPr="001D2AE4" w14:paraId="1F9BA67E" w14:textId="77777777" w:rsidTr="0055085C">
        <w:trPr>
          <w:trHeight w:val="404"/>
        </w:trPr>
        <w:tc>
          <w:tcPr>
            <w:tcW w:w="3576" w:type="dxa"/>
            <w:tcBorders>
              <w:bottom w:val="single" w:sz="4" w:space="0" w:color="auto"/>
            </w:tcBorders>
            <w:noWrap/>
            <w:vAlign w:val="center"/>
            <w:hideMark/>
          </w:tcPr>
          <w:p w14:paraId="57D56392" w14:textId="77777777" w:rsidR="003F1B49" w:rsidRPr="001D2AE4" w:rsidRDefault="003F1B49" w:rsidP="0055085C">
            <w:pPr>
              <w:spacing w:after="0" w:line="360" w:lineRule="auto"/>
              <w:rPr>
                <w:rFonts w:asciiTheme="majorBidi" w:hAnsiTheme="majorBidi" w:cstheme="majorBidi"/>
                <w:color w:val="000000"/>
                <w:sz w:val="24"/>
                <w:szCs w:val="24"/>
              </w:rPr>
            </w:pPr>
            <w:r w:rsidRPr="001D2AE4">
              <w:rPr>
                <w:rFonts w:asciiTheme="majorBidi" w:hAnsiTheme="majorBidi" w:cstheme="majorBidi"/>
                <w:b/>
                <w:bCs/>
                <w:color w:val="000000"/>
                <w:sz w:val="24"/>
                <w:szCs w:val="24"/>
              </w:rPr>
              <w:t>Block Method</w:t>
            </w:r>
            <w:r w:rsidRPr="001D2AE4">
              <w:rPr>
                <w:rFonts w:asciiTheme="majorBidi" w:hAnsiTheme="majorBidi" w:cstheme="majorBidi"/>
                <w:color w:val="000000"/>
                <w:sz w:val="24"/>
                <w:szCs w:val="24"/>
              </w:rPr>
              <w:t xml:space="preserve"> [HB/ CPB]</w:t>
            </w:r>
          </w:p>
        </w:tc>
        <w:tc>
          <w:tcPr>
            <w:tcW w:w="1816" w:type="dxa"/>
            <w:tcBorders>
              <w:bottom w:val="single" w:sz="4" w:space="0" w:color="auto"/>
            </w:tcBorders>
            <w:noWrap/>
            <w:hideMark/>
          </w:tcPr>
          <w:p w14:paraId="3059BB3F"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21.24</w:t>
            </w:r>
          </w:p>
        </w:tc>
        <w:tc>
          <w:tcPr>
            <w:tcW w:w="1200" w:type="dxa"/>
            <w:tcBorders>
              <w:bottom w:val="single" w:sz="4" w:space="0" w:color="auto"/>
            </w:tcBorders>
          </w:tcPr>
          <w:p w14:paraId="7D71263E"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sz w:val="24"/>
                <w:szCs w:val="24"/>
              </w:rPr>
              <w:t>5.60 – 80.54</w:t>
            </w:r>
          </w:p>
        </w:tc>
        <w:tc>
          <w:tcPr>
            <w:tcW w:w="1346" w:type="dxa"/>
            <w:tcBorders>
              <w:bottom w:val="single" w:sz="4" w:space="0" w:color="auto"/>
            </w:tcBorders>
          </w:tcPr>
          <w:p w14:paraId="78D507DD" w14:textId="77777777" w:rsidR="003F1B49" w:rsidRPr="00A83002" w:rsidRDefault="003F1B49" w:rsidP="0055085C">
            <w:pPr>
              <w:spacing w:after="0" w:line="360" w:lineRule="auto"/>
              <w:jc w:val="center"/>
              <w:rPr>
                <w:rFonts w:ascii="Times New Roman" w:eastAsia="Times New Roman" w:hAnsi="Times New Roman" w:cs="Times New Roman"/>
                <w:sz w:val="24"/>
                <w:szCs w:val="24"/>
              </w:rPr>
            </w:pPr>
            <w:r w:rsidRPr="00A83002">
              <w:rPr>
                <w:rFonts w:ascii="Times New Roman" w:eastAsia="Times New Roman" w:hAnsi="Times New Roman" w:cs="Times New Roman"/>
                <w:b/>
                <w:bCs/>
                <w:sz w:val="24"/>
                <w:szCs w:val="24"/>
              </w:rPr>
              <w:t>&lt;0.001</w:t>
            </w:r>
            <w:r>
              <w:rPr>
                <w:rFonts w:ascii="Times New Roman" w:eastAsia="Times New Roman" w:hAnsi="Times New Roman" w:cs="Times New Roman"/>
                <w:b/>
                <w:bCs/>
                <w:sz w:val="24"/>
                <w:szCs w:val="24"/>
              </w:rPr>
              <w:t>*</w:t>
            </w:r>
          </w:p>
        </w:tc>
      </w:tr>
      <w:tr w:rsidR="003F1B49" w:rsidRPr="001D2AE4" w14:paraId="3D733D43" w14:textId="77777777" w:rsidTr="0055085C">
        <w:trPr>
          <w:trHeight w:val="404"/>
        </w:trPr>
        <w:tc>
          <w:tcPr>
            <w:tcW w:w="7938" w:type="dxa"/>
            <w:gridSpan w:val="4"/>
            <w:tcBorders>
              <w:bottom w:val="single" w:sz="4" w:space="0" w:color="auto"/>
            </w:tcBorders>
            <w:noWrap/>
            <w:vAlign w:val="center"/>
          </w:tcPr>
          <w:p w14:paraId="314EF755" w14:textId="77777777" w:rsidR="003F1B49" w:rsidRPr="001D2AE4" w:rsidRDefault="003F1B49" w:rsidP="0055085C">
            <w:pPr>
              <w:spacing w:after="0" w:line="240" w:lineRule="auto"/>
              <w:rPr>
                <w:rFonts w:asciiTheme="majorBidi" w:hAnsiTheme="majorBidi" w:cstheme="majorBidi"/>
                <w:sz w:val="24"/>
                <w:szCs w:val="24"/>
              </w:rPr>
            </w:pPr>
            <w:r>
              <w:rPr>
                <w:rFonts w:asciiTheme="majorBidi" w:hAnsiTheme="majorBidi" w:cstheme="majorBidi"/>
                <w:sz w:val="24"/>
                <w:szCs w:val="24"/>
              </w:rPr>
              <w:t>OR: Odds ratio; SE: Standard error; CI: Confidence interval</w:t>
            </w:r>
          </w:p>
        </w:tc>
      </w:tr>
    </w:tbl>
    <w:p w14:paraId="3B694AE8" w14:textId="77777777" w:rsidR="003F1B49" w:rsidRDefault="003F1B49" w:rsidP="003F1B49">
      <w:pPr>
        <w:spacing w:line="480" w:lineRule="auto"/>
        <w:rPr>
          <w:rFonts w:asciiTheme="majorBidi" w:hAnsiTheme="majorBidi" w:cstheme="majorBidi"/>
          <w:sz w:val="24"/>
          <w:szCs w:val="24"/>
        </w:rPr>
      </w:pPr>
    </w:p>
    <w:p w14:paraId="516B6BD0" w14:textId="77777777" w:rsidR="003F1B49" w:rsidRDefault="003F1B49" w:rsidP="003F1B49">
      <w:pPr>
        <w:pStyle w:val="Caption"/>
        <w:keepNext/>
        <w:spacing w:line="480" w:lineRule="auto"/>
        <w:rPr>
          <w:rFonts w:asciiTheme="majorBidi" w:hAnsiTheme="majorBidi" w:cstheme="majorBidi"/>
          <w:color w:val="auto"/>
          <w:sz w:val="24"/>
          <w:szCs w:val="24"/>
        </w:rPr>
      </w:pPr>
      <w:r>
        <w:rPr>
          <w:rFonts w:asciiTheme="majorBidi" w:eastAsia="Times New Roman" w:hAnsiTheme="majorBidi" w:cstheme="majorBidi"/>
          <w:i w:val="0"/>
          <w:iCs w:val="0"/>
          <w:color w:val="auto"/>
          <w:sz w:val="24"/>
          <w:szCs w:val="24"/>
          <w:lang w:val="en-US"/>
        </w:rPr>
        <w:t xml:space="preserve">Predictors of pain during manipulation using multivariate regression analysis are displayed in Table 3. None of gender, fracture types and Frykman classification were found to be significant factors in affecting severity of pain during reduction. Notably, there was no significant operator variability in pain among block methods. Significant predictors of pain during manipulation include; increasing age (p =0.05), baseline pain score (p = 0.05), and block method (p &lt;0.0001). Overall, the odds of having a higher pain grade at the manipulation stage were 21.24 times higher in the HB group than the CPB group (OR = 21.24, P &lt; 0.001), whilst keeping all other variables constant.  </w:t>
      </w:r>
    </w:p>
    <w:p w14:paraId="05F8F62C" w14:textId="77777777" w:rsidR="003F1B49" w:rsidRDefault="003F1B49" w:rsidP="00CE55A9">
      <w:pPr>
        <w:spacing w:before="240" w:after="240" w:line="480" w:lineRule="auto"/>
        <w:rPr>
          <w:rFonts w:asciiTheme="majorBidi" w:eastAsia="Times New Roman" w:hAnsiTheme="majorBidi" w:cstheme="majorBidi"/>
          <w:sz w:val="24"/>
          <w:szCs w:val="24"/>
        </w:rPr>
      </w:pPr>
    </w:p>
    <w:p w14:paraId="73527EDC" w14:textId="77777777" w:rsidR="00826E3E" w:rsidRDefault="00826E3E"/>
    <w:sectPr w:rsidR="00826E3E" w:rsidSect="00797048">
      <w:pgSz w:w="11900" w:h="16840"/>
      <w:pgMar w:top="1440" w:right="1440" w:bottom="1440"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DABA47" w14:textId="77777777" w:rsidR="00E804B4" w:rsidRDefault="00E804B4" w:rsidP="00CE55A9">
      <w:pPr>
        <w:spacing w:after="0" w:line="240" w:lineRule="auto"/>
      </w:pPr>
      <w:r>
        <w:separator/>
      </w:r>
    </w:p>
  </w:endnote>
  <w:endnote w:type="continuationSeparator" w:id="0">
    <w:p w14:paraId="3F3820CA" w14:textId="77777777" w:rsidR="00E804B4" w:rsidRDefault="00E804B4" w:rsidP="00CE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827D4" w14:textId="77777777" w:rsidR="00E804B4" w:rsidRDefault="00E804B4" w:rsidP="00CE55A9">
      <w:pPr>
        <w:spacing w:after="0" w:line="240" w:lineRule="auto"/>
      </w:pPr>
      <w:r>
        <w:separator/>
      </w:r>
    </w:p>
  </w:footnote>
  <w:footnote w:type="continuationSeparator" w:id="0">
    <w:p w14:paraId="23C9ED9C" w14:textId="77777777" w:rsidR="00E804B4" w:rsidRDefault="00E804B4" w:rsidP="00CE55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43A54"/>
    <w:multiLevelType w:val="hybridMultilevel"/>
    <w:tmpl w:val="823EE3C4"/>
    <w:lvl w:ilvl="0" w:tplc="F5FEB1C6">
      <w:numFmt w:val="bullet"/>
      <w:lvlText w:val="-"/>
      <w:lvlJc w:val="left"/>
      <w:pPr>
        <w:ind w:left="720" w:hanging="360"/>
      </w:pPr>
      <w:rPr>
        <w:rFonts w:ascii="Times New Roman" w:eastAsia="Times New Roman" w:hAnsi="Times New Roman"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5A9"/>
    <w:rsid w:val="000C3AFA"/>
    <w:rsid w:val="00286D9B"/>
    <w:rsid w:val="003F1B49"/>
    <w:rsid w:val="004C5042"/>
    <w:rsid w:val="007953E9"/>
    <w:rsid w:val="00797048"/>
    <w:rsid w:val="00826E3E"/>
    <w:rsid w:val="00A45D8B"/>
    <w:rsid w:val="00B2584C"/>
    <w:rsid w:val="00CE55A9"/>
    <w:rsid w:val="00D511C4"/>
    <w:rsid w:val="00D82897"/>
    <w:rsid w:val="00E804B4"/>
    <w:rsid w:val="00FC059D"/>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CEF5"/>
  <w15:chartTrackingRefBased/>
  <w15:docId w15:val="{F5975C7D-03AA-6240-A999-803C07C9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5A9"/>
    <w:pPr>
      <w:spacing w:after="160" w:line="259" w:lineRule="auto"/>
    </w:pPr>
    <w:rPr>
      <w:rFonts w:asciiTheme="minorHAnsi"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E55A9"/>
    <w:pPr>
      <w:spacing w:after="200" w:line="240" w:lineRule="auto"/>
    </w:pPr>
    <w:rPr>
      <w:rFonts w:ascii="Times New Roman" w:hAnsi="Times New Roman" w:cs="Times New Roman"/>
      <w:i/>
      <w:iCs/>
      <w:color w:val="44546A" w:themeColor="text2"/>
      <w:sz w:val="18"/>
      <w:szCs w:val="18"/>
      <w:lang w:val="en-IE"/>
    </w:rPr>
  </w:style>
  <w:style w:type="paragraph" w:styleId="Header">
    <w:name w:val="header"/>
    <w:basedOn w:val="Normal"/>
    <w:link w:val="HeaderChar"/>
    <w:uiPriority w:val="99"/>
    <w:unhideWhenUsed/>
    <w:rsid w:val="00CE55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5A9"/>
    <w:rPr>
      <w:rFonts w:asciiTheme="minorHAnsi" w:hAnsiTheme="minorHAnsi" w:cstheme="minorBidi"/>
      <w:sz w:val="22"/>
      <w:szCs w:val="22"/>
      <w:lang w:val="en-US"/>
    </w:rPr>
  </w:style>
  <w:style w:type="paragraph" w:styleId="Footer">
    <w:name w:val="footer"/>
    <w:basedOn w:val="Normal"/>
    <w:link w:val="FooterChar"/>
    <w:uiPriority w:val="99"/>
    <w:unhideWhenUsed/>
    <w:rsid w:val="00CE55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5A9"/>
    <w:rPr>
      <w:rFonts w:asciiTheme="minorHAnsi" w:hAnsiTheme="minorHAnsi" w:cstheme="minorBidi"/>
      <w:sz w:val="22"/>
      <w:szCs w:val="22"/>
      <w:lang w:val="en-US"/>
    </w:rPr>
  </w:style>
  <w:style w:type="paragraph" w:styleId="ListParagraph">
    <w:name w:val="List Paragraph"/>
    <w:basedOn w:val="Normal"/>
    <w:uiPriority w:val="34"/>
    <w:qFormat/>
    <w:rsid w:val="003F1B49"/>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079133">
      <w:bodyDiv w:val="1"/>
      <w:marLeft w:val="0"/>
      <w:marRight w:val="0"/>
      <w:marTop w:val="0"/>
      <w:marBottom w:val="0"/>
      <w:divBdr>
        <w:top w:val="none" w:sz="0" w:space="0" w:color="auto"/>
        <w:left w:val="none" w:sz="0" w:space="0" w:color="auto"/>
        <w:bottom w:val="none" w:sz="0" w:space="0" w:color="auto"/>
        <w:right w:val="none" w:sz="0" w:space="0" w:color="auto"/>
      </w:divBdr>
    </w:div>
    <w:div w:id="537664765">
      <w:bodyDiv w:val="1"/>
      <w:marLeft w:val="0"/>
      <w:marRight w:val="0"/>
      <w:marTop w:val="0"/>
      <w:marBottom w:val="0"/>
      <w:divBdr>
        <w:top w:val="none" w:sz="0" w:space="0" w:color="auto"/>
        <w:left w:val="none" w:sz="0" w:space="0" w:color="auto"/>
        <w:bottom w:val="none" w:sz="0" w:space="0" w:color="auto"/>
        <w:right w:val="none" w:sz="0" w:space="0" w:color="auto"/>
      </w:divBdr>
    </w:div>
    <w:div w:id="180126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1352</Words>
  <Characters>7708</Characters>
  <Application>Microsoft Office Word</Application>
  <DocSecurity>0</DocSecurity>
  <Lines>64</Lines>
  <Paragraphs>18</Paragraphs>
  <ScaleCrop>false</ScaleCrop>
  <Company/>
  <LinksUpToDate>false</LinksUpToDate>
  <CharactersWithSpaces>9042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account</cp:lastModifiedBy>
  <cp:revision>3</cp:revision>
  <dcterms:created xsi:type="dcterms:W3CDTF">2022-02-24T20:03:00Z</dcterms:created>
  <dcterms:modified xsi:type="dcterms:W3CDTF">2022-02-25T20:23:00Z</dcterms:modified>
</cp:coreProperties>
</file>