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21E24" w14:textId="77777777" w:rsidR="00FA4581" w:rsidRPr="00DA28C7" w:rsidRDefault="00FA4581">
      <w:pPr>
        <w:rPr>
          <w:rFonts w:ascii="Times New Roman" w:hAnsi="Times New Roman" w:cs="Times New Roman"/>
        </w:rPr>
      </w:pPr>
    </w:p>
    <w:tbl>
      <w:tblPr>
        <w:tblStyle w:val="TableGrid"/>
        <w:tblW w:w="0" w:type="auto"/>
        <w:tblLook w:val="04A0" w:firstRow="1" w:lastRow="0" w:firstColumn="1" w:lastColumn="0" w:noHBand="0" w:noVBand="1"/>
      </w:tblPr>
      <w:tblGrid>
        <w:gridCol w:w="1618"/>
        <w:gridCol w:w="7107"/>
      </w:tblGrid>
      <w:tr w:rsidR="00A60661" w:rsidRPr="00A60661" w14:paraId="55F06B71" w14:textId="77777777" w:rsidTr="00985800">
        <w:trPr>
          <w:trHeight w:val="485"/>
        </w:trPr>
        <w:tc>
          <w:tcPr>
            <w:tcW w:w="8725" w:type="dxa"/>
            <w:gridSpan w:val="2"/>
          </w:tcPr>
          <w:p w14:paraId="383149FE" w14:textId="77777777" w:rsidR="00A60661" w:rsidRPr="00A60661" w:rsidRDefault="00A60661" w:rsidP="00A60661">
            <w:pPr>
              <w:rPr>
                <w:rFonts w:ascii="Times New Roman" w:hAnsi="Times New Roman" w:cs="Times New Roman"/>
              </w:rPr>
            </w:pPr>
            <w:r w:rsidRPr="00985800">
              <w:rPr>
                <w:rFonts w:ascii="Times New Roman" w:hAnsi="Times New Roman" w:cs="Times New Roman"/>
                <w:b/>
              </w:rPr>
              <w:t>Suppl table 1</w:t>
            </w:r>
            <w:r w:rsidRPr="00A60661">
              <w:rPr>
                <w:rFonts w:ascii="Times New Roman" w:hAnsi="Times New Roman" w:cs="Times New Roman"/>
              </w:rPr>
              <w:t xml:space="preserve">: </w:t>
            </w:r>
            <w:proofErr w:type="spellStart"/>
            <w:r w:rsidRPr="00A60661">
              <w:rPr>
                <w:rFonts w:ascii="Times New Roman" w:hAnsi="Times New Roman" w:cs="Times New Roman"/>
              </w:rPr>
              <w:t>MeSH</w:t>
            </w:r>
            <w:proofErr w:type="spellEnd"/>
            <w:r w:rsidRPr="00A60661">
              <w:rPr>
                <w:rFonts w:ascii="Times New Roman" w:hAnsi="Times New Roman" w:cs="Times New Roman"/>
              </w:rPr>
              <w:t xml:space="preserve"> terms used for databases</w:t>
            </w:r>
          </w:p>
        </w:tc>
      </w:tr>
      <w:tr w:rsidR="00A60661" w:rsidRPr="00A60661" w14:paraId="29F9B53C" w14:textId="77777777" w:rsidTr="00985800">
        <w:tc>
          <w:tcPr>
            <w:tcW w:w="1618" w:type="dxa"/>
          </w:tcPr>
          <w:p w14:paraId="0356A38C"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Database</w:t>
            </w:r>
          </w:p>
        </w:tc>
        <w:tc>
          <w:tcPr>
            <w:tcW w:w="7107" w:type="dxa"/>
          </w:tcPr>
          <w:p w14:paraId="2DCCEF01"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ab/>
              <w:t>Search strategy (2012–2024)</w:t>
            </w:r>
          </w:p>
        </w:tc>
      </w:tr>
      <w:tr w:rsidR="00A60661" w:rsidRPr="00A60661" w14:paraId="4729F008" w14:textId="77777777" w:rsidTr="00985800">
        <w:tc>
          <w:tcPr>
            <w:tcW w:w="1618" w:type="dxa"/>
          </w:tcPr>
          <w:p w14:paraId="6BAA774A" w14:textId="77777777" w:rsidR="00A60661" w:rsidRPr="00A60661" w:rsidRDefault="00A60661" w:rsidP="00A60661">
            <w:pPr>
              <w:rPr>
                <w:rFonts w:ascii="Times New Roman" w:hAnsi="Times New Roman" w:cs="Times New Roman"/>
              </w:rPr>
            </w:pPr>
            <w:proofErr w:type="spellStart"/>
            <w:r w:rsidRPr="00A60661">
              <w:rPr>
                <w:rFonts w:ascii="Times New Roman" w:hAnsi="Times New Roman" w:cs="Times New Roman"/>
              </w:rPr>
              <w:t>Pubmed</w:t>
            </w:r>
            <w:proofErr w:type="spellEnd"/>
          </w:p>
        </w:tc>
        <w:tc>
          <w:tcPr>
            <w:tcW w:w="7107" w:type="dxa"/>
          </w:tcPr>
          <w:p w14:paraId="05AF5071"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(("prehospital plasma"[All Fields] OR "plasma resuscitation"[All Fields] </w:t>
            </w:r>
          </w:p>
          <w:p w14:paraId="31ADAA96"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OR "prehospital blood components"[All Fields] OR "emergency transfusion"[All Fields] </w:t>
            </w:r>
          </w:p>
          <w:p w14:paraId="6E76046C"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OR "trauma hemorrhage management"[All Fields] </w:t>
            </w:r>
          </w:p>
          <w:p w14:paraId="40948B76"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OR "lyophilized plasma"[All Fields] OR "freeze-dried plasma"[All Fields] </w:t>
            </w:r>
          </w:p>
          <w:p w14:paraId="1DB6FAD2"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OR "</w:t>
            </w:r>
            <w:proofErr w:type="spellStart"/>
            <w:r w:rsidRPr="00A60661">
              <w:rPr>
                <w:rFonts w:ascii="Times New Roman" w:hAnsi="Times New Roman" w:cs="Times New Roman"/>
              </w:rPr>
              <w:t>LyoPlas</w:t>
            </w:r>
            <w:proofErr w:type="spellEnd"/>
            <w:r w:rsidRPr="00A60661">
              <w:rPr>
                <w:rFonts w:ascii="Times New Roman" w:hAnsi="Times New Roman" w:cs="Times New Roman"/>
              </w:rPr>
              <w:t>"[All Fields] OR "</w:t>
            </w:r>
            <w:proofErr w:type="spellStart"/>
            <w:r w:rsidRPr="00A60661">
              <w:rPr>
                <w:rFonts w:ascii="Times New Roman" w:hAnsi="Times New Roman" w:cs="Times New Roman"/>
              </w:rPr>
              <w:t>FlyPlas</w:t>
            </w:r>
            <w:proofErr w:type="spellEnd"/>
            <w:r w:rsidRPr="00A60661">
              <w:rPr>
                <w:rFonts w:ascii="Times New Roman" w:hAnsi="Times New Roman" w:cs="Times New Roman"/>
              </w:rPr>
              <w:t xml:space="preserve">"[All Fields] </w:t>
            </w:r>
          </w:p>
          <w:p w14:paraId="0FC112AC"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OR "thawed fresh frozen plasma"[All Fields]) </w:t>
            </w:r>
          </w:p>
          <w:p w14:paraId="7CF615CA" w14:textId="77777777" w:rsidR="00A60661" w:rsidRPr="00A60661" w:rsidRDefault="00A60661" w:rsidP="00A60661">
            <w:pPr>
              <w:rPr>
                <w:rFonts w:ascii="Times New Roman" w:hAnsi="Times New Roman" w:cs="Times New Roman"/>
              </w:rPr>
            </w:pPr>
          </w:p>
          <w:p w14:paraId="07AEE743"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AND </w:t>
            </w:r>
          </w:p>
          <w:p w14:paraId="5BEAB900" w14:textId="77777777" w:rsidR="00A60661" w:rsidRPr="00A60661" w:rsidRDefault="00A60661" w:rsidP="00A60661">
            <w:pPr>
              <w:rPr>
                <w:rFonts w:ascii="Times New Roman" w:hAnsi="Times New Roman" w:cs="Times New Roman"/>
              </w:rPr>
            </w:pPr>
          </w:p>
          <w:p w14:paraId="56C80FAA"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("trauma"[All Fields] OR "hemorrhagic shock"[All Fields])) </w:t>
            </w:r>
          </w:p>
          <w:p w14:paraId="540DBE5B" w14:textId="77777777" w:rsidR="00A60661" w:rsidRPr="00A60661" w:rsidRDefault="00A60661" w:rsidP="00A60661">
            <w:pPr>
              <w:rPr>
                <w:rFonts w:ascii="Times New Roman" w:hAnsi="Times New Roman" w:cs="Times New Roman"/>
              </w:rPr>
            </w:pPr>
          </w:p>
          <w:p w14:paraId="2E4C7B7B"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AND ("2012/01/01"[Date - Publication] : "2024/12/31"[Date - Publication])</w:t>
            </w:r>
          </w:p>
        </w:tc>
      </w:tr>
      <w:tr w:rsidR="00A60661" w:rsidRPr="00A60661" w14:paraId="05026CF2" w14:textId="77777777" w:rsidTr="00985800">
        <w:tc>
          <w:tcPr>
            <w:tcW w:w="1618" w:type="dxa"/>
          </w:tcPr>
          <w:p w14:paraId="2EEA2E49"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MEDLINE (Ovid)</w:t>
            </w:r>
          </w:p>
        </w:tc>
        <w:tc>
          <w:tcPr>
            <w:tcW w:w="7107" w:type="dxa"/>
          </w:tcPr>
          <w:p w14:paraId="68FE7604"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(prehospital plasma OR plasma resuscitation OR prehospital blood components OR emergency transfusion OR trauma hemorrhage management OR lyophilized plasma OR freeze-dried plasma OR </w:t>
            </w:r>
            <w:proofErr w:type="spellStart"/>
            <w:r w:rsidRPr="00A60661">
              <w:rPr>
                <w:rFonts w:ascii="Times New Roman" w:hAnsi="Times New Roman" w:cs="Times New Roman"/>
              </w:rPr>
              <w:t>LyoPlas</w:t>
            </w:r>
            <w:proofErr w:type="spellEnd"/>
            <w:r w:rsidRPr="00A60661">
              <w:rPr>
                <w:rFonts w:ascii="Times New Roman" w:hAnsi="Times New Roman" w:cs="Times New Roman"/>
              </w:rPr>
              <w:t xml:space="preserve"> OR </w:t>
            </w:r>
            <w:proofErr w:type="spellStart"/>
            <w:r w:rsidRPr="00A60661">
              <w:rPr>
                <w:rFonts w:ascii="Times New Roman" w:hAnsi="Times New Roman" w:cs="Times New Roman"/>
              </w:rPr>
              <w:t>FlyPlas</w:t>
            </w:r>
            <w:proofErr w:type="spellEnd"/>
            <w:r w:rsidRPr="00A60661">
              <w:rPr>
                <w:rFonts w:ascii="Times New Roman" w:hAnsi="Times New Roman" w:cs="Times New Roman"/>
              </w:rPr>
              <w:t xml:space="preserve"> OR thawed fresh frozen plasma).</w:t>
            </w:r>
            <w:proofErr w:type="spellStart"/>
            <w:r w:rsidRPr="00A60661">
              <w:rPr>
                <w:rFonts w:ascii="Times New Roman" w:hAnsi="Times New Roman" w:cs="Times New Roman"/>
              </w:rPr>
              <w:t>mp</w:t>
            </w:r>
            <w:proofErr w:type="spellEnd"/>
            <w:r w:rsidRPr="00A60661">
              <w:rPr>
                <w:rFonts w:ascii="Times New Roman" w:hAnsi="Times New Roman" w:cs="Times New Roman"/>
              </w:rPr>
              <w:t>. AND (trauma OR hemorrhagic shock).</w:t>
            </w:r>
            <w:proofErr w:type="spellStart"/>
            <w:r w:rsidRPr="00A60661">
              <w:rPr>
                <w:rFonts w:ascii="Times New Roman" w:hAnsi="Times New Roman" w:cs="Times New Roman"/>
              </w:rPr>
              <w:t>mp</w:t>
            </w:r>
            <w:proofErr w:type="spellEnd"/>
            <w:r w:rsidRPr="00A60661">
              <w:rPr>
                <w:rFonts w:ascii="Times New Roman" w:hAnsi="Times New Roman" w:cs="Times New Roman"/>
              </w:rPr>
              <w:t>. Limit to yr="2012 -Current".</w:t>
            </w:r>
          </w:p>
        </w:tc>
      </w:tr>
      <w:tr w:rsidR="00A60661" w:rsidRPr="00A60661" w14:paraId="048C04E4" w14:textId="77777777" w:rsidTr="00985800">
        <w:tc>
          <w:tcPr>
            <w:tcW w:w="1618" w:type="dxa"/>
          </w:tcPr>
          <w:p w14:paraId="491A2C32"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EMBASE</w:t>
            </w:r>
          </w:p>
        </w:tc>
        <w:tc>
          <w:tcPr>
            <w:tcW w:w="7107" w:type="dxa"/>
          </w:tcPr>
          <w:p w14:paraId="0C1E616B"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('prehospital plasma':</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'plasma resuscitation':</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'prehospital blood component*':</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'emergency transfusion':</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'trauma hemorrhage management':</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'lyophilized plasma':</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'freeze dried plasma':</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w:t>
            </w:r>
            <w:proofErr w:type="spellStart"/>
            <w:r w:rsidRPr="00A60661">
              <w:rPr>
                <w:rFonts w:ascii="Times New Roman" w:hAnsi="Times New Roman" w:cs="Times New Roman"/>
              </w:rPr>
              <w:t>LyoPlas</w:t>
            </w:r>
            <w:proofErr w:type="spellEnd"/>
            <w:r w:rsidRPr="00A60661">
              <w:rPr>
                <w:rFonts w:ascii="Times New Roman" w:hAnsi="Times New Roman" w:cs="Times New Roman"/>
              </w:rPr>
              <w:t>':</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w:t>
            </w:r>
            <w:proofErr w:type="spellStart"/>
            <w:r w:rsidRPr="00A60661">
              <w:rPr>
                <w:rFonts w:ascii="Times New Roman" w:hAnsi="Times New Roman" w:cs="Times New Roman"/>
              </w:rPr>
              <w:t>FlyPlas</w:t>
            </w:r>
            <w:proofErr w:type="spellEnd"/>
            <w:r w:rsidRPr="00A60661">
              <w:rPr>
                <w:rFonts w:ascii="Times New Roman" w:hAnsi="Times New Roman" w:cs="Times New Roman"/>
              </w:rPr>
              <w:t>':</w:t>
            </w:r>
            <w:proofErr w:type="spellStart"/>
            <w:r w:rsidRPr="00A60661">
              <w:rPr>
                <w:rFonts w:ascii="Times New Roman" w:hAnsi="Times New Roman" w:cs="Times New Roman"/>
              </w:rPr>
              <w:t>ab,ti</w:t>
            </w:r>
            <w:proofErr w:type="spellEnd"/>
            <w:r w:rsidRPr="00A60661">
              <w:rPr>
                <w:rFonts w:ascii="Times New Roman" w:hAnsi="Times New Roman" w:cs="Times New Roman"/>
              </w:rPr>
              <w:t xml:space="preserve"> OR 'thawed fresh frozen plasma':</w:t>
            </w:r>
            <w:proofErr w:type="spellStart"/>
            <w:r w:rsidRPr="00A60661">
              <w:rPr>
                <w:rFonts w:ascii="Times New Roman" w:hAnsi="Times New Roman" w:cs="Times New Roman"/>
              </w:rPr>
              <w:t>ab,ti</w:t>
            </w:r>
            <w:proofErr w:type="spellEnd"/>
            <w:r w:rsidRPr="00A60661">
              <w:rPr>
                <w:rFonts w:ascii="Times New Roman" w:hAnsi="Times New Roman" w:cs="Times New Roman"/>
              </w:rPr>
              <w:t>) AND ('trauma'/exp OR 'hemorrhagic shock'/exp) AND [2012–2024]/</w:t>
            </w:r>
            <w:proofErr w:type="spellStart"/>
            <w:r w:rsidRPr="00A60661">
              <w:rPr>
                <w:rFonts w:ascii="Times New Roman" w:hAnsi="Times New Roman" w:cs="Times New Roman"/>
              </w:rPr>
              <w:t>py</w:t>
            </w:r>
            <w:proofErr w:type="spellEnd"/>
          </w:p>
        </w:tc>
      </w:tr>
      <w:tr w:rsidR="00A60661" w:rsidRPr="00A60661" w14:paraId="7F116810" w14:textId="77777777" w:rsidTr="00985800">
        <w:tc>
          <w:tcPr>
            <w:tcW w:w="1618" w:type="dxa"/>
          </w:tcPr>
          <w:p w14:paraId="0AA44917"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Cochrane Library</w:t>
            </w:r>
          </w:p>
        </w:tc>
        <w:tc>
          <w:tcPr>
            <w:tcW w:w="7107" w:type="dxa"/>
          </w:tcPr>
          <w:p w14:paraId="5B94BBEA"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 xml:space="preserve">(prehospital plasma OR ("prehospital" AND (plasma resuscitation OR blood components OR lyophilized plasma OR freeze-dried plasma OR thawed fresh frozen plasma)) OR </w:t>
            </w:r>
            <w:proofErr w:type="spellStart"/>
            <w:r w:rsidRPr="00A60661">
              <w:rPr>
                <w:rFonts w:ascii="Times New Roman" w:hAnsi="Times New Roman" w:cs="Times New Roman"/>
              </w:rPr>
              <w:t>LyoPlas</w:t>
            </w:r>
            <w:proofErr w:type="spellEnd"/>
            <w:r w:rsidRPr="00A60661">
              <w:rPr>
                <w:rFonts w:ascii="Times New Roman" w:hAnsi="Times New Roman" w:cs="Times New Roman"/>
              </w:rPr>
              <w:t xml:space="preserve"> OR </w:t>
            </w:r>
            <w:proofErr w:type="spellStart"/>
            <w:r w:rsidRPr="00A60661">
              <w:rPr>
                <w:rFonts w:ascii="Times New Roman" w:hAnsi="Times New Roman" w:cs="Times New Roman"/>
              </w:rPr>
              <w:t>FlyPlas</w:t>
            </w:r>
            <w:proofErr w:type="spellEnd"/>
            <w:r w:rsidRPr="00A60661">
              <w:rPr>
                <w:rFonts w:ascii="Times New Roman" w:hAnsi="Times New Roman" w:cs="Times New Roman"/>
              </w:rPr>
              <w:t xml:space="preserve"> OR trauma hemorrhage management) </w:t>
            </w:r>
          </w:p>
          <w:p w14:paraId="73F9E190"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lastRenderedPageBreak/>
              <w:t xml:space="preserve">AND (trauma OR hemorrhagic shock) </w:t>
            </w:r>
          </w:p>
          <w:p w14:paraId="544F3E2F" w14:textId="77777777" w:rsidR="00A60661" w:rsidRPr="00A60661" w:rsidRDefault="00A60661" w:rsidP="00A60661">
            <w:pPr>
              <w:rPr>
                <w:rFonts w:ascii="Times New Roman" w:hAnsi="Times New Roman" w:cs="Times New Roman"/>
              </w:rPr>
            </w:pPr>
            <w:r w:rsidRPr="00A60661">
              <w:rPr>
                <w:rFonts w:ascii="Times New Roman" w:hAnsi="Times New Roman" w:cs="Times New Roman"/>
              </w:rPr>
              <w:t>with Publication Year from 2012 to 2024</w:t>
            </w:r>
          </w:p>
        </w:tc>
      </w:tr>
    </w:tbl>
    <w:p w14:paraId="2C61378C" w14:textId="143CFBD5" w:rsidR="00D30493" w:rsidRDefault="00D30493" w:rsidP="00D30493">
      <w:pPr>
        <w:rPr>
          <w:rFonts w:ascii="Times New Roman" w:hAnsi="Times New Roman" w:cs="Times New Roman"/>
        </w:rPr>
      </w:pPr>
    </w:p>
    <w:p w14:paraId="0295C5D7" w14:textId="77777777" w:rsidR="00A60661" w:rsidRPr="00DA28C7" w:rsidRDefault="00A60661" w:rsidP="00D3049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7"/>
        <w:gridCol w:w="1676"/>
        <w:gridCol w:w="1832"/>
        <w:gridCol w:w="1680"/>
        <w:gridCol w:w="1050"/>
      </w:tblGrid>
      <w:tr w:rsidR="00D30493" w:rsidRPr="00DA28C7" w14:paraId="1EA5C812" w14:textId="77777777" w:rsidTr="000B7CAC">
        <w:tc>
          <w:tcPr>
            <w:tcW w:w="8815" w:type="dxa"/>
            <w:gridSpan w:val="5"/>
          </w:tcPr>
          <w:p w14:paraId="289CB3AD" w14:textId="5ABEE566" w:rsidR="00D30493" w:rsidRPr="00DA28C7" w:rsidRDefault="00D30493" w:rsidP="000B7CAC">
            <w:pPr>
              <w:spacing w:after="0" w:line="240" w:lineRule="auto"/>
              <w:rPr>
                <w:rFonts w:ascii="Times New Roman" w:hAnsi="Times New Roman" w:cs="Times New Roman"/>
                <w:b/>
                <w:bCs/>
                <w:sz w:val="20"/>
                <w:szCs w:val="20"/>
              </w:rPr>
            </w:pPr>
            <w:r w:rsidRPr="00DA28C7">
              <w:rPr>
                <w:rFonts w:ascii="Times New Roman" w:hAnsi="Times New Roman" w:cs="Times New Roman"/>
                <w:b/>
                <w:bCs/>
                <w:sz w:val="20"/>
                <w:szCs w:val="20"/>
              </w:rPr>
              <w:t xml:space="preserve">Suppl table </w:t>
            </w:r>
            <w:r w:rsidR="00A60661">
              <w:rPr>
                <w:rFonts w:ascii="Times New Roman" w:hAnsi="Times New Roman" w:cs="Times New Roman"/>
                <w:b/>
                <w:bCs/>
                <w:sz w:val="20"/>
                <w:szCs w:val="20"/>
              </w:rPr>
              <w:t>2</w:t>
            </w:r>
            <w:r w:rsidRPr="00DA28C7">
              <w:rPr>
                <w:rFonts w:ascii="Times New Roman" w:hAnsi="Times New Roman" w:cs="Times New Roman"/>
                <w:b/>
                <w:bCs/>
                <w:sz w:val="20"/>
                <w:szCs w:val="20"/>
              </w:rPr>
              <w:t>: The Newcastle-Ottawa Scale for the observational studies</w:t>
            </w:r>
          </w:p>
        </w:tc>
      </w:tr>
      <w:tr w:rsidR="00D30493" w:rsidRPr="00DA28C7" w14:paraId="6E7ED2EC" w14:textId="77777777" w:rsidTr="000B7CAC">
        <w:tc>
          <w:tcPr>
            <w:tcW w:w="2577" w:type="dxa"/>
          </w:tcPr>
          <w:p w14:paraId="58F9144F" w14:textId="77777777" w:rsidR="00D30493" w:rsidRPr="00DA28C7" w:rsidRDefault="00D30493" w:rsidP="000B7CAC">
            <w:pPr>
              <w:spacing w:after="0" w:line="240" w:lineRule="auto"/>
              <w:rPr>
                <w:rFonts w:ascii="Times New Roman" w:hAnsi="Times New Roman" w:cs="Times New Roman"/>
                <w:b/>
                <w:bCs/>
                <w:sz w:val="20"/>
                <w:szCs w:val="20"/>
              </w:rPr>
            </w:pPr>
            <w:r w:rsidRPr="00DA28C7">
              <w:rPr>
                <w:rFonts w:ascii="Times New Roman" w:hAnsi="Times New Roman" w:cs="Times New Roman"/>
                <w:b/>
                <w:bCs/>
                <w:sz w:val="20"/>
                <w:szCs w:val="20"/>
              </w:rPr>
              <w:t>Study</w:t>
            </w:r>
          </w:p>
        </w:tc>
        <w:tc>
          <w:tcPr>
            <w:tcW w:w="1676" w:type="dxa"/>
          </w:tcPr>
          <w:p w14:paraId="668CF642" w14:textId="77777777" w:rsidR="00D30493" w:rsidRPr="00DA28C7" w:rsidRDefault="00D30493" w:rsidP="000B7CAC">
            <w:pPr>
              <w:spacing w:after="0" w:line="240" w:lineRule="auto"/>
              <w:rPr>
                <w:rFonts w:ascii="Times New Roman" w:hAnsi="Times New Roman" w:cs="Times New Roman"/>
                <w:b/>
                <w:sz w:val="20"/>
                <w:szCs w:val="20"/>
              </w:rPr>
            </w:pPr>
            <w:r w:rsidRPr="00DA28C7">
              <w:rPr>
                <w:rFonts w:ascii="Times New Roman" w:hAnsi="Times New Roman" w:cs="Times New Roman"/>
                <w:b/>
                <w:sz w:val="20"/>
                <w:szCs w:val="20"/>
              </w:rPr>
              <w:t>Selection</w:t>
            </w:r>
          </w:p>
        </w:tc>
        <w:tc>
          <w:tcPr>
            <w:tcW w:w="1832" w:type="dxa"/>
          </w:tcPr>
          <w:p w14:paraId="48D040D4" w14:textId="77777777" w:rsidR="00D30493" w:rsidRPr="00DA28C7" w:rsidRDefault="00D30493" w:rsidP="000B7CAC">
            <w:pPr>
              <w:spacing w:after="0" w:line="240" w:lineRule="auto"/>
              <w:rPr>
                <w:rFonts w:ascii="Times New Roman" w:hAnsi="Times New Roman" w:cs="Times New Roman"/>
                <w:b/>
                <w:sz w:val="20"/>
                <w:szCs w:val="20"/>
              </w:rPr>
            </w:pPr>
            <w:r w:rsidRPr="00DA28C7">
              <w:rPr>
                <w:rFonts w:ascii="Times New Roman" w:hAnsi="Times New Roman" w:cs="Times New Roman"/>
                <w:b/>
                <w:sz w:val="20"/>
                <w:szCs w:val="20"/>
              </w:rPr>
              <w:t>Comparability</w:t>
            </w:r>
          </w:p>
        </w:tc>
        <w:tc>
          <w:tcPr>
            <w:tcW w:w="1680" w:type="dxa"/>
          </w:tcPr>
          <w:p w14:paraId="7853F2B5" w14:textId="77777777" w:rsidR="00D30493" w:rsidRPr="00DA28C7" w:rsidRDefault="00D30493" w:rsidP="000B7CAC">
            <w:pPr>
              <w:spacing w:after="0" w:line="240" w:lineRule="auto"/>
              <w:rPr>
                <w:rFonts w:ascii="Times New Roman" w:hAnsi="Times New Roman" w:cs="Times New Roman"/>
                <w:b/>
                <w:sz w:val="20"/>
                <w:szCs w:val="20"/>
              </w:rPr>
            </w:pPr>
            <w:r w:rsidRPr="00DA28C7">
              <w:rPr>
                <w:rFonts w:ascii="Times New Roman" w:hAnsi="Times New Roman" w:cs="Times New Roman"/>
                <w:b/>
                <w:sz w:val="20"/>
                <w:szCs w:val="20"/>
              </w:rPr>
              <w:t xml:space="preserve">Outcome </w:t>
            </w:r>
          </w:p>
        </w:tc>
        <w:tc>
          <w:tcPr>
            <w:tcW w:w="1050" w:type="dxa"/>
          </w:tcPr>
          <w:p w14:paraId="479306F5" w14:textId="77777777" w:rsidR="00D30493" w:rsidRPr="00DA28C7" w:rsidRDefault="00D30493" w:rsidP="000B7CAC">
            <w:pPr>
              <w:spacing w:after="0" w:line="240" w:lineRule="auto"/>
              <w:rPr>
                <w:rFonts w:ascii="Times New Roman" w:hAnsi="Times New Roman" w:cs="Times New Roman"/>
                <w:b/>
                <w:sz w:val="20"/>
                <w:szCs w:val="20"/>
              </w:rPr>
            </w:pPr>
            <w:r w:rsidRPr="00DA28C7">
              <w:rPr>
                <w:rFonts w:ascii="Times New Roman" w:hAnsi="Times New Roman" w:cs="Times New Roman"/>
                <w:b/>
                <w:sz w:val="20"/>
                <w:szCs w:val="20"/>
              </w:rPr>
              <w:t>Score</w:t>
            </w:r>
          </w:p>
        </w:tc>
      </w:tr>
      <w:tr w:rsidR="00D30493" w:rsidRPr="00DA28C7" w14:paraId="1E760379" w14:textId="77777777" w:rsidTr="000B7CAC">
        <w:tc>
          <w:tcPr>
            <w:tcW w:w="2577" w:type="dxa"/>
          </w:tcPr>
          <w:p w14:paraId="126E937C" w14:textId="77777777" w:rsidR="00D30493" w:rsidRPr="00DA28C7" w:rsidRDefault="00D30493" w:rsidP="000B7CAC">
            <w:pPr>
              <w:spacing w:after="0" w:line="240" w:lineRule="auto"/>
              <w:rPr>
                <w:rFonts w:ascii="Times New Roman" w:hAnsi="Times New Roman" w:cs="Times New Roman"/>
                <w:bCs/>
                <w:sz w:val="20"/>
                <w:szCs w:val="20"/>
              </w:rPr>
            </w:pPr>
            <w:proofErr w:type="spellStart"/>
            <w:r w:rsidRPr="00DA28C7">
              <w:rPr>
                <w:rFonts w:ascii="Times New Roman" w:hAnsi="Times New Roman" w:cs="Times New Roman"/>
                <w:bCs/>
                <w:sz w:val="20"/>
                <w:szCs w:val="20"/>
              </w:rPr>
              <w:t>Henrisken</w:t>
            </w:r>
            <w:proofErr w:type="spellEnd"/>
            <w:r w:rsidRPr="00DA28C7">
              <w:rPr>
                <w:rFonts w:ascii="Times New Roman" w:hAnsi="Times New Roman" w:cs="Times New Roman"/>
                <w:bCs/>
                <w:sz w:val="20"/>
                <w:szCs w:val="20"/>
              </w:rPr>
              <w:t xml:space="preserve"> 2016⃰</w:t>
            </w:r>
          </w:p>
        </w:tc>
        <w:tc>
          <w:tcPr>
            <w:tcW w:w="1676" w:type="dxa"/>
          </w:tcPr>
          <w:p w14:paraId="371CB751"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832" w:type="dxa"/>
          </w:tcPr>
          <w:p w14:paraId="63B16BE6"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2</w:t>
            </w:r>
          </w:p>
        </w:tc>
        <w:tc>
          <w:tcPr>
            <w:tcW w:w="1680" w:type="dxa"/>
          </w:tcPr>
          <w:p w14:paraId="28854FB7"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1D4FEE4F"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8/9</w:t>
            </w:r>
          </w:p>
        </w:tc>
      </w:tr>
      <w:tr w:rsidR="00D30493" w:rsidRPr="00DA28C7" w14:paraId="20728362" w14:textId="77777777" w:rsidTr="000B7CAC">
        <w:tc>
          <w:tcPr>
            <w:tcW w:w="2577" w:type="dxa"/>
          </w:tcPr>
          <w:p w14:paraId="30700A55" w14:textId="77777777" w:rsidR="00D30493" w:rsidRPr="00DA28C7" w:rsidRDefault="00D30493" w:rsidP="000B7CAC">
            <w:pPr>
              <w:spacing w:after="0" w:line="240" w:lineRule="auto"/>
              <w:rPr>
                <w:rFonts w:ascii="Times New Roman" w:hAnsi="Times New Roman" w:cs="Times New Roman"/>
                <w:bCs/>
                <w:sz w:val="20"/>
                <w:szCs w:val="20"/>
              </w:rPr>
            </w:pPr>
            <w:r w:rsidRPr="00DA28C7">
              <w:rPr>
                <w:rFonts w:ascii="Times New Roman" w:hAnsi="Times New Roman" w:cs="Times New Roman"/>
                <w:bCs/>
                <w:sz w:val="20"/>
                <w:szCs w:val="20"/>
              </w:rPr>
              <w:t>Shackelford 2017⃰</w:t>
            </w:r>
          </w:p>
        </w:tc>
        <w:tc>
          <w:tcPr>
            <w:tcW w:w="1676" w:type="dxa"/>
          </w:tcPr>
          <w:p w14:paraId="55491C65"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4</w:t>
            </w:r>
          </w:p>
        </w:tc>
        <w:tc>
          <w:tcPr>
            <w:tcW w:w="1832" w:type="dxa"/>
          </w:tcPr>
          <w:p w14:paraId="70D32D66"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2</w:t>
            </w:r>
          </w:p>
        </w:tc>
        <w:tc>
          <w:tcPr>
            <w:tcW w:w="1680" w:type="dxa"/>
          </w:tcPr>
          <w:p w14:paraId="708192AB"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35E4AAA0"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9/9</w:t>
            </w:r>
          </w:p>
        </w:tc>
      </w:tr>
      <w:tr w:rsidR="00D30493" w:rsidRPr="00DA28C7" w14:paraId="721816EE" w14:textId="77777777" w:rsidTr="000B7CAC">
        <w:tc>
          <w:tcPr>
            <w:tcW w:w="2577" w:type="dxa"/>
          </w:tcPr>
          <w:p w14:paraId="64271679" w14:textId="77777777" w:rsidR="00D30493" w:rsidRPr="00DA28C7" w:rsidRDefault="00D30493" w:rsidP="000B7CAC">
            <w:pPr>
              <w:spacing w:after="0" w:line="240" w:lineRule="auto"/>
              <w:rPr>
                <w:rFonts w:ascii="Times New Roman" w:hAnsi="Times New Roman" w:cs="Times New Roman"/>
                <w:bCs/>
                <w:sz w:val="20"/>
                <w:szCs w:val="20"/>
              </w:rPr>
            </w:pPr>
            <w:proofErr w:type="spellStart"/>
            <w:r w:rsidRPr="00DA28C7">
              <w:rPr>
                <w:rFonts w:ascii="Times New Roman" w:hAnsi="Times New Roman" w:cs="Times New Roman"/>
                <w:bCs/>
                <w:sz w:val="20"/>
                <w:szCs w:val="20"/>
              </w:rPr>
              <w:t>Holocomb</w:t>
            </w:r>
            <w:proofErr w:type="spellEnd"/>
            <w:r w:rsidRPr="00DA28C7">
              <w:rPr>
                <w:rFonts w:ascii="Times New Roman" w:hAnsi="Times New Roman" w:cs="Times New Roman"/>
                <w:bCs/>
                <w:sz w:val="20"/>
                <w:szCs w:val="20"/>
              </w:rPr>
              <w:t xml:space="preserve"> 2017</w:t>
            </w:r>
          </w:p>
        </w:tc>
        <w:tc>
          <w:tcPr>
            <w:tcW w:w="1676" w:type="dxa"/>
          </w:tcPr>
          <w:p w14:paraId="4A9611EC"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4</w:t>
            </w:r>
          </w:p>
        </w:tc>
        <w:tc>
          <w:tcPr>
            <w:tcW w:w="1832" w:type="dxa"/>
          </w:tcPr>
          <w:p w14:paraId="7A3A6F23"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2</w:t>
            </w:r>
          </w:p>
        </w:tc>
        <w:tc>
          <w:tcPr>
            <w:tcW w:w="1680" w:type="dxa"/>
          </w:tcPr>
          <w:p w14:paraId="2EC67AD7"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0F635DF4"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9/9</w:t>
            </w:r>
          </w:p>
        </w:tc>
      </w:tr>
      <w:tr w:rsidR="00D30493" w:rsidRPr="00DA28C7" w14:paraId="15A9DBC8" w14:textId="77777777" w:rsidTr="000B7CAC">
        <w:tc>
          <w:tcPr>
            <w:tcW w:w="2577" w:type="dxa"/>
          </w:tcPr>
          <w:p w14:paraId="213498A1" w14:textId="77777777" w:rsidR="00D30493" w:rsidRPr="00DA28C7" w:rsidRDefault="00D30493" w:rsidP="000B7CAC">
            <w:pPr>
              <w:spacing w:after="0" w:line="240" w:lineRule="auto"/>
              <w:rPr>
                <w:rFonts w:ascii="Times New Roman" w:hAnsi="Times New Roman" w:cs="Times New Roman"/>
                <w:bCs/>
                <w:sz w:val="20"/>
                <w:szCs w:val="20"/>
              </w:rPr>
            </w:pPr>
            <w:r w:rsidRPr="00DA28C7">
              <w:rPr>
                <w:rFonts w:ascii="Times New Roman" w:hAnsi="Times New Roman" w:cs="Times New Roman"/>
                <w:bCs/>
                <w:sz w:val="20"/>
                <w:szCs w:val="20"/>
              </w:rPr>
              <w:t>Kim 2012</w:t>
            </w:r>
          </w:p>
        </w:tc>
        <w:tc>
          <w:tcPr>
            <w:tcW w:w="1676" w:type="dxa"/>
          </w:tcPr>
          <w:p w14:paraId="79D02F2D"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832" w:type="dxa"/>
          </w:tcPr>
          <w:p w14:paraId="42AED79F"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0</w:t>
            </w:r>
          </w:p>
        </w:tc>
        <w:tc>
          <w:tcPr>
            <w:tcW w:w="1680" w:type="dxa"/>
          </w:tcPr>
          <w:p w14:paraId="4892B56B"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3F46AEBA"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6/9</w:t>
            </w:r>
          </w:p>
        </w:tc>
      </w:tr>
      <w:tr w:rsidR="00D30493" w:rsidRPr="00DA28C7" w14:paraId="72411107" w14:textId="77777777" w:rsidTr="000B7CAC">
        <w:tc>
          <w:tcPr>
            <w:tcW w:w="2577" w:type="dxa"/>
          </w:tcPr>
          <w:p w14:paraId="306142B3" w14:textId="77777777" w:rsidR="00D30493" w:rsidRPr="00DA28C7" w:rsidRDefault="00D30493" w:rsidP="000B7CAC">
            <w:pPr>
              <w:spacing w:after="0" w:line="240" w:lineRule="auto"/>
              <w:rPr>
                <w:rFonts w:ascii="Times New Roman" w:hAnsi="Times New Roman" w:cs="Times New Roman"/>
                <w:bCs/>
                <w:sz w:val="20"/>
                <w:szCs w:val="20"/>
              </w:rPr>
            </w:pPr>
            <w:r w:rsidRPr="00DA28C7">
              <w:rPr>
                <w:rFonts w:ascii="Times New Roman" w:hAnsi="Times New Roman" w:cs="Times New Roman"/>
                <w:bCs/>
                <w:sz w:val="20"/>
                <w:szCs w:val="20"/>
              </w:rPr>
              <w:t>Tucker 2023</w:t>
            </w:r>
          </w:p>
        </w:tc>
        <w:tc>
          <w:tcPr>
            <w:tcW w:w="1676" w:type="dxa"/>
          </w:tcPr>
          <w:p w14:paraId="1E48ABF7"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4</w:t>
            </w:r>
          </w:p>
        </w:tc>
        <w:tc>
          <w:tcPr>
            <w:tcW w:w="1832" w:type="dxa"/>
          </w:tcPr>
          <w:p w14:paraId="64F9DB86"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2</w:t>
            </w:r>
          </w:p>
        </w:tc>
        <w:tc>
          <w:tcPr>
            <w:tcW w:w="1680" w:type="dxa"/>
          </w:tcPr>
          <w:p w14:paraId="606797BE"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01353BBA"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9/9</w:t>
            </w:r>
          </w:p>
        </w:tc>
      </w:tr>
      <w:tr w:rsidR="00D30493" w:rsidRPr="00DA28C7" w14:paraId="47967D11" w14:textId="77777777" w:rsidTr="000B7CAC">
        <w:tc>
          <w:tcPr>
            <w:tcW w:w="2577" w:type="dxa"/>
          </w:tcPr>
          <w:p w14:paraId="45373E2B" w14:textId="77777777" w:rsidR="00D30493" w:rsidRPr="00DA28C7" w:rsidRDefault="00D30493" w:rsidP="000B7CAC">
            <w:pPr>
              <w:spacing w:after="0" w:line="240" w:lineRule="auto"/>
              <w:rPr>
                <w:rFonts w:ascii="Times New Roman" w:hAnsi="Times New Roman" w:cs="Times New Roman"/>
                <w:bCs/>
                <w:sz w:val="20"/>
                <w:szCs w:val="20"/>
              </w:rPr>
            </w:pPr>
            <w:r w:rsidRPr="00DA28C7">
              <w:rPr>
                <w:rFonts w:ascii="Times New Roman" w:hAnsi="Times New Roman" w:cs="Times New Roman"/>
                <w:bCs/>
                <w:sz w:val="20"/>
                <w:szCs w:val="20"/>
              </w:rPr>
              <w:t>Shlaifer 2018</w:t>
            </w:r>
          </w:p>
        </w:tc>
        <w:tc>
          <w:tcPr>
            <w:tcW w:w="1676" w:type="dxa"/>
          </w:tcPr>
          <w:p w14:paraId="7358C9F7"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4</w:t>
            </w:r>
          </w:p>
        </w:tc>
        <w:tc>
          <w:tcPr>
            <w:tcW w:w="1832" w:type="dxa"/>
          </w:tcPr>
          <w:p w14:paraId="3048FA79"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2</w:t>
            </w:r>
          </w:p>
        </w:tc>
        <w:tc>
          <w:tcPr>
            <w:tcW w:w="1680" w:type="dxa"/>
          </w:tcPr>
          <w:p w14:paraId="7ABDC39A"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5D05EE5E"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9/9</w:t>
            </w:r>
          </w:p>
        </w:tc>
      </w:tr>
      <w:tr w:rsidR="00D30493" w:rsidRPr="00DA28C7" w14:paraId="0D150DBB" w14:textId="77777777" w:rsidTr="000B7CAC">
        <w:tc>
          <w:tcPr>
            <w:tcW w:w="2577" w:type="dxa"/>
          </w:tcPr>
          <w:p w14:paraId="7348C4BF" w14:textId="77777777" w:rsidR="00D30493" w:rsidRPr="00DA28C7" w:rsidRDefault="00D30493" w:rsidP="000B7CAC">
            <w:pPr>
              <w:spacing w:after="0" w:line="240" w:lineRule="auto"/>
              <w:rPr>
                <w:rFonts w:ascii="Times New Roman" w:hAnsi="Times New Roman" w:cs="Times New Roman"/>
                <w:bCs/>
                <w:sz w:val="20"/>
                <w:szCs w:val="20"/>
              </w:rPr>
            </w:pPr>
            <w:r w:rsidRPr="00DA28C7">
              <w:rPr>
                <w:rFonts w:ascii="Times New Roman" w:hAnsi="Times New Roman" w:cs="Times New Roman"/>
                <w:bCs/>
                <w:sz w:val="20"/>
                <w:szCs w:val="20"/>
              </w:rPr>
              <w:t>Oakeshott 2018⃰</w:t>
            </w:r>
          </w:p>
        </w:tc>
        <w:tc>
          <w:tcPr>
            <w:tcW w:w="1676" w:type="dxa"/>
          </w:tcPr>
          <w:p w14:paraId="49B0CFD8"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4</w:t>
            </w:r>
          </w:p>
        </w:tc>
        <w:tc>
          <w:tcPr>
            <w:tcW w:w="1832" w:type="dxa"/>
          </w:tcPr>
          <w:p w14:paraId="1F226012"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0</w:t>
            </w:r>
          </w:p>
        </w:tc>
        <w:tc>
          <w:tcPr>
            <w:tcW w:w="1680" w:type="dxa"/>
          </w:tcPr>
          <w:p w14:paraId="04CC5AC6"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3</w:t>
            </w:r>
          </w:p>
        </w:tc>
        <w:tc>
          <w:tcPr>
            <w:tcW w:w="1050" w:type="dxa"/>
          </w:tcPr>
          <w:p w14:paraId="2EC3154E"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7/9</w:t>
            </w:r>
          </w:p>
        </w:tc>
      </w:tr>
      <w:tr w:rsidR="00D30493" w:rsidRPr="00DA28C7" w14:paraId="09CE1D2E" w14:textId="77777777" w:rsidTr="000B7CAC">
        <w:trPr>
          <w:trHeight w:val="377"/>
        </w:trPr>
        <w:tc>
          <w:tcPr>
            <w:tcW w:w="8815" w:type="dxa"/>
            <w:gridSpan w:val="5"/>
          </w:tcPr>
          <w:p w14:paraId="7BBC81D7" w14:textId="77777777" w:rsidR="00D30493" w:rsidRPr="00DA28C7" w:rsidRDefault="00D30493" w:rsidP="000B7CAC">
            <w:pPr>
              <w:spacing w:after="0" w:line="240" w:lineRule="auto"/>
              <w:rPr>
                <w:rFonts w:ascii="Times New Roman" w:hAnsi="Times New Roman" w:cs="Times New Roman"/>
                <w:sz w:val="20"/>
                <w:szCs w:val="20"/>
              </w:rPr>
            </w:pPr>
            <w:r w:rsidRPr="00DA28C7">
              <w:rPr>
                <w:rFonts w:ascii="Times New Roman" w:hAnsi="Times New Roman" w:cs="Times New Roman"/>
                <w:sz w:val="20"/>
                <w:szCs w:val="20"/>
              </w:rPr>
              <w:t>⃰Included in the systematic review, not in the meta-analysis</w:t>
            </w:r>
          </w:p>
        </w:tc>
      </w:tr>
    </w:tbl>
    <w:p w14:paraId="43421BCB" w14:textId="77777777" w:rsidR="00D30493" w:rsidRPr="00DA28C7" w:rsidRDefault="00D30493" w:rsidP="00D30493">
      <w:pPr>
        <w:tabs>
          <w:tab w:val="left" w:pos="5781"/>
        </w:tabs>
        <w:rPr>
          <w:rFonts w:ascii="Times New Roman" w:hAnsi="Times New Roman" w:cs="Times New Roman"/>
          <w:b/>
          <w:bCs/>
        </w:rPr>
      </w:pPr>
      <w:r w:rsidRPr="00DA28C7">
        <w:rPr>
          <w:rFonts w:ascii="Times New Roman" w:hAnsi="Times New Roman" w:cs="Times New Roman"/>
          <w:b/>
          <w:bCs/>
        </w:rPr>
        <w:tab/>
      </w:r>
    </w:p>
    <w:p w14:paraId="3EC67292" w14:textId="77777777" w:rsidR="00F30035" w:rsidRPr="00DA28C7" w:rsidRDefault="00F30035" w:rsidP="00D30493">
      <w:pPr>
        <w:tabs>
          <w:tab w:val="left" w:pos="5781"/>
        </w:tabs>
        <w:rPr>
          <w:rFonts w:ascii="Times New Roman" w:hAnsi="Times New Roman" w:cs="Times New Roman"/>
          <w:b/>
          <w:bCs/>
        </w:rPr>
      </w:pPr>
    </w:p>
    <w:p w14:paraId="75342202" w14:textId="77777777" w:rsidR="00F30035" w:rsidRPr="00DA28C7" w:rsidRDefault="00F30035" w:rsidP="00D30493">
      <w:pPr>
        <w:tabs>
          <w:tab w:val="left" w:pos="5781"/>
        </w:tabs>
        <w:rPr>
          <w:rFonts w:ascii="Times New Roman" w:hAnsi="Times New Roman" w:cs="Times New Roman"/>
          <w:b/>
          <w:bCs/>
        </w:rPr>
      </w:pPr>
    </w:p>
    <w:p w14:paraId="45D212C3" w14:textId="77777777" w:rsidR="00F30035" w:rsidRPr="00DA28C7" w:rsidRDefault="00F30035" w:rsidP="00D30493">
      <w:pPr>
        <w:tabs>
          <w:tab w:val="left" w:pos="5781"/>
        </w:tabs>
        <w:rPr>
          <w:rFonts w:ascii="Times New Roman" w:hAnsi="Times New Roman" w:cs="Times New Roman"/>
          <w:b/>
          <w:bCs/>
        </w:rPr>
      </w:pPr>
    </w:p>
    <w:tbl>
      <w:tblPr>
        <w:tblStyle w:val="TableGrid1"/>
        <w:tblpPr w:leftFromText="180" w:rightFromText="180" w:vertAnchor="text" w:tblpY="1"/>
        <w:tblW w:w="8815" w:type="dxa"/>
        <w:tblLook w:val="04A0" w:firstRow="1" w:lastRow="0" w:firstColumn="1" w:lastColumn="0" w:noHBand="0" w:noVBand="1"/>
      </w:tblPr>
      <w:tblGrid>
        <w:gridCol w:w="1709"/>
        <w:gridCol w:w="583"/>
        <w:gridCol w:w="1963"/>
        <w:gridCol w:w="806"/>
        <w:gridCol w:w="1047"/>
        <w:gridCol w:w="1009"/>
        <w:gridCol w:w="1698"/>
      </w:tblGrid>
      <w:tr w:rsidR="00D30493" w:rsidRPr="00DA28C7" w14:paraId="2643436F" w14:textId="77777777" w:rsidTr="000B7CAC">
        <w:trPr>
          <w:trHeight w:val="350"/>
        </w:trPr>
        <w:tc>
          <w:tcPr>
            <w:tcW w:w="8815" w:type="dxa"/>
            <w:gridSpan w:val="7"/>
            <w:hideMark/>
          </w:tcPr>
          <w:p w14:paraId="5A31096B" w14:textId="687361E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 </w:t>
            </w:r>
            <w:proofErr w:type="spellStart"/>
            <w:r w:rsidRPr="00DA28C7">
              <w:rPr>
                <w:rFonts w:ascii="Times New Roman" w:eastAsia="Times New Roman" w:hAnsi="Times New Roman" w:cs="Times New Roman"/>
                <w:b/>
                <w:bCs/>
                <w:color w:val="000000"/>
                <w:sz w:val="20"/>
                <w:szCs w:val="20"/>
              </w:rPr>
              <w:t>Supl</w:t>
            </w:r>
            <w:proofErr w:type="spellEnd"/>
            <w:r w:rsidRPr="00DA28C7">
              <w:rPr>
                <w:rFonts w:ascii="Times New Roman" w:eastAsia="Times New Roman" w:hAnsi="Times New Roman" w:cs="Times New Roman"/>
                <w:b/>
                <w:bCs/>
                <w:color w:val="000000"/>
                <w:sz w:val="20"/>
                <w:szCs w:val="20"/>
              </w:rPr>
              <w:t xml:space="preserve"> table </w:t>
            </w:r>
            <w:r w:rsidR="00A60661">
              <w:rPr>
                <w:rFonts w:ascii="Times New Roman" w:eastAsia="Times New Roman" w:hAnsi="Times New Roman" w:cs="Times New Roman"/>
                <w:b/>
                <w:bCs/>
                <w:color w:val="000000"/>
                <w:sz w:val="20"/>
                <w:szCs w:val="20"/>
              </w:rPr>
              <w:t>3</w:t>
            </w:r>
            <w:r w:rsidRPr="00DA28C7">
              <w:rPr>
                <w:rFonts w:ascii="Times New Roman" w:eastAsia="Times New Roman" w:hAnsi="Times New Roman" w:cs="Times New Roman"/>
                <w:b/>
                <w:bCs/>
                <w:color w:val="000000"/>
                <w:sz w:val="20"/>
                <w:szCs w:val="20"/>
              </w:rPr>
              <w:t>: Cochrane ROB2 assessment of Randomized controlled trials</w:t>
            </w:r>
          </w:p>
        </w:tc>
      </w:tr>
      <w:tr w:rsidR="00D30493" w:rsidRPr="00DA28C7" w14:paraId="585C1AAF" w14:textId="77777777" w:rsidTr="000B7CAC">
        <w:trPr>
          <w:trHeight w:val="300"/>
        </w:trPr>
        <w:tc>
          <w:tcPr>
            <w:tcW w:w="1721" w:type="dxa"/>
          </w:tcPr>
          <w:p w14:paraId="7D7ED2EF"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p>
        </w:tc>
        <w:tc>
          <w:tcPr>
            <w:tcW w:w="5384" w:type="dxa"/>
            <w:gridSpan w:val="5"/>
          </w:tcPr>
          <w:p w14:paraId="056F2452"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Risk of bias domains</w:t>
            </w:r>
          </w:p>
        </w:tc>
        <w:tc>
          <w:tcPr>
            <w:tcW w:w="1710" w:type="dxa"/>
          </w:tcPr>
          <w:p w14:paraId="13D11D42"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p>
        </w:tc>
      </w:tr>
      <w:tr w:rsidR="00D30493" w:rsidRPr="00DA28C7" w14:paraId="2A0658D6" w14:textId="77777777" w:rsidTr="000B7CAC">
        <w:trPr>
          <w:trHeight w:val="300"/>
        </w:trPr>
        <w:tc>
          <w:tcPr>
            <w:tcW w:w="1721" w:type="dxa"/>
            <w:hideMark/>
          </w:tcPr>
          <w:p w14:paraId="60787DC5"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 </w:t>
            </w:r>
          </w:p>
        </w:tc>
        <w:tc>
          <w:tcPr>
            <w:tcW w:w="524" w:type="dxa"/>
            <w:hideMark/>
          </w:tcPr>
          <w:p w14:paraId="097DD260"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D1</w:t>
            </w:r>
          </w:p>
        </w:tc>
        <w:tc>
          <w:tcPr>
            <w:tcW w:w="1980" w:type="dxa"/>
            <w:hideMark/>
          </w:tcPr>
          <w:p w14:paraId="3AFC5E41"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D2*</w:t>
            </w:r>
          </w:p>
        </w:tc>
        <w:tc>
          <w:tcPr>
            <w:tcW w:w="810" w:type="dxa"/>
            <w:hideMark/>
          </w:tcPr>
          <w:p w14:paraId="7EB8B1FC"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D3</w:t>
            </w:r>
          </w:p>
        </w:tc>
        <w:tc>
          <w:tcPr>
            <w:tcW w:w="1054" w:type="dxa"/>
            <w:hideMark/>
          </w:tcPr>
          <w:p w14:paraId="0E91109A"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D4</w:t>
            </w:r>
          </w:p>
        </w:tc>
        <w:tc>
          <w:tcPr>
            <w:tcW w:w="1016" w:type="dxa"/>
            <w:hideMark/>
          </w:tcPr>
          <w:p w14:paraId="6E36A7C1"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D5</w:t>
            </w:r>
          </w:p>
        </w:tc>
        <w:tc>
          <w:tcPr>
            <w:tcW w:w="1710" w:type="dxa"/>
            <w:hideMark/>
          </w:tcPr>
          <w:p w14:paraId="41CE7FB7"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Overall</w:t>
            </w:r>
          </w:p>
        </w:tc>
      </w:tr>
      <w:tr w:rsidR="00D30493" w:rsidRPr="00DA28C7" w14:paraId="63E905AC" w14:textId="77777777" w:rsidTr="000B7CAC">
        <w:trPr>
          <w:trHeight w:val="362"/>
        </w:trPr>
        <w:tc>
          <w:tcPr>
            <w:tcW w:w="1721" w:type="dxa"/>
            <w:hideMark/>
          </w:tcPr>
          <w:p w14:paraId="508ADCE9"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Mitra 2023</w:t>
            </w:r>
          </w:p>
        </w:tc>
        <w:tc>
          <w:tcPr>
            <w:tcW w:w="524" w:type="dxa"/>
            <w:shd w:val="clear" w:color="auto" w:fill="70AD47"/>
            <w:hideMark/>
          </w:tcPr>
          <w:p w14:paraId="7A49C84F"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980" w:type="dxa"/>
            <w:shd w:val="clear" w:color="auto" w:fill="E6AF00"/>
            <w:hideMark/>
          </w:tcPr>
          <w:p w14:paraId="7B966D97"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c>
          <w:tcPr>
            <w:tcW w:w="810" w:type="dxa"/>
            <w:shd w:val="clear" w:color="auto" w:fill="70AD47"/>
            <w:hideMark/>
          </w:tcPr>
          <w:p w14:paraId="54F73377"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54" w:type="dxa"/>
            <w:shd w:val="clear" w:color="auto" w:fill="70AD47"/>
            <w:hideMark/>
          </w:tcPr>
          <w:p w14:paraId="2A7E2E94"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16" w:type="dxa"/>
            <w:shd w:val="clear" w:color="auto" w:fill="70AD47"/>
            <w:hideMark/>
          </w:tcPr>
          <w:p w14:paraId="45CDAF25"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710" w:type="dxa"/>
            <w:shd w:val="clear" w:color="auto" w:fill="DEA900"/>
            <w:hideMark/>
          </w:tcPr>
          <w:p w14:paraId="7EC4EDF0"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r>
      <w:tr w:rsidR="00D30493" w:rsidRPr="00DA28C7" w14:paraId="4101AAA0" w14:textId="77777777" w:rsidTr="000B7CAC">
        <w:trPr>
          <w:trHeight w:val="353"/>
        </w:trPr>
        <w:tc>
          <w:tcPr>
            <w:tcW w:w="1721" w:type="dxa"/>
            <w:hideMark/>
          </w:tcPr>
          <w:p w14:paraId="7D8B907D"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Jost 2022</w:t>
            </w:r>
          </w:p>
        </w:tc>
        <w:tc>
          <w:tcPr>
            <w:tcW w:w="524" w:type="dxa"/>
            <w:shd w:val="clear" w:color="auto" w:fill="70AD47"/>
            <w:hideMark/>
          </w:tcPr>
          <w:p w14:paraId="6E331906"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980" w:type="dxa"/>
            <w:shd w:val="clear" w:color="auto" w:fill="E6AF00"/>
            <w:hideMark/>
          </w:tcPr>
          <w:p w14:paraId="3953E0B5"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c>
          <w:tcPr>
            <w:tcW w:w="810" w:type="dxa"/>
            <w:shd w:val="clear" w:color="auto" w:fill="70AD47"/>
            <w:hideMark/>
          </w:tcPr>
          <w:p w14:paraId="61E05E63"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p w14:paraId="7791E59C"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p>
        </w:tc>
        <w:tc>
          <w:tcPr>
            <w:tcW w:w="1054" w:type="dxa"/>
            <w:shd w:val="clear" w:color="auto" w:fill="70AD47"/>
            <w:hideMark/>
          </w:tcPr>
          <w:p w14:paraId="33229639"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16" w:type="dxa"/>
            <w:shd w:val="clear" w:color="auto" w:fill="70AD47"/>
            <w:hideMark/>
          </w:tcPr>
          <w:p w14:paraId="50E9C89F"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710" w:type="dxa"/>
            <w:shd w:val="clear" w:color="auto" w:fill="DEA900"/>
            <w:hideMark/>
          </w:tcPr>
          <w:p w14:paraId="33C25347"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r>
      <w:tr w:rsidR="00D30493" w:rsidRPr="00DA28C7" w14:paraId="72BC111D" w14:textId="77777777" w:rsidTr="000B7CAC">
        <w:trPr>
          <w:trHeight w:val="353"/>
        </w:trPr>
        <w:tc>
          <w:tcPr>
            <w:tcW w:w="1721" w:type="dxa"/>
            <w:hideMark/>
          </w:tcPr>
          <w:p w14:paraId="77FBA22D"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Moore 2018</w:t>
            </w:r>
          </w:p>
        </w:tc>
        <w:tc>
          <w:tcPr>
            <w:tcW w:w="524" w:type="dxa"/>
            <w:shd w:val="clear" w:color="auto" w:fill="70AD47"/>
            <w:hideMark/>
          </w:tcPr>
          <w:p w14:paraId="0B898153"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980" w:type="dxa"/>
            <w:shd w:val="clear" w:color="auto" w:fill="E6AF00"/>
            <w:hideMark/>
          </w:tcPr>
          <w:p w14:paraId="35331310"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c>
          <w:tcPr>
            <w:tcW w:w="810" w:type="dxa"/>
            <w:shd w:val="clear" w:color="auto" w:fill="70AD47"/>
            <w:hideMark/>
          </w:tcPr>
          <w:p w14:paraId="036F125A"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54" w:type="dxa"/>
            <w:shd w:val="clear" w:color="auto" w:fill="70AD47"/>
            <w:hideMark/>
          </w:tcPr>
          <w:p w14:paraId="571FA963"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16" w:type="dxa"/>
            <w:shd w:val="clear" w:color="auto" w:fill="70AD47"/>
            <w:hideMark/>
          </w:tcPr>
          <w:p w14:paraId="74B2189F"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710" w:type="dxa"/>
            <w:shd w:val="clear" w:color="auto" w:fill="DEA900"/>
            <w:hideMark/>
          </w:tcPr>
          <w:p w14:paraId="6F678DE9"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r>
      <w:tr w:rsidR="00D30493" w:rsidRPr="00DA28C7" w14:paraId="10C5BBB9" w14:textId="77777777" w:rsidTr="000B7CAC">
        <w:trPr>
          <w:trHeight w:val="335"/>
        </w:trPr>
        <w:tc>
          <w:tcPr>
            <w:tcW w:w="1721" w:type="dxa"/>
            <w:hideMark/>
          </w:tcPr>
          <w:p w14:paraId="33E96DE9"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Sperry 2018</w:t>
            </w:r>
          </w:p>
        </w:tc>
        <w:tc>
          <w:tcPr>
            <w:tcW w:w="524" w:type="dxa"/>
            <w:shd w:val="clear" w:color="auto" w:fill="70AD47"/>
            <w:hideMark/>
          </w:tcPr>
          <w:p w14:paraId="1D2A5E89"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980" w:type="dxa"/>
            <w:shd w:val="clear" w:color="auto" w:fill="E6AF00"/>
            <w:hideMark/>
          </w:tcPr>
          <w:p w14:paraId="7D796DE8"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c>
          <w:tcPr>
            <w:tcW w:w="810" w:type="dxa"/>
            <w:shd w:val="clear" w:color="auto" w:fill="70AD47"/>
            <w:hideMark/>
          </w:tcPr>
          <w:p w14:paraId="367A49B4"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54" w:type="dxa"/>
            <w:shd w:val="clear" w:color="auto" w:fill="70AD47"/>
            <w:hideMark/>
          </w:tcPr>
          <w:p w14:paraId="0C6A51F0"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16" w:type="dxa"/>
            <w:shd w:val="clear" w:color="auto" w:fill="70AD47"/>
            <w:hideMark/>
          </w:tcPr>
          <w:p w14:paraId="65D62BF8"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710" w:type="dxa"/>
            <w:shd w:val="clear" w:color="auto" w:fill="DEA900"/>
            <w:hideMark/>
          </w:tcPr>
          <w:p w14:paraId="6461A361"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r>
      <w:tr w:rsidR="00D30493" w:rsidRPr="00DA28C7" w14:paraId="6C34963A" w14:textId="77777777" w:rsidTr="000B7CAC">
        <w:trPr>
          <w:trHeight w:val="398"/>
        </w:trPr>
        <w:tc>
          <w:tcPr>
            <w:tcW w:w="1721" w:type="dxa"/>
            <w:hideMark/>
          </w:tcPr>
          <w:p w14:paraId="0CBF68E0" w14:textId="77777777" w:rsidR="00D30493" w:rsidRPr="00DA28C7" w:rsidRDefault="00D30493" w:rsidP="000B7CAC">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Crombie 2023</w:t>
            </w:r>
          </w:p>
        </w:tc>
        <w:tc>
          <w:tcPr>
            <w:tcW w:w="524" w:type="dxa"/>
            <w:shd w:val="clear" w:color="auto" w:fill="70AD47"/>
            <w:hideMark/>
          </w:tcPr>
          <w:p w14:paraId="2627037D"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980" w:type="dxa"/>
            <w:shd w:val="clear" w:color="auto" w:fill="E6AF00"/>
            <w:hideMark/>
          </w:tcPr>
          <w:p w14:paraId="41BD8908"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c>
          <w:tcPr>
            <w:tcW w:w="810" w:type="dxa"/>
            <w:shd w:val="clear" w:color="auto" w:fill="70AD47"/>
            <w:hideMark/>
          </w:tcPr>
          <w:p w14:paraId="1F3EE1B5"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54" w:type="dxa"/>
            <w:shd w:val="clear" w:color="auto" w:fill="70AD47"/>
            <w:hideMark/>
          </w:tcPr>
          <w:p w14:paraId="4A65A283"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016" w:type="dxa"/>
            <w:shd w:val="clear" w:color="auto" w:fill="70AD47"/>
            <w:hideMark/>
          </w:tcPr>
          <w:p w14:paraId="3818598D"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c>
          <w:tcPr>
            <w:tcW w:w="1710" w:type="dxa"/>
            <w:shd w:val="clear" w:color="auto" w:fill="DEA900"/>
            <w:hideMark/>
          </w:tcPr>
          <w:p w14:paraId="19304786"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Some concerns</w:t>
            </w:r>
          </w:p>
        </w:tc>
      </w:tr>
      <w:tr w:rsidR="00D30493" w:rsidRPr="00DA28C7" w14:paraId="57DF94DF" w14:textId="77777777" w:rsidTr="000B7CAC">
        <w:trPr>
          <w:trHeight w:val="576"/>
        </w:trPr>
        <w:tc>
          <w:tcPr>
            <w:tcW w:w="8815" w:type="dxa"/>
            <w:gridSpan w:val="7"/>
            <w:hideMark/>
          </w:tcPr>
          <w:p w14:paraId="387411E7" w14:textId="77777777" w:rsidR="00D30493" w:rsidRPr="00DA28C7" w:rsidRDefault="00D30493" w:rsidP="000B7CAC">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ROB: Risk of bias, D1: Risk of bias arising from the randomization process; D2: Risk of bias due to deviations from the intended interventions; D3: Missing outcome data; D4: Risk of bias in measurement of the outcome; D5: Risk of bias in selection of the reported result. *All studies were open label, no deviations from the protocol were reported. Therefore, we did not downgrade the D2 to high-risk.</w:t>
            </w:r>
          </w:p>
        </w:tc>
      </w:tr>
    </w:tbl>
    <w:p w14:paraId="375F1391" w14:textId="77777777" w:rsidR="00D30493" w:rsidRPr="00DA28C7" w:rsidRDefault="00D30493" w:rsidP="00D30493">
      <w:pPr>
        <w:rPr>
          <w:rFonts w:ascii="Times New Roman" w:hAnsi="Times New Roman" w:cs="Times New Roman"/>
        </w:rPr>
      </w:pPr>
    </w:p>
    <w:p w14:paraId="29BDA9B0" w14:textId="77777777" w:rsidR="00D30493" w:rsidRPr="00DA28C7" w:rsidRDefault="00D30493">
      <w:pPr>
        <w:rPr>
          <w:rFonts w:ascii="Times New Roman" w:hAnsi="Times New Roman" w:cs="Times New Roman"/>
        </w:rPr>
      </w:pPr>
    </w:p>
    <w:p w14:paraId="4B6BC583" w14:textId="77777777" w:rsidR="00D30493" w:rsidRPr="00DA28C7" w:rsidRDefault="00D30493">
      <w:pPr>
        <w:rPr>
          <w:rFonts w:ascii="Times New Roman" w:hAnsi="Times New Roman" w:cs="Times New Roman"/>
        </w:rPr>
      </w:pPr>
    </w:p>
    <w:p w14:paraId="0C9679FD" w14:textId="77777777" w:rsidR="00D30493" w:rsidRPr="00DA28C7" w:rsidRDefault="00D30493">
      <w:pPr>
        <w:rPr>
          <w:rFonts w:ascii="Times New Roman" w:hAnsi="Times New Roman" w:cs="Times New Roman"/>
        </w:rPr>
      </w:pPr>
    </w:p>
    <w:p w14:paraId="40385DC9" w14:textId="77777777" w:rsidR="00D30493" w:rsidRPr="00DA28C7" w:rsidRDefault="00D30493">
      <w:pPr>
        <w:rPr>
          <w:rFonts w:ascii="Times New Roman" w:hAnsi="Times New Roman" w:cs="Times New Roman"/>
        </w:rPr>
      </w:pPr>
    </w:p>
    <w:p w14:paraId="45FB5CB3" w14:textId="77777777" w:rsidR="00D30493" w:rsidRPr="00DA28C7" w:rsidRDefault="00D30493">
      <w:pPr>
        <w:rPr>
          <w:rFonts w:ascii="Times New Roman" w:hAnsi="Times New Roman" w:cs="Times New Roman"/>
        </w:rPr>
      </w:pPr>
    </w:p>
    <w:p w14:paraId="0566CE53" w14:textId="77777777" w:rsidR="00D30493" w:rsidRPr="00DA28C7" w:rsidRDefault="00D30493">
      <w:pPr>
        <w:rPr>
          <w:rFonts w:ascii="Times New Roman" w:hAnsi="Times New Roman" w:cs="Times New Roman"/>
        </w:rPr>
      </w:pPr>
    </w:p>
    <w:p w14:paraId="043527F1" w14:textId="77777777" w:rsidR="00D30493" w:rsidRPr="00DA28C7" w:rsidRDefault="00D30493">
      <w:pPr>
        <w:rPr>
          <w:rFonts w:ascii="Times New Roman" w:hAnsi="Times New Roman" w:cs="Times New Roman"/>
        </w:rPr>
      </w:pPr>
    </w:p>
    <w:p w14:paraId="5D3A0287" w14:textId="77777777" w:rsidR="00D30493" w:rsidRPr="00DA28C7" w:rsidRDefault="00D30493">
      <w:pPr>
        <w:rPr>
          <w:rFonts w:ascii="Times New Roman" w:hAnsi="Times New Roman" w:cs="Times New Roman"/>
        </w:rPr>
      </w:pPr>
    </w:p>
    <w:p w14:paraId="7BBD64D5" w14:textId="1022F43E" w:rsidR="00F520E8" w:rsidRPr="00DA28C7" w:rsidRDefault="00F520E8" w:rsidP="00F520E8">
      <w:pPr>
        <w:rPr>
          <w:rFonts w:ascii="Times New Roman" w:hAnsi="Times New Roman" w:cs="Times New Roman"/>
          <w:sz w:val="24"/>
          <w:szCs w:val="24"/>
        </w:rPr>
      </w:pPr>
    </w:p>
    <w:tbl>
      <w:tblPr>
        <w:tblW w:w="9450" w:type="dxa"/>
        <w:tblInd w:w="-10" w:type="dxa"/>
        <w:tblLook w:val="04A0" w:firstRow="1" w:lastRow="0" w:firstColumn="1" w:lastColumn="0" w:noHBand="0" w:noVBand="1"/>
      </w:tblPr>
      <w:tblGrid>
        <w:gridCol w:w="2092"/>
        <w:gridCol w:w="4735"/>
        <w:gridCol w:w="1595"/>
        <w:gridCol w:w="1028"/>
      </w:tblGrid>
      <w:tr w:rsidR="00A9394A" w:rsidRPr="00DA28C7" w14:paraId="35E78DCE" w14:textId="77777777" w:rsidTr="00581B43">
        <w:trPr>
          <w:trHeight w:val="552"/>
        </w:trPr>
        <w:tc>
          <w:tcPr>
            <w:tcW w:w="9450" w:type="dxa"/>
            <w:gridSpan w:val="4"/>
            <w:tcBorders>
              <w:top w:val="single" w:sz="8" w:space="0" w:color="CCCCCC"/>
              <w:left w:val="single" w:sz="8" w:space="0" w:color="CCCCCC"/>
              <w:bottom w:val="single" w:sz="8" w:space="0" w:color="CCCCCC"/>
              <w:right w:val="single" w:sz="8" w:space="0" w:color="CCCCCC"/>
            </w:tcBorders>
            <w:vAlign w:val="bottom"/>
          </w:tcPr>
          <w:p w14:paraId="2FADB438" w14:textId="40DBBE14"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sz w:val="20"/>
                <w:szCs w:val="20"/>
              </w:rPr>
              <w:t>Suppl</w:t>
            </w:r>
            <w:r w:rsidR="00A60661">
              <w:rPr>
                <w:rFonts w:ascii="Times New Roman" w:eastAsia="Times New Roman" w:hAnsi="Times New Roman" w:cs="Times New Roman"/>
                <w:sz w:val="20"/>
                <w:szCs w:val="20"/>
              </w:rPr>
              <w:t xml:space="preserve"> table 4</w:t>
            </w:r>
            <w:r w:rsidRPr="00DA28C7">
              <w:rPr>
                <w:rFonts w:ascii="Times New Roman" w:eastAsia="Times New Roman" w:hAnsi="Times New Roman" w:cs="Times New Roman"/>
                <w:sz w:val="20"/>
                <w:szCs w:val="20"/>
              </w:rPr>
              <w:t>. GRADE assessment</w:t>
            </w:r>
          </w:p>
        </w:tc>
      </w:tr>
      <w:tr w:rsidR="00A9394A" w:rsidRPr="00DA28C7" w14:paraId="6CB01483" w14:textId="77777777" w:rsidTr="00581B43">
        <w:trPr>
          <w:trHeight w:val="552"/>
        </w:trPr>
        <w:tc>
          <w:tcPr>
            <w:tcW w:w="9450" w:type="dxa"/>
            <w:gridSpan w:val="4"/>
            <w:tcBorders>
              <w:top w:val="single" w:sz="8" w:space="0" w:color="CCCCCC"/>
              <w:left w:val="single" w:sz="8" w:space="0" w:color="CCCCCC"/>
              <w:bottom w:val="single" w:sz="8" w:space="0" w:color="CCCCCC"/>
              <w:right w:val="single" w:sz="8" w:space="0" w:color="CCCCCC"/>
            </w:tcBorders>
            <w:vAlign w:val="bottom"/>
          </w:tcPr>
          <w:p w14:paraId="0F37D9ED" w14:textId="0B8B300E"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GRADE assessment for 24</w:t>
            </w:r>
            <w:r w:rsidR="00985800">
              <w:rPr>
                <w:rFonts w:ascii="Times New Roman" w:eastAsia="Times New Roman" w:hAnsi="Times New Roman" w:cs="Times New Roman"/>
                <w:b/>
                <w:bCs/>
                <w:color w:val="000000"/>
                <w:sz w:val="20"/>
                <w:szCs w:val="20"/>
              </w:rPr>
              <w:t>-hour</w:t>
            </w:r>
            <w:r w:rsidR="00985800" w:rsidRPr="00DA28C7">
              <w:rPr>
                <w:rFonts w:ascii="Times New Roman" w:eastAsia="Times New Roman" w:hAnsi="Times New Roman" w:cs="Times New Roman"/>
                <w:b/>
                <w:bCs/>
                <w:color w:val="000000"/>
                <w:sz w:val="20"/>
                <w:szCs w:val="20"/>
              </w:rPr>
              <w:t xml:space="preserve"> </w:t>
            </w:r>
            <w:r w:rsidRPr="00DA28C7">
              <w:rPr>
                <w:rFonts w:ascii="Times New Roman" w:eastAsia="Times New Roman" w:hAnsi="Times New Roman" w:cs="Times New Roman"/>
                <w:b/>
                <w:bCs/>
                <w:color w:val="000000"/>
                <w:sz w:val="20"/>
                <w:szCs w:val="20"/>
              </w:rPr>
              <w:t>mortality</w:t>
            </w:r>
          </w:p>
        </w:tc>
      </w:tr>
      <w:tr w:rsidR="00A9394A" w:rsidRPr="00DA28C7" w14:paraId="1ED5412E" w14:textId="77777777" w:rsidTr="00581B43">
        <w:trPr>
          <w:trHeight w:val="552"/>
        </w:trPr>
        <w:tc>
          <w:tcPr>
            <w:tcW w:w="2092" w:type="dxa"/>
            <w:tcBorders>
              <w:top w:val="single" w:sz="8" w:space="0" w:color="CCCCCC"/>
              <w:left w:val="single" w:sz="8" w:space="0" w:color="CCCCCC"/>
              <w:bottom w:val="single" w:sz="8" w:space="0" w:color="CCCCCC"/>
              <w:right w:val="single" w:sz="8" w:space="0" w:color="CCCCCC"/>
            </w:tcBorders>
            <w:vAlign w:val="bottom"/>
            <w:hideMark/>
          </w:tcPr>
          <w:p w14:paraId="3A0FE75E" w14:textId="77777777"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Criteria</w:t>
            </w:r>
          </w:p>
        </w:tc>
        <w:tc>
          <w:tcPr>
            <w:tcW w:w="4735" w:type="dxa"/>
            <w:tcBorders>
              <w:top w:val="single" w:sz="8" w:space="0" w:color="CCCCCC"/>
              <w:left w:val="nil"/>
              <w:bottom w:val="single" w:sz="8" w:space="0" w:color="CCCCCC"/>
              <w:right w:val="single" w:sz="8" w:space="0" w:color="CCCCCC"/>
            </w:tcBorders>
            <w:vAlign w:val="bottom"/>
            <w:hideMark/>
          </w:tcPr>
          <w:p w14:paraId="0F2BCBB5" w14:textId="77777777"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Assessment</w:t>
            </w:r>
          </w:p>
        </w:tc>
        <w:tc>
          <w:tcPr>
            <w:tcW w:w="1595" w:type="dxa"/>
            <w:tcBorders>
              <w:top w:val="single" w:sz="8" w:space="0" w:color="CCCCCC"/>
              <w:left w:val="nil"/>
              <w:bottom w:val="single" w:sz="8" w:space="0" w:color="CCCCCC"/>
              <w:right w:val="single" w:sz="8" w:space="0" w:color="CCCCCC"/>
            </w:tcBorders>
            <w:vAlign w:val="bottom"/>
            <w:hideMark/>
          </w:tcPr>
          <w:p w14:paraId="1E3287F8" w14:textId="77777777"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Effect on Quality</w:t>
            </w:r>
          </w:p>
        </w:tc>
        <w:tc>
          <w:tcPr>
            <w:tcW w:w="1028" w:type="dxa"/>
            <w:tcBorders>
              <w:top w:val="single" w:sz="8" w:space="0" w:color="CCCCCC"/>
              <w:left w:val="nil"/>
              <w:bottom w:val="single" w:sz="8" w:space="0" w:color="CCCCCC"/>
              <w:right w:val="single" w:sz="8" w:space="0" w:color="CCCCCC"/>
            </w:tcBorders>
            <w:noWrap/>
            <w:vAlign w:val="center"/>
            <w:hideMark/>
          </w:tcPr>
          <w:p w14:paraId="1396E4D3" w14:textId="77777777"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Resulting Quality of Evidence</w:t>
            </w:r>
          </w:p>
        </w:tc>
      </w:tr>
      <w:tr w:rsidR="00A9394A" w:rsidRPr="00DA28C7" w14:paraId="30DFB611" w14:textId="77777777" w:rsidTr="00581B43">
        <w:trPr>
          <w:trHeight w:val="816"/>
        </w:trPr>
        <w:tc>
          <w:tcPr>
            <w:tcW w:w="2092" w:type="dxa"/>
            <w:tcBorders>
              <w:top w:val="nil"/>
              <w:left w:val="single" w:sz="8" w:space="0" w:color="CCCCCC"/>
              <w:bottom w:val="single" w:sz="8" w:space="0" w:color="CCCCCC"/>
              <w:right w:val="single" w:sz="8" w:space="0" w:color="CCCCCC"/>
            </w:tcBorders>
            <w:vAlign w:val="bottom"/>
            <w:hideMark/>
          </w:tcPr>
          <w:p w14:paraId="763242F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Starting Quality of Evidence</w:t>
            </w:r>
          </w:p>
        </w:tc>
        <w:tc>
          <w:tcPr>
            <w:tcW w:w="4735" w:type="dxa"/>
            <w:tcBorders>
              <w:top w:val="nil"/>
              <w:left w:val="nil"/>
              <w:bottom w:val="single" w:sz="8" w:space="0" w:color="CCCCCC"/>
              <w:right w:val="single" w:sz="8" w:space="0" w:color="CCCCCC"/>
            </w:tcBorders>
            <w:noWrap/>
            <w:vAlign w:val="center"/>
            <w:hideMark/>
          </w:tcPr>
          <w:p w14:paraId="01402C51"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 (Reason: Mixed evidence from 3 RCTs and 1 influential prospective non-RCT).</w:t>
            </w:r>
          </w:p>
        </w:tc>
        <w:tc>
          <w:tcPr>
            <w:tcW w:w="1595" w:type="dxa"/>
            <w:tcBorders>
              <w:top w:val="nil"/>
              <w:left w:val="nil"/>
              <w:bottom w:val="single" w:sz="8" w:space="0" w:color="CCCCCC"/>
              <w:right w:val="single" w:sz="8" w:space="0" w:color="CCCCCC"/>
            </w:tcBorders>
            <w:vAlign w:val="bottom"/>
            <w:hideMark/>
          </w:tcPr>
          <w:p w14:paraId="15F0DB9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 </w:t>
            </w:r>
          </w:p>
        </w:tc>
        <w:tc>
          <w:tcPr>
            <w:tcW w:w="1028" w:type="dxa"/>
            <w:tcBorders>
              <w:top w:val="nil"/>
              <w:left w:val="nil"/>
              <w:bottom w:val="single" w:sz="8" w:space="0" w:color="CCCCCC"/>
              <w:right w:val="single" w:sz="8" w:space="0" w:color="CCCCCC"/>
            </w:tcBorders>
            <w:vAlign w:val="bottom"/>
            <w:hideMark/>
          </w:tcPr>
          <w:p w14:paraId="54252A9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5A02A842" w14:textId="77777777" w:rsidTr="00581B43">
        <w:trPr>
          <w:trHeight w:val="1344"/>
        </w:trPr>
        <w:tc>
          <w:tcPr>
            <w:tcW w:w="2092" w:type="dxa"/>
            <w:tcBorders>
              <w:top w:val="nil"/>
              <w:left w:val="single" w:sz="8" w:space="0" w:color="CCCCCC"/>
              <w:bottom w:val="single" w:sz="8" w:space="0" w:color="CCCCCC"/>
              <w:right w:val="single" w:sz="8" w:space="0" w:color="CCCCCC"/>
            </w:tcBorders>
            <w:vAlign w:val="bottom"/>
            <w:hideMark/>
          </w:tcPr>
          <w:p w14:paraId="115865D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1. Risk of Bias</w:t>
            </w:r>
          </w:p>
        </w:tc>
        <w:tc>
          <w:tcPr>
            <w:tcW w:w="4735" w:type="dxa"/>
            <w:tcBorders>
              <w:top w:val="nil"/>
              <w:left w:val="nil"/>
              <w:bottom w:val="single" w:sz="8" w:space="0" w:color="CCCCCC"/>
              <w:right w:val="single" w:sz="8" w:space="0" w:color="CCCCCC"/>
            </w:tcBorders>
            <w:vAlign w:val="bottom"/>
            <w:hideMark/>
          </w:tcPr>
          <w:p w14:paraId="0746F33F"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Serious. Sensitivity analysis includes three RCTs (Sperry 2018, Moore 2018, Jost 2022) with "some concerns" (not deemed serious for this outcome) and one good quality non-RCT (Tucker 2023).</w:t>
            </w:r>
          </w:p>
        </w:tc>
        <w:tc>
          <w:tcPr>
            <w:tcW w:w="1595" w:type="dxa"/>
            <w:tcBorders>
              <w:top w:val="nil"/>
              <w:left w:val="nil"/>
              <w:bottom w:val="single" w:sz="8" w:space="0" w:color="CCCCCC"/>
              <w:right w:val="single" w:sz="8" w:space="0" w:color="CCCCCC"/>
            </w:tcBorders>
            <w:vAlign w:val="bottom"/>
            <w:hideMark/>
          </w:tcPr>
          <w:p w14:paraId="47EE7614"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2234ADF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54E2470A" w14:textId="77777777" w:rsidTr="00581B43">
        <w:trPr>
          <w:trHeight w:val="1344"/>
        </w:trPr>
        <w:tc>
          <w:tcPr>
            <w:tcW w:w="2092" w:type="dxa"/>
            <w:tcBorders>
              <w:top w:val="nil"/>
              <w:left w:val="single" w:sz="8" w:space="0" w:color="CCCCCC"/>
              <w:bottom w:val="single" w:sz="8" w:space="0" w:color="CCCCCC"/>
              <w:right w:val="single" w:sz="8" w:space="0" w:color="CCCCCC"/>
            </w:tcBorders>
            <w:vAlign w:val="bottom"/>
            <w:hideMark/>
          </w:tcPr>
          <w:p w14:paraId="32FDC96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2. Inconsistency (Heterogeneity)</w:t>
            </w:r>
          </w:p>
        </w:tc>
        <w:tc>
          <w:tcPr>
            <w:tcW w:w="4735" w:type="dxa"/>
            <w:tcBorders>
              <w:top w:val="nil"/>
              <w:left w:val="nil"/>
              <w:bottom w:val="single" w:sz="8" w:space="0" w:color="CCCCCC"/>
              <w:right w:val="single" w:sz="8" w:space="0" w:color="CCCCCC"/>
            </w:tcBorders>
            <w:vAlign w:val="bottom"/>
            <w:hideMark/>
          </w:tcPr>
          <w:p w14:paraId="4D24AE64"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serious. I² = 14% (Figure 3b), indicating low statistical heterogeneity.</w:t>
            </w:r>
          </w:p>
        </w:tc>
        <w:tc>
          <w:tcPr>
            <w:tcW w:w="1595" w:type="dxa"/>
            <w:tcBorders>
              <w:top w:val="nil"/>
              <w:left w:val="nil"/>
              <w:bottom w:val="single" w:sz="8" w:space="0" w:color="CCCCCC"/>
              <w:right w:val="single" w:sz="8" w:space="0" w:color="CCCCCC"/>
            </w:tcBorders>
            <w:vAlign w:val="bottom"/>
            <w:hideMark/>
          </w:tcPr>
          <w:p w14:paraId="134305B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0D3F6A6B"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606D5A8B"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07CC1F01"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3. Indirectness</w:t>
            </w:r>
          </w:p>
        </w:tc>
        <w:tc>
          <w:tcPr>
            <w:tcW w:w="4735" w:type="dxa"/>
            <w:tcBorders>
              <w:top w:val="nil"/>
              <w:left w:val="nil"/>
              <w:bottom w:val="single" w:sz="8" w:space="0" w:color="CCCCCC"/>
              <w:right w:val="single" w:sz="8" w:space="0" w:color="CCCCCC"/>
            </w:tcBorders>
            <w:vAlign w:val="bottom"/>
            <w:hideMark/>
          </w:tcPr>
          <w:p w14:paraId="3CCE311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While three RCTs focused on adults, the influential Tucker 2023 study included "all ages," introducing indirectness to the specific question about adult trauma patients.</w:t>
            </w:r>
          </w:p>
        </w:tc>
        <w:tc>
          <w:tcPr>
            <w:tcW w:w="1595" w:type="dxa"/>
            <w:tcBorders>
              <w:top w:val="nil"/>
              <w:left w:val="nil"/>
              <w:bottom w:val="single" w:sz="8" w:space="0" w:color="CCCCCC"/>
              <w:right w:val="single" w:sz="8" w:space="0" w:color="CCCCCC"/>
            </w:tcBorders>
            <w:vAlign w:val="bottom"/>
            <w:hideMark/>
          </w:tcPr>
          <w:p w14:paraId="4D3D52DC"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44A09B2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r>
      <w:tr w:rsidR="00A9394A" w:rsidRPr="00DA28C7" w14:paraId="55B9AD0D"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5E3780D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4. Imprecision</w:t>
            </w:r>
          </w:p>
        </w:tc>
        <w:tc>
          <w:tcPr>
            <w:tcW w:w="4735" w:type="dxa"/>
            <w:tcBorders>
              <w:top w:val="nil"/>
              <w:left w:val="nil"/>
              <w:bottom w:val="single" w:sz="8" w:space="0" w:color="CCCCCC"/>
              <w:right w:val="single" w:sz="8" w:space="0" w:color="CCCCCC"/>
            </w:tcBorders>
            <w:vAlign w:val="bottom"/>
            <w:hideMark/>
          </w:tcPr>
          <w:p w14:paraId="12571CC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serious. The 95% CI for the RR is 0.61 to 0.94. It does not cross the line of no effect (RR=1.0) and suggests a potentially clinically important benefit. (Number of participants: 2743).</w:t>
            </w:r>
          </w:p>
        </w:tc>
        <w:tc>
          <w:tcPr>
            <w:tcW w:w="1595" w:type="dxa"/>
            <w:tcBorders>
              <w:top w:val="nil"/>
              <w:left w:val="nil"/>
              <w:bottom w:val="single" w:sz="8" w:space="0" w:color="CCCCCC"/>
              <w:right w:val="single" w:sz="8" w:space="0" w:color="CCCCCC"/>
            </w:tcBorders>
            <w:vAlign w:val="bottom"/>
            <w:hideMark/>
          </w:tcPr>
          <w:p w14:paraId="32F832F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76C7454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r>
      <w:tr w:rsidR="00A9394A" w:rsidRPr="00DA28C7" w14:paraId="6BCEEC5D"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4F30BA1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5. Publication Bias</w:t>
            </w:r>
          </w:p>
        </w:tc>
        <w:tc>
          <w:tcPr>
            <w:tcW w:w="4735" w:type="dxa"/>
            <w:tcBorders>
              <w:top w:val="nil"/>
              <w:left w:val="nil"/>
              <w:bottom w:val="single" w:sz="8" w:space="0" w:color="CCCCCC"/>
              <w:right w:val="single" w:sz="8" w:space="0" w:color="CCCCCC"/>
            </w:tcBorders>
            <w:vAlign w:val="bottom"/>
            <w:hideMark/>
          </w:tcPr>
          <w:p w14:paraId="1B5FF38D"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downgraded. The systematic review reports that publication bias was assessed (Funnel plot Figure 2b, Egger's p=0.08 for sensitivity analysis) and not found to be significant.</w:t>
            </w:r>
          </w:p>
        </w:tc>
        <w:tc>
          <w:tcPr>
            <w:tcW w:w="1595" w:type="dxa"/>
            <w:tcBorders>
              <w:top w:val="nil"/>
              <w:left w:val="nil"/>
              <w:bottom w:val="single" w:sz="8" w:space="0" w:color="CCCCCC"/>
              <w:right w:val="single" w:sz="8" w:space="0" w:color="CCCCCC"/>
            </w:tcBorders>
            <w:vAlign w:val="bottom"/>
            <w:hideMark/>
          </w:tcPr>
          <w:p w14:paraId="4B0F30F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20D6CEF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r>
      <w:tr w:rsidR="00A9394A" w:rsidRPr="00DA28C7" w14:paraId="63E6D003" w14:textId="77777777" w:rsidTr="00581B43">
        <w:trPr>
          <w:trHeight w:val="1105"/>
        </w:trPr>
        <w:tc>
          <w:tcPr>
            <w:tcW w:w="2092" w:type="dxa"/>
            <w:tcBorders>
              <w:top w:val="nil"/>
              <w:left w:val="single" w:sz="8" w:space="0" w:color="CCCCCC"/>
              <w:bottom w:val="single" w:sz="8" w:space="0" w:color="CCCCCC"/>
              <w:right w:val="single" w:sz="8" w:space="0" w:color="CCCCCC"/>
            </w:tcBorders>
            <w:vAlign w:val="bottom"/>
            <w:hideMark/>
          </w:tcPr>
          <w:p w14:paraId="7C4E97AE"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Other factors (e.g., large effect, dose-response, opposing plausible confounding)</w:t>
            </w:r>
          </w:p>
        </w:tc>
        <w:tc>
          <w:tcPr>
            <w:tcW w:w="4735" w:type="dxa"/>
            <w:tcBorders>
              <w:top w:val="nil"/>
              <w:left w:val="nil"/>
              <w:bottom w:val="single" w:sz="8" w:space="0" w:color="CCCCCC"/>
              <w:right w:val="single" w:sz="8" w:space="0" w:color="CCCCCC"/>
            </w:tcBorders>
            <w:vAlign w:val="bottom"/>
            <w:hideMark/>
          </w:tcPr>
          <w:p w14:paraId="6E1DDDA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None identified that would upgrade the quality. The effect size (RR 0.76) is not considered large enough (e.g., RR &lt; 0.5 or &gt; 2.0) to warrant upgrading on its own.</w:t>
            </w:r>
          </w:p>
        </w:tc>
        <w:tc>
          <w:tcPr>
            <w:tcW w:w="1595" w:type="dxa"/>
            <w:tcBorders>
              <w:top w:val="nil"/>
              <w:left w:val="nil"/>
              <w:bottom w:val="single" w:sz="8" w:space="0" w:color="CCCCCC"/>
              <w:right w:val="single" w:sz="8" w:space="0" w:color="CCCCCC"/>
            </w:tcBorders>
            <w:vAlign w:val="bottom"/>
            <w:hideMark/>
          </w:tcPr>
          <w:p w14:paraId="0ACC473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N/A</w:t>
            </w:r>
          </w:p>
        </w:tc>
        <w:tc>
          <w:tcPr>
            <w:tcW w:w="1028" w:type="dxa"/>
            <w:tcBorders>
              <w:top w:val="nil"/>
              <w:left w:val="nil"/>
              <w:bottom w:val="single" w:sz="8" w:space="0" w:color="CCCCCC"/>
              <w:right w:val="single" w:sz="8" w:space="0" w:color="CCCCCC"/>
            </w:tcBorders>
            <w:vAlign w:val="bottom"/>
            <w:hideMark/>
          </w:tcPr>
          <w:p w14:paraId="59D5388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sz w:val="20"/>
                <w:szCs w:val="20"/>
              </w:rPr>
              <w:t xml:space="preserve">Low </w:t>
            </w:r>
            <w:r w:rsidRPr="00DA28C7">
              <w:rPr>
                <w:rFonts w:ascii="Cambria Math" w:eastAsia="Times New Roman" w:hAnsi="Cambria Math" w:cs="Cambria Math"/>
                <w:sz w:val="20"/>
                <w:szCs w:val="20"/>
              </w:rPr>
              <w:t>⊕⊕⊖⊖</w:t>
            </w:r>
          </w:p>
        </w:tc>
      </w:tr>
      <w:tr w:rsidR="00A9394A" w:rsidRPr="00DA28C7" w14:paraId="70A621AA" w14:textId="77777777" w:rsidTr="00581B43">
        <w:trPr>
          <w:trHeight w:val="331"/>
        </w:trPr>
        <w:tc>
          <w:tcPr>
            <w:tcW w:w="9450" w:type="dxa"/>
            <w:gridSpan w:val="4"/>
            <w:tcBorders>
              <w:top w:val="single" w:sz="8" w:space="0" w:color="CCCCCC"/>
              <w:left w:val="single" w:sz="8" w:space="0" w:color="CCCCCC"/>
              <w:bottom w:val="single" w:sz="8" w:space="0" w:color="CCCCCC"/>
              <w:right w:val="single" w:sz="8" w:space="0" w:color="CCCCCC"/>
            </w:tcBorders>
            <w:vAlign w:val="bottom"/>
          </w:tcPr>
          <w:p w14:paraId="28C6E0AD" w14:textId="77777777"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GRADE assessment for 30 Day mortality</w:t>
            </w:r>
          </w:p>
        </w:tc>
      </w:tr>
      <w:tr w:rsidR="00A9394A" w:rsidRPr="00DA28C7" w14:paraId="37BFD36A" w14:textId="77777777" w:rsidTr="00581B43">
        <w:trPr>
          <w:trHeight w:val="300"/>
        </w:trPr>
        <w:tc>
          <w:tcPr>
            <w:tcW w:w="2092" w:type="dxa"/>
            <w:tcBorders>
              <w:top w:val="nil"/>
              <w:left w:val="single" w:sz="8" w:space="0" w:color="CCCCCC"/>
              <w:bottom w:val="single" w:sz="8" w:space="0" w:color="CCCCCC"/>
              <w:right w:val="single" w:sz="8" w:space="0" w:color="CCCCCC"/>
            </w:tcBorders>
            <w:vAlign w:val="bottom"/>
            <w:hideMark/>
          </w:tcPr>
          <w:p w14:paraId="3066684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lastRenderedPageBreak/>
              <w:t>Starting Quality of Evidence</w:t>
            </w:r>
          </w:p>
        </w:tc>
        <w:tc>
          <w:tcPr>
            <w:tcW w:w="4735" w:type="dxa"/>
            <w:tcBorders>
              <w:top w:val="nil"/>
              <w:left w:val="nil"/>
              <w:bottom w:val="single" w:sz="8" w:space="0" w:color="CCCCCC"/>
              <w:right w:val="single" w:sz="8" w:space="0" w:color="CCCCCC"/>
            </w:tcBorders>
            <w:noWrap/>
            <w:vAlign w:val="center"/>
            <w:hideMark/>
          </w:tcPr>
          <w:p w14:paraId="63BB2676"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 (Reason: Mixed evidence from 3 RCTs and 1 influential prospective non-RCT).</w:t>
            </w:r>
          </w:p>
        </w:tc>
        <w:tc>
          <w:tcPr>
            <w:tcW w:w="1595" w:type="dxa"/>
            <w:tcBorders>
              <w:top w:val="nil"/>
              <w:left w:val="nil"/>
              <w:bottom w:val="single" w:sz="8" w:space="0" w:color="CCCCCC"/>
              <w:right w:val="single" w:sz="8" w:space="0" w:color="CCCCCC"/>
            </w:tcBorders>
            <w:vAlign w:val="bottom"/>
            <w:hideMark/>
          </w:tcPr>
          <w:p w14:paraId="1DBF5F53"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 </w:t>
            </w:r>
          </w:p>
        </w:tc>
        <w:tc>
          <w:tcPr>
            <w:tcW w:w="1028" w:type="dxa"/>
            <w:tcBorders>
              <w:top w:val="nil"/>
              <w:left w:val="nil"/>
              <w:bottom w:val="single" w:sz="8" w:space="0" w:color="CCCCCC"/>
              <w:right w:val="single" w:sz="8" w:space="0" w:color="CCCCCC"/>
            </w:tcBorders>
            <w:vAlign w:val="bottom"/>
            <w:hideMark/>
          </w:tcPr>
          <w:p w14:paraId="51B8C08D"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65EED369" w14:textId="77777777" w:rsidTr="00581B43">
        <w:trPr>
          <w:trHeight w:val="1344"/>
        </w:trPr>
        <w:tc>
          <w:tcPr>
            <w:tcW w:w="2092" w:type="dxa"/>
            <w:tcBorders>
              <w:top w:val="nil"/>
              <w:left w:val="single" w:sz="8" w:space="0" w:color="CCCCCC"/>
              <w:bottom w:val="single" w:sz="8" w:space="0" w:color="CCCCCC"/>
              <w:right w:val="single" w:sz="8" w:space="0" w:color="CCCCCC"/>
            </w:tcBorders>
            <w:vAlign w:val="bottom"/>
            <w:hideMark/>
          </w:tcPr>
          <w:p w14:paraId="551E5C74"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1. Risk of Bias</w:t>
            </w:r>
          </w:p>
        </w:tc>
        <w:tc>
          <w:tcPr>
            <w:tcW w:w="4735" w:type="dxa"/>
            <w:tcBorders>
              <w:top w:val="nil"/>
              <w:left w:val="nil"/>
              <w:bottom w:val="single" w:sz="8" w:space="0" w:color="CCCCCC"/>
              <w:right w:val="single" w:sz="8" w:space="0" w:color="CCCCCC"/>
            </w:tcBorders>
            <w:vAlign w:val="bottom"/>
            <w:hideMark/>
          </w:tcPr>
          <w:p w14:paraId="08CDAAE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serious limitations. The "Some Concerns" in RCTs (primarily due to unavoidable open-label design) were judged by the study authors as not leading to significant bias for the mortality outcome.</w:t>
            </w:r>
          </w:p>
        </w:tc>
        <w:tc>
          <w:tcPr>
            <w:tcW w:w="1595" w:type="dxa"/>
            <w:tcBorders>
              <w:top w:val="nil"/>
              <w:left w:val="nil"/>
              <w:bottom w:val="single" w:sz="8" w:space="0" w:color="CCCCCC"/>
              <w:right w:val="single" w:sz="8" w:space="0" w:color="CCCCCC"/>
            </w:tcBorders>
            <w:vAlign w:val="bottom"/>
            <w:hideMark/>
          </w:tcPr>
          <w:p w14:paraId="552234D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1C50E1B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7E873364" w14:textId="77777777" w:rsidTr="00581B43">
        <w:trPr>
          <w:trHeight w:val="816"/>
        </w:trPr>
        <w:tc>
          <w:tcPr>
            <w:tcW w:w="2092" w:type="dxa"/>
            <w:tcBorders>
              <w:top w:val="nil"/>
              <w:left w:val="single" w:sz="8" w:space="0" w:color="CCCCCC"/>
              <w:bottom w:val="single" w:sz="8" w:space="0" w:color="CCCCCC"/>
              <w:right w:val="single" w:sz="8" w:space="0" w:color="CCCCCC"/>
            </w:tcBorders>
            <w:vAlign w:val="bottom"/>
            <w:hideMark/>
          </w:tcPr>
          <w:p w14:paraId="16313F0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2. Inconsistency (Heterogeneity)</w:t>
            </w:r>
          </w:p>
        </w:tc>
        <w:tc>
          <w:tcPr>
            <w:tcW w:w="4735" w:type="dxa"/>
            <w:tcBorders>
              <w:top w:val="nil"/>
              <w:left w:val="nil"/>
              <w:bottom w:val="single" w:sz="8" w:space="0" w:color="CCCCCC"/>
              <w:right w:val="single" w:sz="8" w:space="0" w:color="CCCCCC"/>
            </w:tcBorders>
            <w:vAlign w:val="bottom"/>
            <w:hideMark/>
          </w:tcPr>
          <w:p w14:paraId="7A4AFDB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serious. I² = 28.63% for Figure 3d, indicating low to moderate heterogeneity.</w:t>
            </w:r>
          </w:p>
        </w:tc>
        <w:tc>
          <w:tcPr>
            <w:tcW w:w="1595" w:type="dxa"/>
            <w:tcBorders>
              <w:top w:val="nil"/>
              <w:left w:val="nil"/>
              <w:bottom w:val="single" w:sz="8" w:space="0" w:color="CCCCCC"/>
              <w:right w:val="single" w:sz="8" w:space="0" w:color="CCCCCC"/>
            </w:tcBorders>
            <w:vAlign w:val="bottom"/>
            <w:hideMark/>
          </w:tcPr>
          <w:p w14:paraId="29F4A5C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2988C20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03AD9CC4"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23CB88C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3. Indirectness</w:t>
            </w:r>
          </w:p>
        </w:tc>
        <w:tc>
          <w:tcPr>
            <w:tcW w:w="4735" w:type="dxa"/>
            <w:tcBorders>
              <w:top w:val="nil"/>
              <w:left w:val="nil"/>
              <w:bottom w:val="single" w:sz="8" w:space="0" w:color="CCCCCC"/>
              <w:right w:val="single" w:sz="8" w:space="0" w:color="CCCCCC"/>
            </w:tcBorders>
            <w:vAlign w:val="bottom"/>
            <w:hideMark/>
          </w:tcPr>
          <w:p w14:paraId="524B011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The Tucker 2023 study (weighted at 56.4% in Figure 3d) included "All ages," while the research question focuses on adult trauma patients.</w:t>
            </w:r>
          </w:p>
        </w:tc>
        <w:tc>
          <w:tcPr>
            <w:tcW w:w="1595" w:type="dxa"/>
            <w:tcBorders>
              <w:top w:val="nil"/>
              <w:left w:val="nil"/>
              <w:bottom w:val="single" w:sz="8" w:space="0" w:color="CCCCCC"/>
              <w:right w:val="single" w:sz="8" w:space="0" w:color="CCCCCC"/>
            </w:tcBorders>
            <w:vAlign w:val="bottom"/>
            <w:hideMark/>
          </w:tcPr>
          <w:p w14:paraId="22760EE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2625655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r>
      <w:tr w:rsidR="00A9394A" w:rsidRPr="00DA28C7" w14:paraId="79E51D28"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3663BCBB"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4. Imprecision</w:t>
            </w:r>
          </w:p>
        </w:tc>
        <w:tc>
          <w:tcPr>
            <w:tcW w:w="4735" w:type="dxa"/>
            <w:tcBorders>
              <w:top w:val="nil"/>
              <w:left w:val="nil"/>
              <w:bottom w:val="single" w:sz="8" w:space="0" w:color="CCCCCC"/>
              <w:right w:val="single" w:sz="8" w:space="0" w:color="CCCCCC"/>
            </w:tcBorders>
            <w:vAlign w:val="bottom"/>
            <w:hideMark/>
          </w:tcPr>
          <w:p w14:paraId="2B4C2E3F"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The 95% CI for the RR (0.71 to 1.08) is wide and crosses the line of no effect (RR=1.0), including both potentially important benefit and no effect/slight harm.</w:t>
            </w:r>
          </w:p>
        </w:tc>
        <w:tc>
          <w:tcPr>
            <w:tcW w:w="1595" w:type="dxa"/>
            <w:tcBorders>
              <w:top w:val="nil"/>
              <w:left w:val="nil"/>
              <w:bottom w:val="single" w:sz="8" w:space="0" w:color="CCCCCC"/>
              <w:right w:val="single" w:sz="8" w:space="0" w:color="CCCCCC"/>
            </w:tcBorders>
            <w:vAlign w:val="bottom"/>
            <w:hideMark/>
          </w:tcPr>
          <w:p w14:paraId="2496F856"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4EC1BFB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43B0FB47" w14:textId="77777777" w:rsidTr="00581B43">
        <w:trPr>
          <w:trHeight w:val="816"/>
        </w:trPr>
        <w:tc>
          <w:tcPr>
            <w:tcW w:w="2092" w:type="dxa"/>
            <w:tcBorders>
              <w:top w:val="nil"/>
              <w:left w:val="single" w:sz="8" w:space="0" w:color="CCCCCC"/>
              <w:bottom w:val="single" w:sz="8" w:space="0" w:color="CCCCCC"/>
              <w:right w:val="single" w:sz="8" w:space="0" w:color="CCCCCC"/>
            </w:tcBorders>
            <w:vAlign w:val="bottom"/>
            <w:hideMark/>
          </w:tcPr>
          <w:p w14:paraId="659C7885"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5. Publication Bias</w:t>
            </w:r>
          </w:p>
        </w:tc>
        <w:tc>
          <w:tcPr>
            <w:tcW w:w="4735" w:type="dxa"/>
            <w:tcBorders>
              <w:top w:val="nil"/>
              <w:left w:val="nil"/>
              <w:bottom w:val="single" w:sz="8" w:space="0" w:color="CCCCCC"/>
              <w:right w:val="single" w:sz="8" w:space="0" w:color="CCCCCC"/>
            </w:tcBorders>
            <w:vAlign w:val="bottom"/>
            <w:hideMark/>
          </w:tcPr>
          <w:p w14:paraId="3EC8833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suspected. Formal tests reported in the manuscript did not suggest significant publication bias.</w:t>
            </w:r>
          </w:p>
        </w:tc>
        <w:tc>
          <w:tcPr>
            <w:tcW w:w="1595" w:type="dxa"/>
            <w:tcBorders>
              <w:top w:val="nil"/>
              <w:left w:val="nil"/>
              <w:bottom w:val="single" w:sz="8" w:space="0" w:color="CCCCCC"/>
              <w:right w:val="single" w:sz="8" w:space="0" w:color="CCCCCC"/>
            </w:tcBorders>
            <w:vAlign w:val="bottom"/>
            <w:hideMark/>
          </w:tcPr>
          <w:p w14:paraId="2D5EF3AE"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2EB7291D"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2779F649"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77A4A00A"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Other factors (e.g., large effect, dose-response, opposing plausible confounding)</w:t>
            </w:r>
          </w:p>
        </w:tc>
        <w:tc>
          <w:tcPr>
            <w:tcW w:w="4735" w:type="dxa"/>
            <w:tcBorders>
              <w:top w:val="nil"/>
              <w:left w:val="nil"/>
              <w:bottom w:val="single" w:sz="8" w:space="0" w:color="CCCCCC"/>
              <w:right w:val="single" w:sz="8" w:space="0" w:color="CCCCCC"/>
            </w:tcBorders>
            <w:vAlign w:val="bottom"/>
            <w:hideMark/>
          </w:tcPr>
          <w:p w14:paraId="019CAA41"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None identified that would upgrade the quality.</w:t>
            </w:r>
          </w:p>
        </w:tc>
        <w:tc>
          <w:tcPr>
            <w:tcW w:w="1595" w:type="dxa"/>
            <w:tcBorders>
              <w:top w:val="nil"/>
              <w:left w:val="nil"/>
              <w:bottom w:val="single" w:sz="8" w:space="0" w:color="CCCCCC"/>
              <w:right w:val="single" w:sz="8" w:space="0" w:color="CCCCCC"/>
            </w:tcBorders>
            <w:vAlign w:val="bottom"/>
            <w:hideMark/>
          </w:tcPr>
          <w:p w14:paraId="723C3496"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N/A</w:t>
            </w:r>
          </w:p>
        </w:tc>
        <w:tc>
          <w:tcPr>
            <w:tcW w:w="1028" w:type="dxa"/>
            <w:tcBorders>
              <w:top w:val="nil"/>
              <w:left w:val="nil"/>
              <w:bottom w:val="single" w:sz="8" w:space="0" w:color="CCCCCC"/>
              <w:right w:val="single" w:sz="8" w:space="0" w:color="CCCCCC"/>
            </w:tcBorders>
            <w:vAlign w:val="bottom"/>
            <w:hideMark/>
          </w:tcPr>
          <w:p w14:paraId="0ABA487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sz w:val="20"/>
                <w:szCs w:val="20"/>
              </w:rPr>
              <w:t xml:space="preserve">Very Low </w:t>
            </w:r>
            <w:r w:rsidRPr="00DA28C7">
              <w:rPr>
                <w:rFonts w:ascii="Cambria Math" w:eastAsia="Times New Roman" w:hAnsi="Cambria Math" w:cs="Cambria Math"/>
                <w:sz w:val="20"/>
                <w:szCs w:val="20"/>
              </w:rPr>
              <w:t>⊕⊖⊖⊖</w:t>
            </w:r>
          </w:p>
        </w:tc>
      </w:tr>
      <w:tr w:rsidR="00A9394A" w:rsidRPr="00DA28C7" w14:paraId="0D54CC05" w14:textId="77777777" w:rsidTr="00581B43">
        <w:trPr>
          <w:trHeight w:val="300"/>
        </w:trPr>
        <w:tc>
          <w:tcPr>
            <w:tcW w:w="9450" w:type="dxa"/>
            <w:gridSpan w:val="4"/>
            <w:tcBorders>
              <w:top w:val="single" w:sz="8" w:space="0" w:color="CCCCCC"/>
              <w:left w:val="single" w:sz="8" w:space="0" w:color="CCCCCC"/>
              <w:bottom w:val="single" w:sz="8" w:space="0" w:color="CCCCCC"/>
              <w:right w:val="single" w:sz="8" w:space="0" w:color="CCCCCC"/>
            </w:tcBorders>
            <w:vAlign w:val="bottom"/>
          </w:tcPr>
          <w:p w14:paraId="0CEA2331" w14:textId="75BF3FB5" w:rsidR="00A9394A" w:rsidRPr="00DA28C7" w:rsidRDefault="00A9394A" w:rsidP="00581B43">
            <w:pPr>
              <w:spacing w:after="0" w:line="240" w:lineRule="auto"/>
              <w:rPr>
                <w:rFonts w:ascii="Times New Roman" w:eastAsia="Times New Roman" w:hAnsi="Times New Roman" w:cs="Times New Roman"/>
                <w:b/>
                <w:bCs/>
                <w:color w:val="000000"/>
                <w:sz w:val="20"/>
                <w:szCs w:val="20"/>
              </w:rPr>
            </w:pPr>
            <w:r w:rsidRPr="00DA28C7">
              <w:rPr>
                <w:rFonts w:ascii="Times New Roman" w:eastAsia="Times New Roman" w:hAnsi="Times New Roman" w:cs="Times New Roman"/>
                <w:b/>
                <w:bCs/>
                <w:color w:val="000000"/>
                <w:sz w:val="20"/>
                <w:szCs w:val="20"/>
              </w:rPr>
              <w:t>GRADE assessment 24</w:t>
            </w:r>
            <w:r w:rsidR="00985800">
              <w:rPr>
                <w:rFonts w:ascii="Times New Roman" w:eastAsia="Times New Roman" w:hAnsi="Times New Roman" w:cs="Times New Roman"/>
                <w:b/>
                <w:bCs/>
                <w:color w:val="000000"/>
                <w:sz w:val="20"/>
                <w:szCs w:val="20"/>
              </w:rPr>
              <w:t>-hour</w:t>
            </w:r>
            <w:r w:rsidRPr="00DA28C7">
              <w:rPr>
                <w:rFonts w:ascii="Times New Roman" w:eastAsia="Times New Roman" w:hAnsi="Times New Roman" w:cs="Times New Roman"/>
                <w:b/>
                <w:bCs/>
                <w:color w:val="000000"/>
                <w:sz w:val="20"/>
                <w:szCs w:val="20"/>
              </w:rPr>
              <w:t xml:space="preserve"> use of RBC</w:t>
            </w:r>
          </w:p>
        </w:tc>
      </w:tr>
      <w:tr w:rsidR="00A9394A" w:rsidRPr="00DA28C7" w14:paraId="4AAFEEA6" w14:textId="77777777" w:rsidTr="00581B43">
        <w:trPr>
          <w:trHeight w:val="552"/>
        </w:trPr>
        <w:tc>
          <w:tcPr>
            <w:tcW w:w="2092" w:type="dxa"/>
            <w:tcBorders>
              <w:top w:val="nil"/>
              <w:left w:val="single" w:sz="8" w:space="0" w:color="CCCCCC"/>
              <w:bottom w:val="single" w:sz="8" w:space="0" w:color="CCCCCC"/>
              <w:right w:val="single" w:sz="8" w:space="0" w:color="CCCCCC"/>
            </w:tcBorders>
            <w:vAlign w:val="bottom"/>
            <w:hideMark/>
          </w:tcPr>
          <w:p w14:paraId="09239EA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Starting Quality of Evidence</w:t>
            </w:r>
          </w:p>
        </w:tc>
        <w:tc>
          <w:tcPr>
            <w:tcW w:w="4735" w:type="dxa"/>
            <w:tcBorders>
              <w:top w:val="nil"/>
              <w:left w:val="nil"/>
              <w:bottom w:val="single" w:sz="8" w:space="0" w:color="CCCCCC"/>
              <w:right w:val="single" w:sz="8" w:space="0" w:color="CCCCCC"/>
            </w:tcBorders>
            <w:noWrap/>
            <w:vAlign w:val="center"/>
            <w:hideMark/>
          </w:tcPr>
          <w:p w14:paraId="368A476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 (Reason: Based on 3 RCTs and 1 prospective non-RCT study for this specific analysis).</w:t>
            </w:r>
          </w:p>
        </w:tc>
        <w:tc>
          <w:tcPr>
            <w:tcW w:w="1595" w:type="dxa"/>
            <w:tcBorders>
              <w:top w:val="nil"/>
              <w:left w:val="nil"/>
              <w:bottom w:val="single" w:sz="8" w:space="0" w:color="CCCCCC"/>
              <w:right w:val="single" w:sz="8" w:space="0" w:color="CCCCCC"/>
            </w:tcBorders>
            <w:vAlign w:val="bottom"/>
            <w:hideMark/>
          </w:tcPr>
          <w:p w14:paraId="71E2395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 </w:t>
            </w:r>
          </w:p>
        </w:tc>
        <w:tc>
          <w:tcPr>
            <w:tcW w:w="1028" w:type="dxa"/>
            <w:tcBorders>
              <w:top w:val="nil"/>
              <w:left w:val="nil"/>
              <w:bottom w:val="single" w:sz="8" w:space="0" w:color="CCCCCC"/>
              <w:right w:val="single" w:sz="8" w:space="0" w:color="CCCCCC"/>
            </w:tcBorders>
            <w:vAlign w:val="bottom"/>
            <w:hideMark/>
          </w:tcPr>
          <w:p w14:paraId="0EBED9A3"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Moderate</w:t>
            </w:r>
          </w:p>
        </w:tc>
      </w:tr>
      <w:tr w:rsidR="00A9394A" w:rsidRPr="00DA28C7" w14:paraId="1471D4AA" w14:textId="77777777" w:rsidTr="00581B43">
        <w:trPr>
          <w:trHeight w:val="1608"/>
        </w:trPr>
        <w:tc>
          <w:tcPr>
            <w:tcW w:w="2092" w:type="dxa"/>
            <w:tcBorders>
              <w:top w:val="nil"/>
              <w:left w:val="single" w:sz="8" w:space="0" w:color="CCCCCC"/>
              <w:bottom w:val="single" w:sz="8" w:space="0" w:color="CCCCCC"/>
              <w:right w:val="single" w:sz="8" w:space="0" w:color="CCCCCC"/>
            </w:tcBorders>
            <w:vAlign w:val="bottom"/>
            <w:hideMark/>
          </w:tcPr>
          <w:p w14:paraId="5A632521"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1. Risk of Bias</w:t>
            </w:r>
          </w:p>
        </w:tc>
        <w:tc>
          <w:tcPr>
            <w:tcW w:w="4735" w:type="dxa"/>
            <w:tcBorders>
              <w:top w:val="nil"/>
              <w:left w:val="nil"/>
              <w:bottom w:val="single" w:sz="8" w:space="0" w:color="CCCCCC"/>
              <w:right w:val="single" w:sz="8" w:space="0" w:color="CCCCCC"/>
            </w:tcBorders>
            <w:vAlign w:val="bottom"/>
            <w:hideMark/>
          </w:tcPr>
          <w:p w14:paraId="2894402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For this outcome (RBC units), the volume component of the plasma intervention could directly influence hemodynamic stability and decisions to transfuse RBCs, potentially confounding the assessment of plasma's specific hemostatic effects. This is in addition to "some concerns" in RCTs' open-label design.</w:t>
            </w:r>
          </w:p>
        </w:tc>
        <w:tc>
          <w:tcPr>
            <w:tcW w:w="1595" w:type="dxa"/>
            <w:tcBorders>
              <w:top w:val="nil"/>
              <w:left w:val="nil"/>
              <w:bottom w:val="single" w:sz="8" w:space="0" w:color="CCCCCC"/>
              <w:right w:val="single" w:sz="8" w:space="0" w:color="CCCCCC"/>
            </w:tcBorders>
            <w:vAlign w:val="bottom"/>
            <w:hideMark/>
          </w:tcPr>
          <w:p w14:paraId="5A6CDCFF"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1D670685"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Low</w:t>
            </w:r>
          </w:p>
        </w:tc>
      </w:tr>
      <w:tr w:rsidR="00A9394A" w:rsidRPr="00DA28C7" w14:paraId="64D038A3" w14:textId="77777777" w:rsidTr="00581B43">
        <w:trPr>
          <w:trHeight w:val="552"/>
        </w:trPr>
        <w:tc>
          <w:tcPr>
            <w:tcW w:w="2092" w:type="dxa"/>
            <w:tcBorders>
              <w:top w:val="nil"/>
              <w:left w:val="single" w:sz="8" w:space="0" w:color="CCCCCC"/>
              <w:bottom w:val="single" w:sz="8" w:space="0" w:color="CCCCCC"/>
              <w:right w:val="single" w:sz="8" w:space="0" w:color="CCCCCC"/>
            </w:tcBorders>
            <w:vAlign w:val="bottom"/>
            <w:hideMark/>
          </w:tcPr>
          <w:p w14:paraId="6DF8480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2. Inconsistency (Heterogeneity)</w:t>
            </w:r>
          </w:p>
        </w:tc>
        <w:tc>
          <w:tcPr>
            <w:tcW w:w="4735" w:type="dxa"/>
            <w:tcBorders>
              <w:top w:val="nil"/>
              <w:left w:val="nil"/>
              <w:bottom w:val="single" w:sz="8" w:space="0" w:color="CCCCCC"/>
              <w:right w:val="single" w:sz="8" w:space="0" w:color="CCCCCC"/>
            </w:tcBorders>
            <w:vAlign w:val="bottom"/>
            <w:hideMark/>
          </w:tcPr>
          <w:p w14:paraId="68EF7527"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I² = 72.33%, indicating substantial statistical heterogeneity across studies.</w:t>
            </w:r>
          </w:p>
        </w:tc>
        <w:tc>
          <w:tcPr>
            <w:tcW w:w="1595" w:type="dxa"/>
            <w:tcBorders>
              <w:top w:val="nil"/>
              <w:left w:val="nil"/>
              <w:bottom w:val="single" w:sz="8" w:space="0" w:color="CCCCCC"/>
              <w:right w:val="single" w:sz="8" w:space="0" w:color="CCCCCC"/>
            </w:tcBorders>
            <w:vAlign w:val="bottom"/>
            <w:hideMark/>
          </w:tcPr>
          <w:p w14:paraId="456E3FE5"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31960F2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4F402958"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2319AD84"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3. Indirectness</w:t>
            </w:r>
          </w:p>
        </w:tc>
        <w:tc>
          <w:tcPr>
            <w:tcW w:w="4735" w:type="dxa"/>
            <w:tcBorders>
              <w:top w:val="nil"/>
              <w:left w:val="nil"/>
              <w:bottom w:val="single" w:sz="8" w:space="0" w:color="CCCCCC"/>
              <w:right w:val="single" w:sz="8" w:space="0" w:color="CCCCCC"/>
            </w:tcBorders>
            <w:vAlign w:val="bottom"/>
            <w:hideMark/>
          </w:tcPr>
          <w:p w14:paraId="2B2274CD"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Serious. The Tucker 2023 study (weighted at 34.4% in this analysis) included "All ages," while the research question focuses on adult trauma patients. This introduces population indirectness.</w:t>
            </w:r>
          </w:p>
        </w:tc>
        <w:tc>
          <w:tcPr>
            <w:tcW w:w="1595" w:type="dxa"/>
            <w:tcBorders>
              <w:top w:val="nil"/>
              <w:left w:val="nil"/>
              <w:bottom w:val="single" w:sz="8" w:space="0" w:color="CCCCCC"/>
              <w:right w:val="single" w:sz="8" w:space="0" w:color="CCCCCC"/>
            </w:tcBorders>
            <w:vAlign w:val="bottom"/>
            <w:hideMark/>
          </w:tcPr>
          <w:p w14:paraId="63E799C3"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Downgrade by 1</w:t>
            </w:r>
          </w:p>
        </w:tc>
        <w:tc>
          <w:tcPr>
            <w:tcW w:w="1028" w:type="dxa"/>
            <w:tcBorders>
              <w:top w:val="nil"/>
              <w:left w:val="nil"/>
              <w:bottom w:val="single" w:sz="8" w:space="0" w:color="CCCCCC"/>
              <w:right w:val="single" w:sz="8" w:space="0" w:color="CCCCCC"/>
            </w:tcBorders>
            <w:vAlign w:val="bottom"/>
            <w:hideMark/>
          </w:tcPr>
          <w:p w14:paraId="4702BE0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2B7029FF" w14:textId="77777777" w:rsidTr="00581B43">
        <w:trPr>
          <w:trHeight w:val="1080"/>
        </w:trPr>
        <w:tc>
          <w:tcPr>
            <w:tcW w:w="2092" w:type="dxa"/>
            <w:tcBorders>
              <w:top w:val="nil"/>
              <w:left w:val="single" w:sz="8" w:space="0" w:color="CCCCCC"/>
              <w:bottom w:val="single" w:sz="8" w:space="0" w:color="CCCCCC"/>
              <w:right w:val="single" w:sz="8" w:space="0" w:color="CCCCCC"/>
            </w:tcBorders>
            <w:vAlign w:val="bottom"/>
            <w:hideMark/>
          </w:tcPr>
          <w:p w14:paraId="6B7EEDE8"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4. Imprecision</w:t>
            </w:r>
          </w:p>
        </w:tc>
        <w:tc>
          <w:tcPr>
            <w:tcW w:w="4735" w:type="dxa"/>
            <w:tcBorders>
              <w:top w:val="nil"/>
              <w:left w:val="nil"/>
              <w:bottom w:val="single" w:sz="8" w:space="0" w:color="CCCCCC"/>
              <w:right w:val="single" w:sz="8" w:space="0" w:color="CCCCCC"/>
            </w:tcBorders>
            <w:vAlign w:val="bottom"/>
            <w:hideMark/>
          </w:tcPr>
          <w:p w14:paraId="7F79CE6B"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serious. The 95% CI for the Mean Difference (-2.18 to -0.19 units) does not cross the line of no effect (MD=0). Both ends of the CI suggest a reduction in RBC use, ranging from a small to a moderate effect.</w:t>
            </w:r>
          </w:p>
        </w:tc>
        <w:tc>
          <w:tcPr>
            <w:tcW w:w="1595" w:type="dxa"/>
            <w:tcBorders>
              <w:top w:val="nil"/>
              <w:left w:val="nil"/>
              <w:bottom w:val="single" w:sz="8" w:space="0" w:color="CCCCCC"/>
              <w:right w:val="single" w:sz="8" w:space="0" w:color="CCCCCC"/>
            </w:tcBorders>
            <w:vAlign w:val="bottom"/>
            <w:hideMark/>
          </w:tcPr>
          <w:p w14:paraId="7EF0E9DC"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7B489B06"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2FF67653" w14:textId="77777777" w:rsidTr="00581B43">
        <w:trPr>
          <w:trHeight w:val="552"/>
        </w:trPr>
        <w:tc>
          <w:tcPr>
            <w:tcW w:w="2092" w:type="dxa"/>
            <w:tcBorders>
              <w:top w:val="nil"/>
              <w:left w:val="single" w:sz="8" w:space="0" w:color="CCCCCC"/>
              <w:bottom w:val="single" w:sz="8" w:space="0" w:color="CCCCCC"/>
              <w:right w:val="single" w:sz="8" w:space="0" w:color="CCCCCC"/>
            </w:tcBorders>
            <w:vAlign w:val="bottom"/>
            <w:hideMark/>
          </w:tcPr>
          <w:p w14:paraId="0907D60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5. Publication Bias</w:t>
            </w:r>
          </w:p>
        </w:tc>
        <w:tc>
          <w:tcPr>
            <w:tcW w:w="4735" w:type="dxa"/>
            <w:tcBorders>
              <w:top w:val="nil"/>
              <w:left w:val="nil"/>
              <w:bottom w:val="single" w:sz="8" w:space="0" w:color="CCCCCC"/>
              <w:right w:val="single" w:sz="8" w:space="0" w:color="CCCCCC"/>
            </w:tcBorders>
            <w:vAlign w:val="bottom"/>
            <w:hideMark/>
          </w:tcPr>
          <w:p w14:paraId="0CA9D150"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Not downgraded. The systematic review's overall assessment did not suggest significant publication bias.</w:t>
            </w:r>
          </w:p>
        </w:tc>
        <w:tc>
          <w:tcPr>
            <w:tcW w:w="1595" w:type="dxa"/>
            <w:tcBorders>
              <w:top w:val="nil"/>
              <w:left w:val="nil"/>
              <w:bottom w:val="single" w:sz="8" w:space="0" w:color="CCCCCC"/>
              <w:right w:val="single" w:sz="8" w:space="0" w:color="CCCCCC"/>
            </w:tcBorders>
            <w:vAlign w:val="bottom"/>
            <w:hideMark/>
          </w:tcPr>
          <w:p w14:paraId="69CFA195"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 downgrade</w:t>
            </w:r>
          </w:p>
        </w:tc>
        <w:tc>
          <w:tcPr>
            <w:tcW w:w="1028" w:type="dxa"/>
            <w:tcBorders>
              <w:top w:val="nil"/>
              <w:left w:val="nil"/>
              <w:bottom w:val="single" w:sz="8" w:space="0" w:color="CCCCCC"/>
              <w:right w:val="single" w:sz="8" w:space="0" w:color="CCCCCC"/>
            </w:tcBorders>
            <w:vAlign w:val="bottom"/>
            <w:hideMark/>
          </w:tcPr>
          <w:p w14:paraId="5D76C1D2"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Very Low</w:t>
            </w:r>
          </w:p>
        </w:tc>
      </w:tr>
      <w:tr w:rsidR="00A9394A" w:rsidRPr="00DA28C7" w14:paraId="4DE42993" w14:textId="77777777" w:rsidTr="00581B43">
        <w:trPr>
          <w:trHeight w:val="1344"/>
        </w:trPr>
        <w:tc>
          <w:tcPr>
            <w:tcW w:w="2092" w:type="dxa"/>
            <w:tcBorders>
              <w:top w:val="nil"/>
              <w:left w:val="single" w:sz="8" w:space="0" w:color="CCCCCC"/>
              <w:bottom w:val="single" w:sz="8" w:space="0" w:color="CCCCCC"/>
              <w:right w:val="single" w:sz="8" w:space="0" w:color="CCCCCC"/>
            </w:tcBorders>
            <w:vAlign w:val="bottom"/>
          </w:tcPr>
          <w:p w14:paraId="1D260A3F"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lastRenderedPageBreak/>
              <w:t>Other factors (e.g., large effect, dose-response, opposing plausible confounding)</w:t>
            </w:r>
          </w:p>
        </w:tc>
        <w:tc>
          <w:tcPr>
            <w:tcW w:w="4735" w:type="dxa"/>
            <w:tcBorders>
              <w:top w:val="nil"/>
              <w:left w:val="nil"/>
              <w:bottom w:val="single" w:sz="8" w:space="0" w:color="CCCCCC"/>
              <w:right w:val="single" w:sz="8" w:space="0" w:color="CCCCCC"/>
            </w:tcBorders>
            <w:vAlign w:val="bottom"/>
          </w:tcPr>
          <w:p w14:paraId="5763E049"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None identified that would upgrade the quality.</w:t>
            </w:r>
          </w:p>
        </w:tc>
        <w:tc>
          <w:tcPr>
            <w:tcW w:w="1595" w:type="dxa"/>
            <w:tcBorders>
              <w:top w:val="nil"/>
              <w:left w:val="nil"/>
              <w:bottom w:val="single" w:sz="8" w:space="0" w:color="CCCCCC"/>
              <w:right w:val="single" w:sz="8" w:space="0" w:color="CCCCCC"/>
            </w:tcBorders>
            <w:vAlign w:val="bottom"/>
          </w:tcPr>
          <w:p w14:paraId="2DA042B6" w14:textId="77777777"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color w:val="000000"/>
                <w:sz w:val="20"/>
                <w:szCs w:val="20"/>
              </w:rPr>
              <w:t>N/A</w:t>
            </w:r>
          </w:p>
        </w:tc>
        <w:tc>
          <w:tcPr>
            <w:tcW w:w="1028" w:type="dxa"/>
            <w:tcBorders>
              <w:top w:val="nil"/>
              <w:left w:val="nil"/>
              <w:bottom w:val="single" w:sz="8" w:space="0" w:color="CCCCCC"/>
              <w:right w:val="single" w:sz="8" w:space="0" w:color="CCCCCC"/>
            </w:tcBorders>
            <w:vAlign w:val="bottom"/>
          </w:tcPr>
          <w:p w14:paraId="782C130F" w14:textId="77777777" w:rsidR="00A9394A" w:rsidRPr="00DA28C7" w:rsidRDefault="00A9394A" w:rsidP="00581B43">
            <w:pPr>
              <w:spacing w:after="0" w:line="240" w:lineRule="auto"/>
              <w:rPr>
                <w:rFonts w:ascii="Times New Roman" w:eastAsia="Times New Roman" w:hAnsi="Times New Roman" w:cs="Times New Roman"/>
                <w:sz w:val="20"/>
                <w:szCs w:val="20"/>
              </w:rPr>
            </w:pPr>
            <w:r w:rsidRPr="00DA28C7">
              <w:rPr>
                <w:rFonts w:ascii="Times New Roman" w:eastAsia="Times New Roman" w:hAnsi="Times New Roman" w:cs="Times New Roman"/>
                <w:sz w:val="20"/>
                <w:szCs w:val="20"/>
              </w:rPr>
              <w:t xml:space="preserve">Very Low </w:t>
            </w:r>
            <w:r w:rsidRPr="00DA28C7">
              <w:rPr>
                <w:rFonts w:ascii="Cambria Math" w:eastAsia="Times New Roman" w:hAnsi="Cambria Math" w:cs="Cambria Math"/>
                <w:sz w:val="20"/>
                <w:szCs w:val="20"/>
              </w:rPr>
              <w:t>⊕⊖⊖⊖</w:t>
            </w:r>
          </w:p>
        </w:tc>
      </w:tr>
      <w:tr w:rsidR="00A9394A" w:rsidRPr="00DA28C7" w14:paraId="54D91279" w14:textId="77777777" w:rsidTr="00581B43">
        <w:trPr>
          <w:trHeight w:val="601"/>
        </w:trPr>
        <w:tc>
          <w:tcPr>
            <w:tcW w:w="9450" w:type="dxa"/>
            <w:gridSpan w:val="4"/>
            <w:tcBorders>
              <w:top w:val="nil"/>
              <w:left w:val="single" w:sz="8" w:space="0" w:color="CCCCCC"/>
              <w:bottom w:val="single" w:sz="8" w:space="0" w:color="CCCCCC"/>
              <w:right w:val="single" w:sz="8" w:space="0" w:color="CCCCCC"/>
            </w:tcBorders>
            <w:vAlign w:val="bottom"/>
          </w:tcPr>
          <w:p w14:paraId="451BC172" w14:textId="44FBEC8D" w:rsidR="00A9394A" w:rsidRPr="00DA28C7" w:rsidRDefault="00A9394A" w:rsidP="00581B43">
            <w:pPr>
              <w:spacing w:after="0" w:line="240" w:lineRule="auto"/>
              <w:rPr>
                <w:rFonts w:ascii="Times New Roman" w:eastAsia="Times New Roman" w:hAnsi="Times New Roman" w:cs="Times New Roman"/>
                <w:color w:val="000000"/>
                <w:sz w:val="20"/>
                <w:szCs w:val="20"/>
              </w:rPr>
            </w:pPr>
            <w:r w:rsidRPr="00DA28C7">
              <w:rPr>
                <w:rFonts w:ascii="Times New Roman" w:eastAsia="Times New Roman" w:hAnsi="Times New Roman" w:cs="Times New Roman"/>
                <w:sz w:val="20"/>
                <w:szCs w:val="20"/>
              </w:rPr>
              <w:t xml:space="preserve">* The certainty of evidence was initially </w:t>
            </w:r>
            <w:r>
              <w:rPr>
                <w:rFonts w:ascii="Times New Roman" w:eastAsia="Times New Roman" w:hAnsi="Times New Roman" w:cs="Times New Roman"/>
                <w:sz w:val="20"/>
                <w:szCs w:val="20"/>
              </w:rPr>
              <w:t>started</w:t>
            </w:r>
            <w:r w:rsidRPr="00DA28C7">
              <w:rPr>
                <w:rFonts w:ascii="Times New Roman" w:eastAsia="Times New Roman" w:hAnsi="Times New Roman" w:cs="Times New Roman"/>
                <w:sz w:val="20"/>
                <w:szCs w:val="20"/>
              </w:rPr>
              <w:t xml:space="preserve"> as high because most included studies were RCTs, but it was downgraded by one level due </w:t>
            </w:r>
            <w:r>
              <w:rPr>
                <w:rFonts w:ascii="Times New Roman" w:eastAsia="Times New Roman" w:hAnsi="Times New Roman" w:cs="Times New Roman"/>
                <w:sz w:val="20"/>
                <w:szCs w:val="20"/>
              </w:rPr>
              <w:t>to the inclusion of a non-</w:t>
            </w:r>
            <w:r w:rsidR="00985800">
              <w:rPr>
                <w:rFonts w:ascii="Times New Roman" w:eastAsia="Times New Roman" w:hAnsi="Times New Roman" w:cs="Times New Roman"/>
                <w:sz w:val="20"/>
                <w:szCs w:val="20"/>
              </w:rPr>
              <w:t>RCT and</w:t>
            </w:r>
            <w:r>
              <w:rPr>
                <w:rFonts w:ascii="Times New Roman" w:eastAsia="Times New Roman" w:hAnsi="Times New Roman" w:cs="Times New Roman"/>
                <w:sz w:val="20"/>
                <w:szCs w:val="20"/>
              </w:rPr>
              <w:t xml:space="preserve"> considered moderate.</w:t>
            </w:r>
          </w:p>
        </w:tc>
      </w:tr>
    </w:tbl>
    <w:p w14:paraId="2800AF43" w14:textId="77777777" w:rsidR="00430D09" w:rsidRPr="00DA28C7" w:rsidRDefault="00430D09" w:rsidP="00F520E8">
      <w:pPr>
        <w:rPr>
          <w:rFonts w:ascii="Times New Roman" w:hAnsi="Times New Roman" w:cs="Times New Roman"/>
          <w:sz w:val="24"/>
          <w:szCs w:val="24"/>
        </w:rPr>
      </w:pPr>
    </w:p>
    <w:p w14:paraId="2BD23CE3" w14:textId="77777777" w:rsidR="00F520E8" w:rsidRPr="00DA28C7" w:rsidRDefault="00F520E8" w:rsidP="00F520E8">
      <w:pPr>
        <w:rPr>
          <w:rFonts w:ascii="Times New Roman" w:hAnsi="Times New Roman" w:cs="Times New Roman"/>
          <w:sz w:val="24"/>
          <w:szCs w:val="24"/>
        </w:rPr>
      </w:pPr>
    </w:p>
    <w:p w14:paraId="3B768D88" w14:textId="77777777" w:rsidR="00F520E8" w:rsidRPr="00DA28C7" w:rsidRDefault="00F520E8" w:rsidP="00F520E8">
      <w:pPr>
        <w:rPr>
          <w:rFonts w:ascii="Times New Roman" w:hAnsi="Times New Roman" w:cs="Times New Roman"/>
          <w:sz w:val="24"/>
          <w:szCs w:val="24"/>
        </w:rPr>
      </w:pPr>
    </w:p>
    <w:p w14:paraId="4E2075AB" w14:textId="77777777" w:rsidR="00F520E8" w:rsidRPr="00DA28C7" w:rsidRDefault="00F520E8" w:rsidP="00F520E8">
      <w:pPr>
        <w:rPr>
          <w:rFonts w:ascii="Times New Roman" w:hAnsi="Times New Roman" w:cs="Times New Roman"/>
          <w:sz w:val="24"/>
          <w:szCs w:val="24"/>
        </w:rPr>
      </w:pPr>
    </w:p>
    <w:p w14:paraId="4E4F041A" w14:textId="77777777" w:rsidR="00F520E8" w:rsidRPr="00DA28C7" w:rsidRDefault="00F520E8" w:rsidP="00F520E8">
      <w:pPr>
        <w:rPr>
          <w:rFonts w:ascii="Times New Roman" w:hAnsi="Times New Roman" w:cs="Times New Roman"/>
          <w:sz w:val="24"/>
          <w:szCs w:val="24"/>
        </w:rPr>
      </w:pPr>
    </w:p>
    <w:p w14:paraId="485D3143" w14:textId="77777777" w:rsidR="00F520E8" w:rsidRPr="00DA28C7" w:rsidRDefault="00F520E8" w:rsidP="00F520E8">
      <w:pPr>
        <w:rPr>
          <w:rFonts w:ascii="Times New Roman" w:hAnsi="Times New Roman" w:cs="Times New Roman"/>
          <w:sz w:val="24"/>
          <w:szCs w:val="24"/>
        </w:rPr>
      </w:pPr>
    </w:p>
    <w:p w14:paraId="3A37ACAF" w14:textId="77777777" w:rsidR="00F520E8" w:rsidRPr="00DA28C7" w:rsidRDefault="00F520E8" w:rsidP="00F520E8">
      <w:pPr>
        <w:rPr>
          <w:rFonts w:ascii="Times New Roman" w:hAnsi="Times New Roman" w:cs="Times New Roman"/>
          <w:sz w:val="24"/>
          <w:szCs w:val="24"/>
        </w:rPr>
      </w:pPr>
    </w:p>
    <w:p w14:paraId="04E88B25" w14:textId="77777777" w:rsidR="00F520E8" w:rsidRPr="00DA28C7" w:rsidRDefault="00F520E8" w:rsidP="00F520E8">
      <w:pPr>
        <w:rPr>
          <w:rFonts w:ascii="Times New Roman" w:hAnsi="Times New Roman" w:cs="Times New Roman"/>
          <w:sz w:val="24"/>
          <w:szCs w:val="24"/>
        </w:rPr>
      </w:pPr>
    </w:p>
    <w:p w14:paraId="682ECE8D" w14:textId="77777777" w:rsidR="00F520E8" w:rsidRPr="00DA28C7" w:rsidRDefault="00F520E8" w:rsidP="00F520E8">
      <w:pPr>
        <w:rPr>
          <w:rFonts w:ascii="Times New Roman" w:hAnsi="Times New Roman" w:cs="Times New Roman"/>
          <w:sz w:val="24"/>
          <w:szCs w:val="24"/>
        </w:rPr>
      </w:pPr>
    </w:p>
    <w:p w14:paraId="66B6D555" w14:textId="77777777" w:rsidR="00F520E8" w:rsidRPr="00DA28C7" w:rsidRDefault="00F520E8" w:rsidP="00F520E8">
      <w:pPr>
        <w:rPr>
          <w:rFonts w:ascii="Times New Roman" w:hAnsi="Times New Roman" w:cs="Times New Roman"/>
          <w:sz w:val="24"/>
          <w:szCs w:val="24"/>
        </w:rPr>
      </w:pPr>
    </w:p>
    <w:p w14:paraId="0F22FD1E" w14:textId="77777777" w:rsidR="00F520E8" w:rsidRPr="00DA28C7" w:rsidRDefault="00F520E8" w:rsidP="00F520E8">
      <w:pPr>
        <w:rPr>
          <w:rFonts w:ascii="Times New Roman" w:hAnsi="Times New Roman" w:cs="Times New Roman"/>
          <w:sz w:val="24"/>
          <w:szCs w:val="24"/>
        </w:rPr>
      </w:pPr>
    </w:p>
    <w:p w14:paraId="4C551634" w14:textId="77777777" w:rsidR="00F520E8" w:rsidRPr="00DA28C7" w:rsidRDefault="00F520E8" w:rsidP="00F520E8">
      <w:pPr>
        <w:rPr>
          <w:rFonts w:ascii="Times New Roman" w:hAnsi="Times New Roman" w:cs="Times New Roman"/>
          <w:sz w:val="24"/>
          <w:szCs w:val="24"/>
        </w:rPr>
      </w:pPr>
    </w:p>
    <w:p w14:paraId="7741AC78" w14:textId="77777777" w:rsidR="00F520E8" w:rsidRPr="00DA28C7" w:rsidRDefault="00F520E8" w:rsidP="00F520E8">
      <w:pPr>
        <w:rPr>
          <w:rFonts w:ascii="Times New Roman" w:hAnsi="Times New Roman" w:cs="Times New Roman"/>
          <w:sz w:val="24"/>
          <w:szCs w:val="24"/>
        </w:rPr>
      </w:pPr>
    </w:p>
    <w:p w14:paraId="2D8260CB" w14:textId="77777777" w:rsidR="00F520E8" w:rsidRPr="00DA28C7" w:rsidRDefault="00F520E8" w:rsidP="00F520E8">
      <w:pPr>
        <w:rPr>
          <w:rFonts w:ascii="Times New Roman" w:hAnsi="Times New Roman" w:cs="Times New Roman"/>
          <w:sz w:val="24"/>
          <w:szCs w:val="24"/>
        </w:rPr>
      </w:pPr>
    </w:p>
    <w:p w14:paraId="0D70271E" w14:textId="77777777" w:rsidR="00F30035" w:rsidRPr="00DA28C7" w:rsidRDefault="00F30035" w:rsidP="00F520E8">
      <w:pPr>
        <w:rPr>
          <w:rFonts w:ascii="Times New Roman" w:hAnsi="Times New Roman" w:cs="Times New Roman"/>
          <w:sz w:val="24"/>
          <w:szCs w:val="24"/>
        </w:rPr>
      </w:pPr>
    </w:p>
    <w:p w14:paraId="705B00A6" w14:textId="77777777" w:rsidR="00F30035" w:rsidRPr="00DA28C7" w:rsidRDefault="00F30035" w:rsidP="00F520E8">
      <w:pPr>
        <w:rPr>
          <w:rFonts w:ascii="Times New Roman" w:hAnsi="Times New Roman" w:cs="Times New Roman"/>
          <w:sz w:val="24"/>
          <w:szCs w:val="24"/>
        </w:rPr>
      </w:pPr>
    </w:p>
    <w:p w14:paraId="7B1789AE" w14:textId="77777777" w:rsidR="00F30035" w:rsidRPr="00DA28C7" w:rsidRDefault="00F30035" w:rsidP="00F520E8">
      <w:pPr>
        <w:rPr>
          <w:rFonts w:ascii="Times New Roman" w:hAnsi="Times New Roman" w:cs="Times New Roman"/>
          <w:sz w:val="24"/>
          <w:szCs w:val="24"/>
        </w:rPr>
      </w:pPr>
    </w:p>
    <w:p w14:paraId="01DCEAF7" w14:textId="77777777" w:rsidR="00F30035" w:rsidRPr="00DA28C7" w:rsidRDefault="00F30035" w:rsidP="00F520E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98"/>
        <w:gridCol w:w="2145"/>
        <w:gridCol w:w="3584"/>
        <w:gridCol w:w="1723"/>
      </w:tblGrid>
      <w:tr w:rsidR="00F520E8" w:rsidRPr="00DA28C7" w14:paraId="02793B9E" w14:textId="77777777" w:rsidTr="000B7CAC">
        <w:trPr>
          <w:trHeight w:val="288"/>
        </w:trPr>
        <w:tc>
          <w:tcPr>
            <w:tcW w:w="9350" w:type="dxa"/>
            <w:gridSpan w:val="4"/>
          </w:tcPr>
          <w:p w14:paraId="7DC8267B" w14:textId="2D7FD1AE" w:rsidR="00F520E8" w:rsidRPr="00DA28C7" w:rsidRDefault="00F520E8" w:rsidP="000B7CAC">
            <w:pPr>
              <w:rPr>
                <w:rFonts w:ascii="Times New Roman" w:hAnsi="Times New Roman" w:cs="Times New Roman"/>
                <w:bCs/>
                <w:sz w:val="20"/>
                <w:szCs w:val="20"/>
              </w:rPr>
            </w:pPr>
            <w:r w:rsidRPr="00DA28C7">
              <w:rPr>
                <w:rFonts w:ascii="Times New Roman" w:hAnsi="Times New Roman" w:cs="Times New Roman"/>
                <w:b/>
                <w:bCs/>
                <w:sz w:val="20"/>
                <w:szCs w:val="20"/>
              </w:rPr>
              <w:t>Suppl</w:t>
            </w:r>
            <w:r w:rsidRPr="00DA28C7">
              <w:rPr>
                <w:rFonts w:ascii="Times New Roman" w:hAnsi="Times New Roman" w:cs="Times New Roman"/>
                <w:bCs/>
                <w:sz w:val="20"/>
                <w:szCs w:val="20"/>
              </w:rPr>
              <w:t xml:space="preserve"> table </w:t>
            </w:r>
            <w:r w:rsidR="00A60661">
              <w:rPr>
                <w:rFonts w:ascii="Times New Roman" w:hAnsi="Times New Roman" w:cs="Times New Roman"/>
                <w:bCs/>
                <w:sz w:val="20"/>
                <w:szCs w:val="20"/>
              </w:rPr>
              <w:t>5</w:t>
            </w:r>
            <w:r w:rsidRPr="00DA28C7">
              <w:rPr>
                <w:rFonts w:ascii="Times New Roman" w:hAnsi="Times New Roman" w:cs="Times New Roman"/>
                <w:bCs/>
                <w:sz w:val="20"/>
                <w:szCs w:val="20"/>
              </w:rPr>
              <w:t>: Funding source and their role in the included studies</w:t>
            </w:r>
          </w:p>
        </w:tc>
      </w:tr>
      <w:tr w:rsidR="00F520E8" w:rsidRPr="00DA28C7" w14:paraId="20C8AAD0" w14:textId="77777777" w:rsidTr="000B7CAC">
        <w:trPr>
          <w:trHeight w:val="288"/>
        </w:trPr>
        <w:tc>
          <w:tcPr>
            <w:tcW w:w="1898" w:type="dxa"/>
            <w:hideMark/>
          </w:tcPr>
          <w:p w14:paraId="7FF0C47B"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Study (Author, Year)</w:t>
            </w:r>
          </w:p>
        </w:tc>
        <w:tc>
          <w:tcPr>
            <w:tcW w:w="2145" w:type="dxa"/>
            <w:hideMark/>
          </w:tcPr>
          <w:p w14:paraId="52AEA9B5"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Journal</w:t>
            </w:r>
          </w:p>
        </w:tc>
        <w:tc>
          <w:tcPr>
            <w:tcW w:w="3584" w:type="dxa"/>
            <w:hideMark/>
          </w:tcPr>
          <w:p w14:paraId="11B15B73"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Funding Source</w:t>
            </w:r>
          </w:p>
        </w:tc>
        <w:tc>
          <w:tcPr>
            <w:tcW w:w="1723" w:type="dxa"/>
            <w:hideMark/>
          </w:tcPr>
          <w:p w14:paraId="5C0E0452"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Role of the Funder</w:t>
            </w:r>
          </w:p>
        </w:tc>
      </w:tr>
      <w:tr w:rsidR="00F520E8" w:rsidRPr="00DA28C7" w14:paraId="5D1B791B" w14:textId="77777777" w:rsidTr="000B7CAC">
        <w:trPr>
          <w:trHeight w:val="576"/>
        </w:trPr>
        <w:tc>
          <w:tcPr>
            <w:tcW w:w="1898" w:type="dxa"/>
            <w:hideMark/>
          </w:tcPr>
          <w:p w14:paraId="4D4DAC0D"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lastRenderedPageBreak/>
              <w:t>Shackelford et al., 2017</w:t>
            </w:r>
          </w:p>
        </w:tc>
        <w:tc>
          <w:tcPr>
            <w:tcW w:w="2145" w:type="dxa"/>
            <w:hideMark/>
          </w:tcPr>
          <w:p w14:paraId="37CE5B4B"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JAMA</w:t>
            </w:r>
          </w:p>
        </w:tc>
        <w:tc>
          <w:tcPr>
            <w:tcW w:w="3584" w:type="dxa"/>
            <w:hideMark/>
          </w:tcPr>
          <w:p w14:paraId="02912DA8"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US Army &amp; US Dept. of Energy via USAMRMC</w:t>
            </w:r>
          </w:p>
        </w:tc>
        <w:tc>
          <w:tcPr>
            <w:tcW w:w="1723" w:type="dxa"/>
            <w:hideMark/>
          </w:tcPr>
          <w:p w14:paraId="16913E9B"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7F1D0F05" w14:textId="77777777" w:rsidTr="000B7CAC">
        <w:trPr>
          <w:trHeight w:val="576"/>
        </w:trPr>
        <w:tc>
          <w:tcPr>
            <w:tcW w:w="1898" w:type="dxa"/>
            <w:hideMark/>
          </w:tcPr>
          <w:p w14:paraId="0201E584"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Sperry et al., 2018 (</w:t>
            </w:r>
            <w:proofErr w:type="spellStart"/>
            <w:r w:rsidRPr="00DA28C7">
              <w:rPr>
                <w:rFonts w:ascii="Times New Roman" w:hAnsi="Times New Roman" w:cs="Times New Roman"/>
                <w:b/>
                <w:bCs/>
                <w:sz w:val="20"/>
                <w:szCs w:val="20"/>
              </w:rPr>
              <w:t>PAMPer</w:t>
            </w:r>
            <w:proofErr w:type="spellEnd"/>
            <w:r w:rsidRPr="00DA28C7">
              <w:rPr>
                <w:rFonts w:ascii="Times New Roman" w:hAnsi="Times New Roman" w:cs="Times New Roman"/>
                <w:b/>
                <w:bCs/>
                <w:sz w:val="20"/>
                <w:szCs w:val="20"/>
              </w:rPr>
              <w:t>)</w:t>
            </w:r>
          </w:p>
        </w:tc>
        <w:tc>
          <w:tcPr>
            <w:tcW w:w="2145" w:type="dxa"/>
            <w:hideMark/>
          </w:tcPr>
          <w:p w14:paraId="1DCEB13A"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 Engl J Med</w:t>
            </w:r>
          </w:p>
        </w:tc>
        <w:tc>
          <w:tcPr>
            <w:tcW w:w="3584" w:type="dxa"/>
            <w:hideMark/>
          </w:tcPr>
          <w:p w14:paraId="1D71C15C"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US Army Medical Research (W81XWH-12-2-0023)</w:t>
            </w:r>
          </w:p>
        </w:tc>
        <w:tc>
          <w:tcPr>
            <w:tcW w:w="1723" w:type="dxa"/>
            <w:hideMark/>
          </w:tcPr>
          <w:p w14:paraId="3013B53F"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0A7A484F" w14:textId="77777777" w:rsidTr="000B7CAC">
        <w:trPr>
          <w:trHeight w:val="576"/>
        </w:trPr>
        <w:tc>
          <w:tcPr>
            <w:tcW w:w="1898" w:type="dxa"/>
            <w:hideMark/>
          </w:tcPr>
          <w:p w14:paraId="18D62A8E"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Crombie et al., 2022 (</w:t>
            </w:r>
            <w:proofErr w:type="spellStart"/>
            <w:r w:rsidRPr="00DA28C7">
              <w:rPr>
                <w:rFonts w:ascii="Times New Roman" w:hAnsi="Times New Roman" w:cs="Times New Roman"/>
                <w:b/>
                <w:bCs/>
                <w:sz w:val="20"/>
                <w:szCs w:val="20"/>
              </w:rPr>
              <w:t>RePHILL</w:t>
            </w:r>
            <w:proofErr w:type="spellEnd"/>
            <w:r w:rsidRPr="00DA28C7">
              <w:rPr>
                <w:rFonts w:ascii="Times New Roman" w:hAnsi="Times New Roman" w:cs="Times New Roman"/>
                <w:b/>
                <w:bCs/>
                <w:sz w:val="20"/>
                <w:szCs w:val="20"/>
              </w:rPr>
              <w:t>)</w:t>
            </w:r>
          </w:p>
        </w:tc>
        <w:tc>
          <w:tcPr>
            <w:tcW w:w="2145" w:type="dxa"/>
            <w:hideMark/>
          </w:tcPr>
          <w:p w14:paraId="6B2B4740"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 xml:space="preserve">Lancet </w:t>
            </w:r>
            <w:proofErr w:type="spellStart"/>
            <w:r w:rsidRPr="00DA28C7">
              <w:rPr>
                <w:rFonts w:ascii="Times New Roman" w:hAnsi="Times New Roman" w:cs="Times New Roman"/>
                <w:sz w:val="20"/>
                <w:szCs w:val="20"/>
              </w:rPr>
              <w:t>Haematol</w:t>
            </w:r>
            <w:proofErr w:type="spellEnd"/>
          </w:p>
        </w:tc>
        <w:tc>
          <w:tcPr>
            <w:tcW w:w="3584" w:type="dxa"/>
            <w:hideMark/>
          </w:tcPr>
          <w:p w14:paraId="76594EE5"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 xml:space="preserve">NIHR – Efficacy and Mechanism Evaluation </w:t>
            </w:r>
            <w:proofErr w:type="spellStart"/>
            <w:r w:rsidRPr="00DA28C7">
              <w:rPr>
                <w:rFonts w:ascii="Times New Roman" w:hAnsi="Times New Roman" w:cs="Times New Roman"/>
                <w:sz w:val="20"/>
                <w:szCs w:val="20"/>
              </w:rPr>
              <w:t>Programme</w:t>
            </w:r>
            <w:proofErr w:type="spellEnd"/>
          </w:p>
        </w:tc>
        <w:tc>
          <w:tcPr>
            <w:tcW w:w="1723" w:type="dxa"/>
            <w:hideMark/>
          </w:tcPr>
          <w:p w14:paraId="5B348FB7"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2A3B8335" w14:textId="77777777" w:rsidTr="000B7CAC">
        <w:trPr>
          <w:trHeight w:val="576"/>
        </w:trPr>
        <w:tc>
          <w:tcPr>
            <w:tcW w:w="1898" w:type="dxa"/>
            <w:hideMark/>
          </w:tcPr>
          <w:p w14:paraId="1034B699"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Holcomb et al., 2017 (PROHS)</w:t>
            </w:r>
          </w:p>
        </w:tc>
        <w:tc>
          <w:tcPr>
            <w:tcW w:w="2145" w:type="dxa"/>
            <w:hideMark/>
          </w:tcPr>
          <w:p w14:paraId="514DD263"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J Trauma Acute Care Surg</w:t>
            </w:r>
          </w:p>
        </w:tc>
        <w:tc>
          <w:tcPr>
            <w:tcW w:w="3584" w:type="dxa"/>
            <w:hideMark/>
          </w:tcPr>
          <w:p w14:paraId="318D12C2"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US National Heart, Lung, and Blood Institute &amp; US Dept. of Defense</w:t>
            </w:r>
          </w:p>
        </w:tc>
        <w:tc>
          <w:tcPr>
            <w:tcW w:w="1723" w:type="dxa"/>
            <w:hideMark/>
          </w:tcPr>
          <w:p w14:paraId="0C155A72"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73FB2CB2" w14:textId="77777777" w:rsidTr="000B7CAC">
        <w:trPr>
          <w:trHeight w:val="288"/>
        </w:trPr>
        <w:tc>
          <w:tcPr>
            <w:tcW w:w="1898" w:type="dxa"/>
            <w:hideMark/>
          </w:tcPr>
          <w:p w14:paraId="48256025"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Oakeshott et al., 2018</w:t>
            </w:r>
          </w:p>
        </w:tc>
        <w:tc>
          <w:tcPr>
            <w:tcW w:w="2145" w:type="dxa"/>
            <w:hideMark/>
          </w:tcPr>
          <w:p w14:paraId="5CE647C0"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specified</w:t>
            </w:r>
          </w:p>
        </w:tc>
        <w:tc>
          <w:tcPr>
            <w:tcW w:w="3584" w:type="dxa"/>
            <w:hideMark/>
          </w:tcPr>
          <w:p w14:paraId="095B8890"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c>
          <w:tcPr>
            <w:tcW w:w="1723" w:type="dxa"/>
            <w:hideMark/>
          </w:tcPr>
          <w:p w14:paraId="1792C0CD"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r>
      <w:tr w:rsidR="00F520E8" w:rsidRPr="00DA28C7" w14:paraId="1752B609" w14:textId="77777777" w:rsidTr="000B7CAC">
        <w:trPr>
          <w:trHeight w:val="576"/>
        </w:trPr>
        <w:tc>
          <w:tcPr>
            <w:tcW w:w="1898" w:type="dxa"/>
            <w:hideMark/>
          </w:tcPr>
          <w:p w14:paraId="05EE99A9"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Jost et al., 2022 (PREHO-PLYO)</w:t>
            </w:r>
          </w:p>
        </w:tc>
        <w:tc>
          <w:tcPr>
            <w:tcW w:w="2145" w:type="dxa"/>
            <w:hideMark/>
          </w:tcPr>
          <w:p w14:paraId="2D899893"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JAMA Surg</w:t>
            </w:r>
          </w:p>
        </w:tc>
        <w:tc>
          <w:tcPr>
            <w:tcW w:w="3584" w:type="dxa"/>
            <w:hideMark/>
          </w:tcPr>
          <w:p w14:paraId="12AF1161"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 xml:space="preserve">French </w:t>
            </w:r>
            <w:proofErr w:type="spellStart"/>
            <w:r w:rsidRPr="00DA28C7">
              <w:rPr>
                <w:rFonts w:ascii="Times New Roman" w:hAnsi="Times New Roman" w:cs="Times New Roman"/>
                <w:sz w:val="20"/>
                <w:szCs w:val="20"/>
              </w:rPr>
              <w:t>Defence</w:t>
            </w:r>
            <w:proofErr w:type="spellEnd"/>
            <w:r w:rsidRPr="00DA28C7">
              <w:rPr>
                <w:rFonts w:ascii="Times New Roman" w:hAnsi="Times New Roman" w:cs="Times New Roman"/>
                <w:sz w:val="20"/>
                <w:szCs w:val="20"/>
              </w:rPr>
              <w:t xml:space="preserve"> Central Health Service</w:t>
            </w:r>
          </w:p>
        </w:tc>
        <w:tc>
          <w:tcPr>
            <w:tcW w:w="1723" w:type="dxa"/>
            <w:hideMark/>
          </w:tcPr>
          <w:p w14:paraId="613A5EC6"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2EA97491" w14:textId="77777777" w:rsidTr="000B7CAC">
        <w:trPr>
          <w:trHeight w:val="576"/>
        </w:trPr>
        <w:tc>
          <w:tcPr>
            <w:tcW w:w="1898" w:type="dxa"/>
            <w:hideMark/>
          </w:tcPr>
          <w:p w14:paraId="5B1E4485"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Mitra et al., 2023</w:t>
            </w:r>
          </w:p>
        </w:tc>
        <w:tc>
          <w:tcPr>
            <w:tcW w:w="2145" w:type="dxa"/>
            <w:hideMark/>
          </w:tcPr>
          <w:p w14:paraId="33378692"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Transfusion</w:t>
            </w:r>
          </w:p>
        </w:tc>
        <w:tc>
          <w:tcPr>
            <w:tcW w:w="3584" w:type="dxa"/>
            <w:hideMark/>
          </w:tcPr>
          <w:p w14:paraId="74326A39"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National Blood Authority &amp; NHMRC (Australia)</w:t>
            </w:r>
          </w:p>
        </w:tc>
        <w:tc>
          <w:tcPr>
            <w:tcW w:w="1723" w:type="dxa"/>
            <w:hideMark/>
          </w:tcPr>
          <w:p w14:paraId="4D220F15"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310A5F8E" w14:textId="77777777" w:rsidTr="000B7CAC">
        <w:trPr>
          <w:trHeight w:val="576"/>
        </w:trPr>
        <w:tc>
          <w:tcPr>
            <w:tcW w:w="1898" w:type="dxa"/>
            <w:hideMark/>
          </w:tcPr>
          <w:p w14:paraId="35E9B3A5"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Shlaifer et al., 2018</w:t>
            </w:r>
          </w:p>
        </w:tc>
        <w:tc>
          <w:tcPr>
            <w:tcW w:w="2145" w:type="dxa"/>
            <w:hideMark/>
          </w:tcPr>
          <w:p w14:paraId="619D9A08"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J Trauma Acute Care Surg</w:t>
            </w:r>
          </w:p>
        </w:tc>
        <w:tc>
          <w:tcPr>
            <w:tcW w:w="3584" w:type="dxa"/>
            <w:hideMark/>
          </w:tcPr>
          <w:p w14:paraId="762AFD9E"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Israel Defense Forces &amp; Israeli Ministry of Defense</w:t>
            </w:r>
          </w:p>
        </w:tc>
        <w:tc>
          <w:tcPr>
            <w:tcW w:w="1723" w:type="dxa"/>
            <w:hideMark/>
          </w:tcPr>
          <w:p w14:paraId="6A5098FF"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explicitly stated</w:t>
            </w:r>
          </w:p>
        </w:tc>
      </w:tr>
      <w:tr w:rsidR="00F520E8" w:rsidRPr="00DA28C7" w14:paraId="17558F07" w14:textId="77777777" w:rsidTr="000B7CAC">
        <w:trPr>
          <w:trHeight w:val="576"/>
        </w:trPr>
        <w:tc>
          <w:tcPr>
            <w:tcW w:w="1898" w:type="dxa"/>
            <w:hideMark/>
          </w:tcPr>
          <w:p w14:paraId="76009A28"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Tucker et al., 2023</w:t>
            </w:r>
          </w:p>
        </w:tc>
        <w:tc>
          <w:tcPr>
            <w:tcW w:w="2145" w:type="dxa"/>
            <w:hideMark/>
          </w:tcPr>
          <w:p w14:paraId="1026ECFE"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Critical Care</w:t>
            </w:r>
          </w:p>
        </w:tc>
        <w:tc>
          <w:tcPr>
            <w:tcW w:w="3584" w:type="dxa"/>
            <w:hideMark/>
          </w:tcPr>
          <w:p w14:paraId="405E7483"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London Air Ambulance, Barts Charity, NHS Blood and Transplant</w:t>
            </w:r>
          </w:p>
        </w:tc>
        <w:tc>
          <w:tcPr>
            <w:tcW w:w="1723" w:type="dxa"/>
            <w:hideMark/>
          </w:tcPr>
          <w:p w14:paraId="02A88DD3"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explicitly stated</w:t>
            </w:r>
          </w:p>
        </w:tc>
      </w:tr>
      <w:tr w:rsidR="00F520E8" w:rsidRPr="00DA28C7" w14:paraId="6471C3F0" w14:textId="77777777" w:rsidTr="000B7CAC">
        <w:trPr>
          <w:trHeight w:val="288"/>
        </w:trPr>
        <w:tc>
          <w:tcPr>
            <w:tcW w:w="1898" w:type="dxa"/>
            <w:hideMark/>
          </w:tcPr>
          <w:p w14:paraId="485CBBF0"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Kim et al., 2012</w:t>
            </w:r>
          </w:p>
        </w:tc>
        <w:tc>
          <w:tcPr>
            <w:tcW w:w="2145" w:type="dxa"/>
            <w:hideMark/>
          </w:tcPr>
          <w:p w14:paraId="28A2C01A"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J Trauma Acute Care Surg</w:t>
            </w:r>
          </w:p>
        </w:tc>
        <w:tc>
          <w:tcPr>
            <w:tcW w:w="3584" w:type="dxa"/>
            <w:hideMark/>
          </w:tcPr>
          <w:p w14:paraId="06B07E17"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c>
          <w:tcPr>
            <w:tcW w:w="1723" w:type="dxa"/>
            <w:hideMark/>
          </w:tcPr>
          <w:p w14:paraId="3BE1E743"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r>
      <w:tr w:rsidR="00F520E8" w:rsidRPr="00DA28C7" w14:paraId="707DC083" w14:textId="77777777" w:rsidTr="000B7CAC">
        <w:trPr>
          <w:trHeight w:val="576"/>
        </w:trPr>
        <w:tc>
          <w:tcPr>
            <w:tcW w:w="1898" w:type="dxa"/>
            <w:hideMark/>
          </w:tcPr>
          <w:p w14:paraId="7B76BCC7"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Moore et al., 2018 (COMBAT)</w:t>
            </w:r>
          </w:p>
        </w:tc>
        <w:tc>
          <w:tcPr>
            <w:tcW w:w="2145" w:type="dxa"/>
            <w:hideMark/>
          </w:tcPr>
          <w:p w14:paraId="15352265"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Lancet</w:t>
            </w:r>
          </w:p>
        </w:tc>
        <w:tc>
          <w:tcPr>
            <w:tcW w:w="3584" w:type="dxa"/>
            <w:hideMark/>
          </w:tcPr>
          <w:p w14:paraId="32753929"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 xml:space="preserve">US Dept. of Defense, NIH, </w:t>
            </w:r>
            <w:proofErr w:type="spellStart"/>
            <w:r w:rsidRPr="00DA28C7">
              <w:rPr>
                <w:rFonts w:ascii="Times New Roman" w:hAnsi="Times New Roman" w:cs="Times New Roman"/>
                <w:sz w:val="20"/>
                <w:szCs w:val="20"/>
              </w:rPr>
              <w:t>Haemonetics</w:t>
            </w:r>
            <w:proofErr w:type="spellEnd"/>
            <w:r w:rsidRPr="00DA28C7">
              <w:rPr>
                <w:rFonts w:ascii="Times New Roman" w:hAnsi="Times New Roman" w:cs="Times New Roman"/>
                <w:sz w:val="20"/>
                <w:szCs w:val="20"/>
              </w:rPr>
              <w:t>, Instrumentation Laboratory</w:t>
            </w:r>
          </w:p>
        </w:tc>
        <w:tc>
          <w:tcPr>
            <w:tcW w:w="1723" w:type="dxa"/>
            <w:hideMark/>
          </w:tcPr>
          <w:p w14:paraId="561EA3C6"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 role</w:t>
            </w:r>
          </w:p>
        </w:tc>
      </w:tr>
      <w:tr w:rsidR="00F520E8" w:rsidRPr="00DA28C7" w14:paraId="4F4374B4" w14:textId="77777777" w:rsidTr="000B7CAC">
        <w:trPr>
          <w:trHeight w:val="576"/>
        </w:trPr>
        <w:tc>
          <w:tcPr>
            <w:tcW w:w="1898" w:type="dxa"/>
            <w:hideMark/>
          </w:tcPr>
          <w:p w14:paraId="234F5CC6" w14:textId="77777777" w:rsidR="00F520E8" w:rsidRPr="00DA28C7" w:rsidRDefault="00F520E8" w:rsidP="000B7CAC">
            <w:pPr>
              <w:rPr>
                <w:rFonts w:ascii="Times New Roman" w:hAnsi="Times New Roman" w:cs="Times New Roman"/>
                <w:b/>
                <w:bCs/>
                <w:sz w:val="20"/>
                <w:szCs w:val="20"/>
              </w:rPr>
            </w:pPr>
            <w:r w:rsidRPr="00DA28C7">
              <w:rPr>
                <w:rFonts w:ascii="Times New Roman" w:hAnsi="Times New Roman" w:cs="Times New Roman"/>
                <w:b/>
                <w:bCs/>
                <w:sz w:val="20"/>
                <w:szCs w:val="20"/>
              </w:rPr>
              <w:t>Henriksen et al., 2016</w:t>
            </w:r>
          </w:p>
        </w:tc>
        <w:tc>
          <w:tcPr>
            <w:tcW w:w="2145" w:type="dxa"/>
            <w:hideMark/>
          </w:tcPr>
          <w:p w14:paraId="36A6E315"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 xml:space="preserve">Scand J Trauma </w:t>
            </w:r>
            <w:proofErr w:type="spellStart"/>
            <w:r w:rsidRPr="00DA28C7">
              <w:rPr>
                <w:rFonts w:ascii="Times New Roman" w:hAnsi="Times New Roman" w:cs="Times New Roman"/>
                <w:sz w:val="20"/>
                <w:szCs w:val="20"/>
              </w:rPr>
              <w:t>Resusc</w:t>
            </w:r>
            <w:proofErr w:type="spellEnd"/>
            <w:r w:rsidRPr="00DA28C7">
              <w:rPr>
                <w:rFonts w:ascii="Times New Roman" w:hAnsi="Times New Roman" w:cs="Times New Roman"/>
                <w:sz w:val="20"/>
                <w:szCs w:val="20"/>
              </w:rPr>
              <w:t xml:space="preserve"> Emerg Med</w:t>
            </w:r>
          </w:p>
        </w:tc>
        <w:tc>
          <w:tcPr>
            <w:tcW w:w="3584" w:type="dxa"/>
            <w:hideMark/>
          </w:tcPr>
          <w:p w14:paraId="3B627D96"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c>
          <w:tcPr>
            <w:tcW w:w="1723" w:type="dxa"/>
            <w:hideMark/>
          </w:tcPr>
          <w:p w14:paraId="4C78BEFB" w14:textId="77777777" w:rsidR="00F520E8" w:rsidRPr="00DA28C7" w:rsidRDefault="00F520E8" w:rsidP="000B7CAC">
            <w:pPr>
              <w:rPr>
                <w:rFonts w:ascii="Times New Roman" w:hAnsi="Times New Roman" w:cs="Times New Roman"/>
                <w:sz w:val="20"/>
                <w:szCs w:val="20"/>
              </w:rPr>
            </w:pPr>
            <w:r w:rsidRPr="00DA28C7">
              <w:rPr>
                <w:rFonts w:ascii="Times New Roman" w:hAnsi="Times New Roman" w:cs="Times New Roman"/>
                <w:sz w:val="20"/>
                <w:szCs w:val="20"/>
              </w:rPr>
              <w:t>Not reported</w:t>
            </w:r>
          </w:p>
        </w:tc>
      </w:tr>
    </w:tbl>
    <w:p w14:paraId="69E10F34" w14:textId="77777777" w:rsidR="00F520E8" w:rsidRPr="00DA28C7" w:rsidRDefault="00F520E8" w:rsidP="00F520E8">
      <w:pPr>
        <w:rPr>
          <w:rFonts w:ascii="Times New Roman" w:hAnsi="Times New Roman" w:cs="Times New Roman"/>
          <w:sz w:val="24"/>
          <w:szCs w:val="24"/>
        </w:rPr>
      </w:pPr>
    </w:p>
    <w:p w14:paraId="02069637" w14:textId="77777777" w:rsidR="00F520E8" w:rsidRPr="00DA28C7" w:rsidRDefault="00F520E8" w:rsidP="00F520E8">
      <w:pPr>
        <w:rPr>
          <w:rFonts w:ascii="Times New Roman" w:hAnsi="Times New Roman" w:cs="Times New Roman"/>
          <w:sz w:val="24"/>
          <w:szCs w:val="24"/>
        </w:rPr>
      </w:pPr>
    </w:p>
    <w:p w14:paraId="6D984912" w14:textId="77777777" w:rsidR="00D30493" w:rsidRPr="00DA28C7" w:rsidRDefault="00D30493">
      <w:pPr>
        <w:rPr>
          <w:rFonts w:ascii="Times New Roman" w:hAnsi="Times New Roman" w:cs="Times New Roman"/>
        </w:rPr>
      </w:pPr>
    </w:p>
    <w:sectPr w:rsidR="00D30493" w:rsidRPr="00DA2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1DC"/>
    <w:rsid w:val="00057AF3"/>
    <w:rsid w:val="001A1073"/>
    <w:rsid w:val="00430D09"/>
    <w:rsid w:val="004F18DE"/>
    <w:rsid w:val="008422A8"/>
    <w:rsid w:val="009703A7"/>
    <w:rsid w:val="00985800"/>
    <w:rsid w:val="00A60661"/>
    <w:rsid w:val="00A934BB"/>
    <w:rsid w:val="00A9394A"/>
    <w:rsid w:val="00AA21DC"/>
    <w:rsid w:val="00B630B9"/>
    <w:rsid w:val="00D30493"/>
    <w:rsid w:val="00DA28C7"/>
    <w:rsid w:val="00EA350A"/>
    <w:rsid w:val="00F30035"/>
    <w:rsid w:val="00F520E8"/>
    <w:rsid w:val="00FA4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AC1E"/>
  <w15:chartTrackingRefBased/>
  <w15:docId w15:val="{45164466-2D80-453C-9EEB-63694E77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49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AA21D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A21D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A21D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A21D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A21D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A21D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A21D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A21D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A21D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1DC"/>
    <w:rPr>
      <w:rFonts w:eastAsiaTheme="majorEastAsia" w:cstheme="majorBidi"/>
      <w:color w:val="272727" w:themeColor="text1" w:themeTint="D8"/>
    </w:rPr>
  </w:style>
  <w:style w:type="paragraph" w:styleId="Title">
    <w:name w:val="Title"/>
    <w:basedOn w:val="Normal"/>
    <w:next w:val="Normal"/>
    <w:link w:val="TitleChar"/>
    <w:uiPriority w:val="10"/>
    <w:qFormat/>
    <w:rsid w:val="00AA21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A2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1D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A2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DC"/>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A21DC"/>
    <w:rPr>
      <w:i/>
      <w:iCs/>
      <w:color w:val="404040" w:themeColor="text1" w:themeTint="BF"/>
    </w:rPr>
  </w:style>
  <w:style w:type="paragraph" w:styleId="ListParagraph">
    <w:name w:val="List Paragraph"/>
    <w:basedOn w:val="Normal"/>
    <w:uiPriority w:val="34"/>
    <w:qFormat/>
    <w:rsid w:val="00AA21DC"/>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A21DC"/>
    <w:rPr>
      <w:i/>
      <w:iCs/>
      <w:color w:val="0F4761" w:themeColor="accent1" w:themeShade="BF"/>
    </w:rPr>
  </w:style>
  <w:style w:type="paragraph" w:styleId="IntenseQuote">
    <w:name w:val="Intense Quote"/>
    <w:basedOn w:val="Normal"/>
    <w:next w:val="Normal"/>
    <w:link w:val="IntenseQuoteChar"/>
    <w:uiPriority w:val="30"/>
    <w:qFormat/>
    <w:rsid w:val="00AA21D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A21DC"/>
    <w:rPr>
      <w:i/>
      <w:iCs/>
      <w:color w:val="0F4761" w:themeColor="accent1" w:themeShade="BF"/>
    </w:rPr>
  </w:style>
  <w:style w:type="character" w:styleId="IntenseReference">
    <w:name w:val="Intense Reference"/>
    <w:basedOn w:val="DefaultParagraphFont"/>
    <w:uiPriority w:val="32"/>
    <w:qFormat/>
    <w:rsid w:val="00AA21DC"/>
    <w:rPr>
      <w:b/>
      <w:bCs/>
      <w:smallCaps/>
      <w:color w:val="0F4761" w:themeColor="accent1" w:themeShade="BF"/>
      <w:spacing w:val="5"/>
    </w:rPr>
  </w:style>
  <w:style w:type="table" w:customStyle="1" w:styleId="TableGrid1">
    <w:name w:val="Table Grid1"/>
    <w:basedOn w:val="TableNormal"/>
    <w:next w:val="TableGrid"/>
    <w:uiPriority w:val="59"/>
    <w:rsid w:val="00D3049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0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1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8DE"/>
    <w:rPr>
      <w:rFonts w:ascii="Segoe UI" w:hAnsi="Segoe UI" w:cs="Segoe UI"/>
      <w:kern w:val="0"/>
      <w:sz w:val="18"/>
      <w:szCs w:val="18"/>
      <w14:ligatures w14:val="none"/>
    </w:rPr>
  </w:style>
  <w:style w:type="paragraph" w:styleId="Revision">
    <w:name w:val="Revision"/>
    <w:hidden/>
    <w:uiPriority w:val="99"/>
    <w:semiHidden/>
    <w:rsid w:val="0098580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4978888-21A0-451A-8BF2-6DAE32E3CDC4}">
  <ds:schemaRefs>
    <ds:schemaRef ds:uri="http://schemas.openxmlformats.org/officeDocument/2006/bibliography"/>
  </ds:schemaRefs>
</ds:datastoreItem>
</file>

<file path=docMetadata/LabelInfo.xml><?xml version="1.0" encoding="utf-8"?>
<clbl:labelList xmlns:clbl="http://schemas.microsoft.com/office/2020/mipLabelMetadata">
  <clbl:label id="{573f5887-035d-4765-8d10-97aaac8deb4a}" enabled="1" method="Standard" siteId="{f08ae827-76a0-4eda-8325-df208f3835ab}"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1300</Words>
  <Characters>7230</Characters>
  <Application>Microsoft Office Word</Application>
  <DocSecurity>0</DocSecurity>
  <Lines>425</Lines>
  <Paragraphs>294</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Ayman Ahmed  ElMenyar</dc:creator>
  <cp:keywords/>
  <dc:description/>
  <cp:lastModifiedBy>Dr. Ayman Ahmed  ElMenyar</cp:lastModifiedBy>
  <cp:revision>2</cp:revision>
  <dcterms:created xsi:type="dcterms:W3CDTF">2025-10-03T15:39:00Z</dcterms:created>
  <dcterms:modified xsi:type="dcterms:W3CDTF">2025-10-03T15:39:00Z</dcterms:modified>
</cp:coreProperties>
</file>